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36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364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91"/>
        <w:spacing w:after="0"/>
        <w:rPr>
          <w:sz w:val="20"/>
          <w:szCs w:val="20"/>
          <w:color w:val="auto"/>
        </w:rPr>
      </w:pPr>
      <w:r>
        <w:rPr>
          <w:rFonts w:ascii="Arial" w:cs="Arial" w:eastAsia="Arial" w:hAnsi="Arial"/>
          <w:sz w:val="17"/>
          <w:szCs w:val="17"/>
          <w:color w:val="0000FF"/>
        </w:rPr>
        <w:t>Executive Vice President</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829,719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Pr>
          <w:p>
            <w:pPr>
              <w:ind w:left="2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2"/>
                <w:szCs w:val="12"/>
                <w:color w:val="auto"/>
              </w:rPr>
            </w:pP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07/28/2015</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41" w:lineRule="exact"/>
              <w:rPr>
                <w:sz w:val="20"/>
                <w:szCs w:val="20"/>
                <w:color w:val="auto"/>
              </w:rPr>
            </w:pPr>
            <w:r>
              <w:rPr>
                <w:rFonts w:ascii="Arial" w:cs="Arial" w:eastAsia="Arial" w:hAnsi="Arial"/>
                <w:sz w:val="13"/>
                <w:szCs w:val="13"/>
                <w:color w:val="0000FF"/>
              </w:rPr>
              <w:t>829,719</w:t>
            </w:r>
          </w:p>
        </w:tc>
        <w:tc>
          <w:tcPr>
            <w:tcW w:w="28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line="141" w:lineRule="exact"/>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41" w:lineRule="exact"/>
              <w:rPr>
                <w:sz w:val="20"/>
                <w:szCs w:val="20"/>
                <w:color w:val="auto"/>
              </w:rPr>
            </w:pPr>
            <w:r>
              <w:rPr>
                <w:rFonts w:ascii="Arial" w:cs="Arial" w:eastAsia="Arial" w:hAnsi="Arial"/>
                <w:sz w:val="13"/>
                <w:szCs w:val="13"/>
                <w:color w:val="0000FF"/>
              </w:rPr>
              <w:t>829,719</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r>
              <w:rPr>
                <w:rFonts w:ascii="Arial" w:cs="Arial" w:eastAsia="Arial" w:hAnsi="Arial"/>
                <w:sz w:val="22"/>
                <w:szCs w:val="22"/>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under the 2014 General Motors Long-Term Incentive Plan and vest as follows: 40% on February 15, 2017; 20% on February 15, 2018 upon meeting or exceeding the median Total Shareholder Return ("TSR") of the original equipment manufacturers, other than GM, as of the grant date in the Dow Jones Automobiles and Parts Titan 30 Index ("OEM Peer Group") for the period July 28, 2015 through December 31, 2017; 20% on February 15, 2019 upon meeting or exceeding the median TSR of the OEM Peer Group for the period July 28, 2015 through December 31, 2018; and 20% on February 15, 2020 upon meeting or exceeding the median TSR of the OEM Peer Group for the period July 28, 2015 through December 31,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20" w:type="dxa"/>
            <w:vAlign w:val="bottom"/>
            <w:gridSpan w:val="3"/>
          </w:tcPr>
          <w:p>
            <w:pPr>
              <w:spacing w:after="0"/>
              <w:rPr>
                <w:sz w:val="20"/>
                <w:szCs w:val="20"/>
                <w:color w:val="auto"/>
              </w:rPr>
            </w:pPr>
            <w:r>
              <w:rPr>
                <w:rFonts w:ascii="Arial" w:cs="Arial" w:eastAsia="Arial" w:hAnsi="Arial"/>
                <w:sz w:val="17"/>
                <w:szCs w:val="17"/>
                <w:color w:val="0000FF"/>
              </w:rPr>
              <w:t>/s/ Robert C. Shrosbree,</w:t>
            </w:r>
          </w:p>
        </w:tc>
        <w:tc>
          <w:tcPr>
            <w:tcW w:w="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07/30/2015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220" w:type="dxa"/>
            <w:vAlign w:val="bottom"/>
            <w:gridSpan w:val="3"/>
            <w:vMerge w:val="restart"/>
          </w:tcPr>
          <w:p>
            <w:pPr>
              <w:spacing w:after="0" w:line="192" w:lineRule="exact"/>
              <w:rPr>
                <w:sz w:val="20"/>
                <w:szCs w:val="20"/>
                <w:color w:val="auto"/>
              </w:rPr>
            </w:pPr>
            <w:r>
              <w:rPr>
                <w:rFonts w:ascii="Arial" w:cs="Arial" w:eastAsia="Arial" w:hAnsi="Arial"/>
                <w:sz w:val="17"/>
                <w:szCs w:val="17"/>
                <w:color w:val="0000FF"/>
                <w:w w:val="96"/>
              </w:rPr>
              <w:t>Attorney-In-Fact for Mr. Reuss</w:t>
            </w:r>
          </w:p>
        </w:tc>
        <w:tc>
          <w:tcPr>
            <w:tcW w:w="6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2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490220</wp:posOffset>
            </wp:positionH>
            <wp:positionV relativeFrom="page">
              <wp:posOffset>357505</wp:posOffset>
            </wp:positionV>
            <wp:extent cx="6715760" cy="8839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715760" cy="883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2019-12-08T21:37:39Z</dcterms:created>
  <dcterms:modified xsi:type="dcterms:W3CDTF">2019-12-08T21:37:39Z</dcterms:modified>
</cp:coreProperties>
</file>