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60"/>
        <w:spacing w:after="0" w:line="24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-229235</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40" w:type="dxa"/>
            <w:vAlign w:val="bottom"/>
          </w:tcPr>
          <w:p>
            <w:pPr>
              <w:jc w:val="center"/>
              <w:ind w:right="25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38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2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30"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5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3"/>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8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240" w:type="dxa"/>
            <w:vAlign w:val="bottom"/>
            <w:vMerge w:val="restart"/>
          </w:tcPr>
          <w:p>
            <w:pPr>
              <w:jc w:val="center"/>
              <w:ind w:right="23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5231765</wp:posOffset>
            </wp:positionH>
            <wp:positionV relativeFrom="paragraph">
              <wp:posOffset>-610870</wp:posOffset>
            </wp:positionV>
            <wp:extent cx="57150" cy="624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12700</wp:posOffset>
            </wp:positionV>
            <wp:extent cx="7047865" cy="509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865" cy="509651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00" w:space="420"/>
            <w:col w:w="846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Reuss Mark L</w:t>
        </w:r>
      </w:hyperlink>
    </w:p>
    <w:p>
      <w:pPr>
        <w:spacing w:after="0" w:line="30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6" w:lineRule="exact"/>
        <w:rPr>
          <w:sz w:val="24"/>
          <w:szCs w:val="24"/>
          <w:color w:val="auto"/>
        </w:rPr>
      </w:pPr>
    </w:p>
    <w:p>
      <w:pPr>
        <w:ind w:left="120" w:right="980"/>
        <w:spacing w:after="0" w:line="316" w:lineRule="auto"/>
        <w:rPr>
          <w:sz w:val="20"/>
          <w:szCs w:val="20"/>
          <w:color w:val="auto"/>
        </w:rPr>
      </w:pPr>
      <w:r>
        <w:rPr>
          <w:rFonts w:ascii="Arial" w:cs="Arial" w:eastAsia="Arial" w:hAnsi="Arial"/>
          <w:sz w:val="16"/>
          <w:szCs w:val="16"/>
          <w:color w:val="0000FF"/>
        </w:rPr>
        <w:t>300 RENAISSANCE CENTER M/C: 482-C24-A68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General Motors Co</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GM</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6" w:lineRule="exact"/>
        <w:rPr>
          <w:sz w:val="24"/>
          <w:szCs w:val="24"/>
          <w:color w:val="auto"/>
        </w:rPr>
      </w:pPr>
    </w:p>
    <w:p>
      <w:pPr>
        <w:spacing w:after="0"/>
        <w:rPr>
          <w:sz w:val="20"/>
          <w:szCs w:val="20"/>
          <w:color w:val="auto"/>
        </w:rPr>
      </w:pPr>
      <w:r>
        <w:rPr>
          <w:rFonts w:ascii="Arial" w:cs="Arial" w:eastAsia="Arial" w:hAnsi="Arial"/>
          <w:sz w:val="16"/>
          <w:szCs w:val="16"/>
          <w:color w:val="0000FF"/>
        </w:rPr>
        <w:t>11/17/2021</w:t>
      </w:r>
    </w:p>
    <w:p>
      <w:pPr>
        <w:spacing w:after="0" w:line="20" w:lineRule="exact"/>
        <w:rPr>
          <w:sz w:val="24"/>
          <w:szCs w:val="24"/>
          <w:color w:val="auto"/>
        </w:rPr>
      </w:pPr>
      <w:r>
        <w:rPr>
          <w:sz w:val="24"/>
          <w:szCs w:val="24"/>
          <w:color w:val="auto"/>
        </w:rPr>
        <w:br w:type="column"/>
      </w:r>
    </w:p>
    <w:p>
      <w:pPr>
        <w:ind w:left="-2" w:right="700" w:firstLine="2"/>
        <w:spacing w:after="0" w:line="231"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0"/>
        </w:trPr>
        <w:tc>
          <w:tcPr>
            <w:tcW w:w="220" w:type="dxa"/>
            <w:vAlign w:val="bottom"/>
          </w:tcPr>
          <w:p>
            <w:pPr>
              <w:spacing w:after="0"/>
              <w:rPr>
                <w:sz w:val="13"/>
                <w:szCs w:val="13"/>
                <w:color w:val="auto"/>
              </w:rPr>
            </w:pP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88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7"/>
        </w:trPr>
        <w:tc>
          <w:tcPr>
            <w:tcW w:w="220" w:type="dxa"/>
            <w:vAlign w:val="bottom"/>
            <w:vMerge w:val="restart"/>
          </w:tcPr>
          <w:p>
            <w:pPr>
              <w:spacing w:after="0"/>
              <w:rPr>
                <w:sz w:val="20"/>
                <w:szCs w:val="20"/>
                <w:color w:val="auto"/>
              </w:rPr>
            </w:pPr>
            <w:r>
              <w:rPr>
                <w:rFonts w:ascii="Arial" w:cs="Arial" w:eastAsia="Arial" w:hAnsi="Arial"/>
                <w:sz w:val="16"/>
                <w:szCs w:val="16"/>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880" w:type="dxa"/>
            <w:vAlign w:val="bottom"/>
          </w:tcPr>
          <w:p>
            <w:pPr>
              <w:ind w:left="10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99"/>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8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1"/>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1580" w:type="dxa"/>
            <w:vAlign w:val="bottom"/>
          </w:tcPr>
          <w:p>
            <w:pPr>
              <w:ind w:left="860"/>
              <w:spacing w:after="0"/>
              <w:rPr>
                <w:sz w:val="20"/>
                <w:szCs w:val="20"/>
                <w:color w:val="auto"/>
              </w:rPr>
            </w:pPr>
            <w:r>
              <w:rPr>
                <w:rFonts w:ascii="Arial" w:cs="Arial" w:eastAsia="Arial" w:hAnsi="Arial"/>
                <w:sz w:val="16"/>
                <w:szCs w:val="16"/>
                <w:color w:val="0000FF"/>
              </w:rPr>
              <w:t>President</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3" w:lineRule="exact"/>
        <w:rPr>
          <w:sz w:val="24"/>
          <w:szCs w:val="24"/>
          <w:color w:val="auto"/>
        </w:rPr>
      </w:pPr>
    </w:p>
    <w:p>
      <w:pPr>
        <w:sectPr>
          <w:pgSz w:w="11900" w:h="16838" w:orient="portrait"/>
          <w:cols w:equalWidth="0" w:num="3">
            <w:col w:w="3180" w:space="720"/>
            <w:col w:w="3102" w:space="720"/>
            <w:col w:w="3358"/>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700" w:type="dxa"/>
            <w:vAlign w:val="bottom"/>
            <w:gridSpan w:val="5"/>
          </w:tcPr>
          <w:p>
            <w:pPr>
              <w:jc w:val="center"/>
              <w:ind w:right="137"/>
              <w:spacing w:after="0" w:line="95" w:lineRule="exact"/>
              <w:rPr>
                <w:sz w:val="20"/>
                <w:szCs w:val="20"/>
                <w:color w:val="auto"/>
              </w:rPr>
            </w:pPr>
            <w:r>
              <w:rPr>
                <w:rFonts w:ascii="Arial" w:cs="Arial" w:eastAsia="Arial" w:hAnsi="Arial"/>
                <w:sz w:val="10"/>
                <w:szCs w:val="10"/>
                <w:color w:val="auto"/>
              </w:rPr>
              <w:t>4. If Amendment, Date of Original Filed (Month/Day/Year)</w:t>
            </w:r>
          </w:p>
        </w:tc>
        <w:tc>
          <w:tcPr>
            <w:tcW w:w="3640" w:type="dxa"/>
            <w:vAlign w:val="bottom"/>
            <w:gridSpan w:val="10"/>
          </w:tcPr>
          <w:p>
            <w:pPr>
              <w:ind w:left="280"/>
              <w:spacing w:after="0" w:line="95" w:lineRule="exact"/>
              <w:rPr>
                <w:sz w:val="20"/>
                <w:szCs w:val="20"/>
                <w:color w:val="auto"/>
              </w:rPr>
            </w:pPr>
            <w:r>
              <w:rPr>
                <w:rFonts w:ascii="Arial" w:cs="Arial" w:eastAsia="Arial" w:hAnsi="Arial"/>
                <w:sz w:val="10"/>
                <w:szCs w:val="10"/>
                <w:color w:val="auto"/>
              </w:rPr>
              <w:t>6. Individual or Joint/Group Filing (Check Applicable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0000FF"/>
              </w:rPr>
              <w:t>DETROIT</w:t>
            </w:r>
          </w:p>
        </w:tc>
        <w:tc>
          <w:tcPr>
            <w:tcW w:w="1180" w:type="dxa"/>
            <w:vAlign w:val="bottom"/>
            <w:gridSpan w:val="2"/>
            <w:vMerge w:val="restart"/>
          </w:tcPr>
          <w:p>
            <w:pPr>
              <w:ind w:left="20"/>
              <w:spacing w:after="0"/>
              <w:rPr>
                <w:sz w:val="20"/>
                <w:szCs w:val="20"/>
                <w:color w:val="auto"/>
              </w:rPr>
            </w:pPr>
            <w:r>
              <w:rPr>
                <w:rFonts w:ascii="Arial" w:cs="Arial" w:eastAsia="Arial" w:hAnsi="Arial"/>
                <w:sz w:val="16"/>
                <w:szCs w:val="16"/>
                <w:color w:val="0000FF"/>
              </w:rPr>
              <w:t>MI</w:t>
            </w:r>
          </w:p>
        </w:tc>
        <w:tc>
          <w:tcPr>
            <w:tcW w:w="1060" w:type="dxa"/>
            <w:vAlign w:val="bottom"/>
            <w:vMerge w:val="restart"/>
          </w:tcPr>
          <w:p>
            <w:pPr>
              <w:ind w:left="60"/>
              <w:spacing w:after="0"/>
              <w:rPr>
                <w:sz w:val="20"/>
                <w:szCs w:val="20"/>
                <w:color w:val="auto"/>
              </w:rPr>
            </w:pPr>
            <w:r>
              <w:rPr>
                <w:rFonts w:ascii="Arial" w:cs="Arial" w:eastAsia="Arial" w:hAnsi="Arial"/>
                <w:sz w:val="16"/>
                <w:szCs w:val="16"/>
                <w:color w:val="0000FF"/>
              </w:rPr>
              <w:t>48265-3000</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4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80" w:type="dxa"/>
            <w:vAlign w:val="bottom"/>
            <w:tcBorders>
              <w:bottom w:val="single" w:sz="8" w:color="9A9A9A"/>
            </w:tcBorders>
          </w:tcPr>
          <w:p>
            <w:pPr>
              <w:spacing w:after="0"/>
              <w:rPr>
                <w:sz w:val="4"/>
                <w:szCs w:val="4"/>
                <w:color w:val="auto"/>
              </w:rPr>
            </w:pPr>
          </w:p>
        </w:tc>
        <w:tc>
          <w:tcPr>
            <w:tcW w:w="5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vMerge w:val="restart"/>
          </w:tcPr>
          <w:p>
            <w:pPr>
              <w:spacing w:after="0"/>
              <w:rPr>
                <w:sz w:val="4"/>
                <w:szCs w:val="4"/>
                <w:color w:val="auto"/>
              </w:rPr>
            </w:pPr>
          </w:p>
        </w:tc>
        <w:tc>
          <w:tcPr>
            <w:tcW w:w="6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6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300" w:type="dxa"/>
            <w:vAlign w:val="bottom"/>
            <w:tcBorders>
              <w:bottom w:val="single" w:sz="8" w:color="2C2C2C"/>
            </w:tcBorders>
            <w:gridSpan w:val="6"/>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7320" w:type="dxa"/>
            <w:vAlign w:val="bottom"/>
            <w:tcBorders>
              <w:top w:val="single" w:sz="8" w:color="2C2C2C"/>
            </w:tcBorders>
            <w:gridSpan w:val="12"/>
          </w:tcPr>
          <w:p>
            <w:pPr>
              <w:jc w:val="center"/>
              <w:ind w:left="717"/>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780"/>
              <w:spacing w:after="0" w:line="123"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60"/>
              <w:spacing w:after="0" w:line="123"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3"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0" w:type="dxa"/>
            <w:vAlign w:val="bottom"/>
            <w:gridSpan w:val="3"/>
          </w:tcPr>
          <w:p>
            <w:pPr>
              <w:ind w:left="78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6"/>
                <w:szCs w:val="16"/>
                <w:color w:val="0000FF"/>
              </w:rPr>
              <w:t>11/17/2021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Arial" w:cs="Arial" w:eastAsia="Arial" w:hAnsi="Arial"/>
                <w:sz w:val="13"/>
                <w:szCs w:val="13"/>
                <w:color w:val="0000FF"/>
                <w:w w:val="91"/>
              </w:rPr>
              <w:t>M</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w w:val="97"/>
              </w:rPr>
              <w:t>189,015</w:t>
            </w:r>
            <w:r>
              <w:rPr>
                <w:rFonts w:ascii="Arial" w:cs="Arial" w:eastAsia="Arial" w:hAnsi="Arial"/>
                <w:sz w:val="20"/>
                <w:szCs w:val="20"/>
                <w:color w:val="008000"/>
                <w:w w:val="97"/>
                <w:vertAlign w:val="superscript"/>
              </w:rPr>
              <w:t>(1)</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A</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w w:val="93"/>
              </w:rPr>
              <w:t>$</w:t>
            </w:r>
            <w:r>
              <w:rPr>
                <w:rFonts w:ascii="Arial" w:cs="Arial" w:eastAsia="Arial" w:hAnsi="Arial"/>
                <w:sz w:val="16"/>
                <w:szCs w:val="16"/>
                <w:color w:val="0000FF"/>
                <w:w w:val="93"/>
              </w:rPr>
              <w:t>34.34</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314,697</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6"/>
                <w:szCs w:val="16"/>
                <w:color w:val="0000FF"/>
              </w:rPr>
              <w:t>11/17/2021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w w:val="97"/>
              </w:rPr>
              <w:t>189,015</w:t>
            </w:r>
            <w:r>
              <w:rPr>
                <w:rFonts w:ascii="Arial" w:cs="Arial" w:eastAsia="Arial" w:hAnsi="Arial"/>
                <w:sz w:val="20"/>
                <w:szCs w:val="20"/>
                <w:color w:val="008000"/>
                <w:w w:val="97"/>
                <w:vertAlign w:val="superscript"/>
              </w:rPr>
              <w:t>(1)</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64.39</w:t>
            </w:r>
            <w:r>
              <w:rPr>
                <w:rFonts w:ascii="Arial" w:cs="Arial" w:eastAsia="Arial" w:hAnsi="Arial"/>
                <w:sz w:val="20"/>
                <w:szCs w:val="20"/>
                <w:color w:val="008000"/>
                <w:w w:val="88"/>
                <w:vertAlign w:val="superscript"/>
              </w:rPr>
              <w:t>(2)</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125,682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Arial" w:cs="Arial" w:eastAsia="Arial" w:hAnsi="Arial"/>
                <w:sz w:val="16"/>
                <w:szCs w:val="16"/>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60"/>
              <w:spacing w:after="0"/>
              <w:rPr>
                <w:sz w:val="20"/>
                <w:szCs w:val="20"/>
                <w:color w:val="auto"/>
              </w:rPr>
            </w:pPr>
            <w:r>
              <w:rPr>
                <w:rFonts w:ascii="Arial" w:cs="Arial" w:eastAsia="Arial" w:hAnsi="Arial"/>
                <w:sz w:val="16"/>
                <w:szCs w:val="16"/>
                <w:color w:val="0000FF"/>
              </w:rPr>
              <w:t>11/17/2021</w:t>
            </w:r>
          </w:p>
        </w:tc>
        <w:tc>
          <w:tcPr>
            <w:tcW w:w="10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3"/>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right"/>
              <w:spacing w:after="0"/>
              <w:rPr>
                <w:sz w:val="20"/>
                <w:szCs w:val="20"/>
                <w:color w:val="auto"/>
              </w:rPr>
            </w:pPr>
            <w:r>
              <w:rPr>
                <w:rFonts w:ascii="Arial" w:cs="Arial" w:eastAsia="Arial" w:hAnsi="Arial"/>
                <w:sz w:val="16"/>
                <w:szCs w:val="16"/>
                <w:color w:val="0000FF"/>
              </w:rPr>
              <w:t>35,512</w:t>
            </w:r>
            <w:r>
              <w:rPr>
                <w:rFonts w:ascii="Arial" w:cs="Arial" w:eastAsia="Arial" w:hAnsi="Arial"/>
                <w:sz w:val="20"/>
                <w:szCs w:val="20"/>
                <w:color w:val="008000"/>
                <w:vertAlign w:val="superscript"/>
              </w:rPr>
              <w:t>(1)</w:t>
            </w:r>
          </w:p>
        </w:tc>
        <w:tc>
          <w:tcPr>
            <w:tcW w:w="600" w:type="dxa"/>
            <w:vAlign w:val="bottom"/>
            <w:tcBorders>
              <w:bottom w:val="single" w:sz="8" w:color="2C2C2C"/>
            </w:tcBorders>
          </w:tcPr>
          <w:p>
            <w:pPr>
              <w:ind w:left="280"/>
              <w:spacing w:after="0"/>
              <w:rPr>
                <w:sz w:val="20"/>
                <w:szCs w:val="20"/>
                <w:color w:val="auto"/>
              </w:rPr>
            </w:pPr>
            <w:r>
              <w:rPr>
                <w:rFonts w:ascii="Arial" w:cs="Arial" w:eastAsia="Arial" w:hAnsi="Arial"/>
                <w:sz w:val="16"/>
                <w:szCs w:val="16"/>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w w:val="88"/>
              </w:rPr>
              <w:t>$</w:t>
            </w:r>
            <w:r>
              <w:rPr>
                <w:rFonts w:ascii="Arial" w:cs="Arial" w:eastAsia="Arial" w:hAnsi="Arial"/>
                <w:sz w:val="16"/>
                <w:szCs w:val="16"/>
                <w:color w:val="0000FF"/>
                <w:w w:val="88"/>
              </w:rPr>
              <w:t>64.19</w:t>
            </w:r>
            <w:r>
              <w:rPr>
                <w:rFonts w:ascii="Arial" w:cs="Arial" w:eastAsia="Arial" w:hAnsi="Arial"/>
                <w:sz w:val="20"/>
                <w:szCs w:val="20"/>
                <w:color w:val="008000"/>
                <w:w w:val="88"/>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6"/>
                <w:szCs w:val="16"/>
                <w:color w:val="0000FF"/>
                <w:w w:val="89"/>
              </w:rPr>
              <w:t>90,170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1"/>
          </w:tcPr>
          <w:p>
            <w:pPr>
              <w:jc w:val="center"/>
              <w:ind w:right="122"/>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0" w:type="dxa"/>
            <w:vAlign w:val="bottom"/>
            <w:gridSpan w:val="9"/>
          </w:tcPr>
          <w:p>
            <w:pPr>
              <w:jc w:val="center"/>
              <w:ind w:left="412"/>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3"/>
                <w:szCs w:val="13"/>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560" w:type="dxa"/>
            <w:vAlign w:val="bottom"/>
          </w:tcPr>
          <w:p>
            <w:pPr>
              <w:spacing w:after="0"/>
              <w:rPr>
                <w:sz w:val="13"/>
                <w:szCs w:val="13"/>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spacing w:after="0"/>
              <w:rPr>
                <w:sz w:val="20"/>
                <w:szCs w:val="20"/>
                <w:color w:val="auto"/>
              </w:rPr>
            </w:pPr>
            <w:r>
              <w:rPr>
                <w:rFonts w:ascii="Arial" w:cs="Arial" w:eastAsia="Arial" w:hAnsi="Arial"/>
                <w:sz w:val="11"/>
                <w:szCs w:val="11"/>
                <w:b w:val="1"/>
                <w:bCs w:val="1"/>
                <w:color w:val="auto"/>
              </w:rPr>
              <w:t>Underlying</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560" w:type="dxa"/>
            <w:vAlign w:val="bottom"/>
          </w:tcPr>
          <w:p>
            <w:pPr>
              <w:spacing w:after="0"/>
              <w:rPr>
                <w:sz w:val="10"/>
                <w:szCs w:val="10"/>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Acquired (A) or</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Disposed of</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6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2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gridSpan w:val="2"/>
          </w:tcPr>
          <w:p>
            <w:pPr>
              <w:ind w:left="60"/>
              <w:spacing w:after="0" w:line="139"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20" w:type="dxa"/>
            <w:vAlign w:val="bottom"/>
            <w:vMerge w:val="restart"/>
          </w:tcPr>
          <w:p>
            <w:pPr>
              <w:ind w:left="400"/>
              <w:spacing w:after="0"/>
              <w:rPr>
                <w:sz w:val="20"/>
                <w:szCs w:val="20"/>
                <w:color w:val="auto"/>
              </w:rPr>
            </w:pPr>
            <w:r>
              <w:rPr>
                <w:rFonts w:ascii="Arial" w:cs="Arial" w:eastAsia="Arial" w:hAnsi="Arial"/>
                <w:sz w:val="13"/>
                <w:szCs w:val="13"/>
                <w:color w:val="0000FF"/>
                <w:w w:val="94"/>
              </w:rPr>
              <w:t>189,015</w:t>
            </w:r>
            <w:r>
              <w:rPr>
                <w:rFonts w:ascii="Arial" w:cs="Arial" w:eastAsia="Arial" w:hAnsi="Arial"/>
                <w:sz w:val="20"/>
                <w:szCs w:val="20"/>
                <w:color w:val="008000"/>
                <w:w w:val="94"/>
                <w:vertAlign w:val="superscript"/>
              </w:rPr>
              <w:t>(1)</w:t>
            </w: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(4)</w:t>
            </w:r>
          </w:p>
        </w:tc>
        <w:tc>
          <w:tcPr>
            <w:tcW w:w="760" w:type="dxa"/>
            <w:vAlign w:val="bottom"/>
          </w:tcPr>
          <w:p>
            <w:pPr>
              <w:spacing w:after="0"/>
              <w:rPr>
                <w:sz w:val="12"/>
                <w:szCs w:val="12"/>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00" w:type="dxa"/>
            <w:vAlign w:val="bottom"/>
            <w:vMerge w:val="restart"/>
          </w:tcPr>
          <w:p>
            <w:pPr>
              <w:ind w:left="20"/>
              <w:spacing w:after="0"/>
              <w:rPr>
                <w:sz w:val="20"/>
                <w:szCs w:val="20"/>
                <w:color w:val="auto"/>
              </w:rPr>
            </w:pPr>
            <w:r>
              <w:rPr>
                <w:rFonts w:ascii="Arial" w:cs="Arial" w:eastAsia="Arial" w:hAnsi="Arial"/>
                <w:sz w:val="16"/>
                <w:szCs w:val="16"/>
                <w:color w:val="0000FF"/>
                <w:w w:val="96"/>
              </w:rPr>
              <w:t>189,015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34.34</w:t>
            </w:r>
          </w:p>
        </w:tc>
        <w:tc>
          <w:tcPr>
            <w:tcW w:w="120" w:type="dxa"/>
            <w:vAlign w:val="bottom"/>
          </w:tcPr>
          <w:p>
            <w:pPr>
              <w:spacing w:after="0"/>
              <w:rPr>
                <w:sz w:val="11"/>
                <w:szCs w:val="11"/>
                <w:color w:val="auto"/>
              </w:rPr>
            </w:pPr>
          </w:p>
        </w:tc>
        <w:tc>
          <w:tcPr>
            <w:tcW w:w="1060" w:type="dxa"/>
            <w:vAlign w:val="bottom"/>
          </w:tcPr>
          <w:p>
            <w:pPr>
              <w:jc w:val="right"/>
              <w:ind w:right="177"/>
              <w:spacing w:after="0" w:line="135" w:lineRule="exact"/>
              <w:rPr>
                <w:sz w:val="20"/>
                <w:szCs w:val="20"/>
                <w:color w:val="auto"/>
              </w:rPr>
            </w:pPr>
            <w:r>
              <w:rPr>
                <w:rFonts w:ascii="Arial" w:cs="Arial" w:eastAsia="Arial" w:hAnsi="Arial"/>
                <w:sz w:val="13"/>
                <w:szCs w:val="13"/>
                <w:color w:val="0000FF"/>
              </w:rPr>
              <w:t>11/17/2021</w:t>
            </w:r>
          </w:p>
        </w:tc>
        <w:tc>
          <w:tcPr>
            <w:tcW w:w="1060" w:type="dxa"/>
            <w:vAlign w:val="bottom"/>
          </w:tcPr>
          <w:p>
            <w:pPr>
              <w:spacing w:after="0"/>
              <w:rPr>
                <w:sz w:val="11"/>
                <w:szCs w:val="11"/>
                <w:color w:val="auto"/>
              </w:rPr>
            </w:pPr>
          </w:p>
        </w:tc>
        <w:tc>
          <w:tcPr>
            <w:tcW w:w="740" w:type="dxa"/>
            <w:vAlign w:val="bottom"/>
            <w:gridSpan w:val="2"/>
          </w:tcPr>
          <w:p>
            <w:pPr>
              <w:ind w:left="160"/>
              <w:spacing w:after="0" w:line="135" w:lineRule="exact"/>
              <w:rPr>
                <w:sz w:val="20"/>
                <w:szCs w:val="20"/>
                <w:color w:val="auto"/>
              </w:rPr>
            </w:pPr>
            <w:r>
              <w:rPr>
                <w:rFonts w:ascii="Arial" w:cs="Arial" w:eastAsia="Arial" w:hAnsi="Arial"/>
                <w:sz w:val="13"/>
                <w:szCs w:val="13"/>
                <w:color w:val="0000FF"/>
              </w:rPr>
              <w:t>M</w:t>
            </w:r>
          </w:p>
        </w:tc>
        <w:tc>
          <w:tcPr>
            <w:tcW w:w="10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tcPr>
          <w:p>
            <w:pPr>
              <w:jc w:val="right"/>
              <w:ind w:right="54"/>
              <w:spacing w:after="0" w:line="135" w:lineRule="exact"/>
              <w:rPr>
                <w:sz w:val="20"/>
                <w:szCs w:val="20"/>
                <w:color w:val="auto"/>
              </w:rPr>
            </w:pPr>
            <w:r>
              <w:rPr>
                <w:rFonts w:ascii="Arial" w:cs="Arial" w:eastAsia="Arial" w:hAnsi="Arial"/>
                <w:sz w:val="13"/>
                <w:szCs w:val="13"/>
                <w:color w:val="0000FF"/>
                <w:w w:val="95"/>
              </w:rPr>
              <w:t>06/07/2027</w:t>
            </w:r>
          </w:p>
        </w:tc>
        <w:tc>
          <w:tcPr>
            <w:tcW w:w="60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ind w:left="220"/>
              <w:spacing w:after="0" w:line="135"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ind w:left="380"/>
              <w:spacing w:after="0" w:line="135"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1"/>
                <w:szCs w:val="11"/>
                <w:color w:val="auto"/>
              </w:rPr>
            </w:pPr>
          </w:p>
        </w:tc>
        <w:tc>
          <w:tcPr>
            <w:tcW w:w="640" w:type="dxa"/>
            <w:vAlign w:val="bottom"/>
          </w:tcPr>
          <w:p>
            <w:pPr>
              <w:ind w:left="320"/>
              <w:spacing w:after="0" w:line="13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ind w:left="100"/>
              <w:spacing w:after="0" w:line="126" w:lineRule="exact"/>
              <w:rPr>
                <w:sz w:val="20"/>
                <w:szCs w:val="20"/>
                <w:color w:val="auto"/>
              </w:rPr>
            </w:pPr>
            <w:r>
              <w:rPr>
                <w:rFonts w:ascii="Arial" w:cs="Arial" w:eastAsia="Arial" w:hAnsi="Arial"/>
                <w:sz w:val="13"/>
                <w:szCs w:val="13"/>
                <w:color w:val="0000FF"/>
              </w:rPr>
              <w:t>Stock</w:t>
            </w: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line="237" w:lineRule="auto"/>
        <w:rPr>
          <w:sz w:val="20"/>
          <w:szCs w:val="20"/>
          <w:color w:val="auto"/>
        </w:rPr>
      </w:pPr>
      <w:r>
        <w:rPr>
          <w:rFonts w:ascii="Arial" w:cs="Arial" w:eastAsia="Arial" w:hAnsi="Arial"/>
          <w:sz w:val="13"/>
          <w:szCs w:val="13"/>
          <w:color w:val="0000FF"/>
        </w:rPr>
        <w:t>Buy)</w:t>
      </w:r>
    </w:p>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4"/>
          <w:szCs w:val="24"/>
          <w:color w:val="auto"/>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pursuant to a Rule 10b5-1 trading plan.</w:t>
      </w:r>
    </w:p>
    <w:p>
      <w:pPr>
        <w:spacing w:after="0" w:line="39" w:lineRule="exact"/>
        <w:rPr>
          <w:rFonts w:ascii="Arial" w:cs="Arial" w:eastAsia="Arial" w:hAnsi="Arial"/>
          <w:sz w:val="13"/>
          <w:szCs w:val="13"/>
          <w:color w:val="008000"/>
        </w:rPr>
      </w:pPr>
    </w:p>
    <w:p>
      <w:pPr>
        <w:ind w:left="40" w:right="180" w:hanging="2"/>
        <w:spacing w:after="0" w:line="275"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$64.00 to $64.91, inclusive. The Reporting Person undertakes to provide to the SEC, GM and any security holder, upon request, full information regarding the number of shares sold at each price point within the ranges set forth in this footnote.</w:t>
      </w:r>
    </w:p>
    <w:p>
      <w:pPr>
        <w:spacing w:after="0" w:line="10" w:lineRule="exact"/>
        <w:rPr>
          <w:rFonts w:ascii="Arial" w:cs="Arial" w:eastAsia="Arial" w:hAnsi="Arial"/>
          <w:sz w:val="12"/>
          <w:szCs w:val="12"/>
          <w:color w:val="008000"/>
        </w:rPr>
      </w:pPr>
    </w:p>
    <w:p>
      <w:pPr>
        <w:ind w:left="40" w:right="180" w:hanging="2"/>
        <w:spacing w:after="0" w:line="275" w:lineRule="auto"/>
        <w:tabs>
          <w:tab w:leader="none" w:pos="166"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selling price of the shares. The shares were sold in multiple transactions at prices from $64.00 to $64.53, inclusive. The Reporting Person undertakes to provide to the SEC, GM and any security holder, upon request, full information regarding the number of shares sold at each price point within the ranges set forth in this footnote.</w:t>
      </w:r>
    </w:p>
    <w:p>
      <w:pPr>
        <w:spacing w:after="0" w:line="10" w:lineRule="exact"/>
        <w:rPr>
          <w:rFonts w:ascii="Arial" w:cs="Arial" w:eastAsia="Arial" w:hAnsi="Arial"/>
          <w:sz w:val="12"/>
          <w:szCs w:val="12"/>
          <w:color w:val="008000"/>
        </w:rPr>
      </w:pPr>
    </w:p>
    <w:p>
      <w:pPr>
        <w:ind w:left="160" w:hanging="122"/>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stock options were granted on June 7, 2017. The options became exercisable in three equal installments on February 14, 2018, February 14, 2019, and February 14, 2020.</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ind w:left="6600"/>
        <w:spacing w:after="0" w:line="230" w:lineRule="auto"/>
        <w:rPr>
          <w:sz w:val="20"/>
          <w:szCs w:val="20"/>
          <w:color w:val="auto"/>
        </w:rPr>
      </w:pPr>
      <w:r>
        <w:rPr>
          <w:rFonts w:ascii="Arial" w:cs="Arial" w:eastAsia="Arial" w:hAnsi="Arial"/>
          <w:sz w:val="16"/>
          <w:szCs w:val="16"/>
          <w:color w:val="0000FF"/>
        </w:rPr>
        <w:t xml:space="preserve">/s/ Tia Y. Turk, Attorney-In-Fact </w:t>
      </w:r>
      <w:r>
        <w:rPr>
          <w:rFonts w:ascii="Arial" w:cs="Arial" w:eastAsia="Arial" w:hAnsi="Arial"/>
          <w:sz w:val="32"/>
          <w:szCs w:val="32"/>
          <w:color w:val="0000FF"/>
          <w:vertAlign w:val="subscript"/>
        </w:rPr>
        <w:t>11/19/2021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12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6"/>
          <w:szCs w:val="16"/>
          <w:color w:val="0000FF"/>
        </w:rPr>
        <w:t>for Mr. Reuss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567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67690"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692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6926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4"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2021-11-19T16:19:23Z</dcterms:created>
  <dcterms:modified xsi:type="dcterms:W3CDTF">2021-11-19T16:19:23Z</dcterms:modified>
</cp:coreProperties>
</file>