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144780</wp:posOffset>
            </wp:positionH>
            <wp:positionV relativeFrom="page">
              <wp:posOffset>641985</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t>UNITED STATES</w:t>
      </w:r>
    </w:p>
    <w:p>
      <w:pPr>
        <w:spacing w:after="0" w:line="38"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20549-1004</w:t>
      </w:r>
    </w:p>
    <w:p>
      <w:pPr>
        <w:spacing w:after="0" w:line="5" w:lineRule="exact"/>
        <w:rPr>
          <w:sz w:val="24"/>
          <w:szCs w:val="24"/>
          <w:color w:val="auto"/>
        </w:rPr>
      </w:pPr>
    </w:p>
    <w:p>
      <w:pPr>
        <w:ind w:left="4680"/>
        <w:spacing w:after="0"/>
        <w:rPr>
          <w:sz w:val="20"/>
          <w:szCs w:val="20"/>
          <w:color w:val="auto"/>
        </w:rPr>
      </w:pPr>
      <w:r>
        <w:rPr>
          <w:rFonts w:ascii="Arial" w:cs="Arial" w:eastAsia="Arial" w:hAnsi="Arial"/>
          <w:sz w:val="22"/>
          <w:szCs w:val="22"/>
          <w:color w:val="auto"/>
        </w:rPr>
        <w:t>___________________</w:t>
      </w:r>
    </w:p>
    <w:p>
      <w:pPr>
        <w:spacing w:after="0" w:line="182"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48" w:lineRule="exact"/>
        <w:rPr>
          <w:sz w:val="24"/>
          <w:szCs w:val="24"/>
          <w:color w:val="auto"/>
        </w:rPr>
      </w:pPr>
    </w:p>
    <w:p>
      <w:pPr>
        <w:ind w:left="4680"/>
        <w:spacing w:after="0"/>
        <w:rPr>
          <w:sz w:val="20"/>
          <w:szCs w:val="20"/>
          <w:color w:val="auto"/>
        </w:rPr>
      </w:pPr>
      <w:r>
        <w:rPr>
          <w:rFonts w:ascii="Arial" w:cs="Arial" w:eastAsia="Arial" w:hAnsi="Arial"/>
          <w:sz w:val="22"/>
          <w:szCs w:val="22"/>
          <w:color w:val="auto"/>
        </w:rPr>
        <w:t>___________________</w:t>
      </w:r>
    </w:p>
    <w:p>
      <w:pPr>
        <w:spacing w:after="0" w:line="196"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28"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 OF</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91"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Date of Report (Date of earliest event reported) November 5, 2012</w:t>
      </w:r>
    </w:p>
    <w:p>
      <w:pPr>
        <w:spacing w:after="0" w:line="27" w:lineRule="exact"/>
        <w:rPr>
          <w:sz w:val="24"/>
          <w:szCs w:val="24"/>
          <w:color w:val="auto"/>
        </w:rPr>
      </w:pPr>
    </w:p>
    <w:p>
      <w:pPr>
        <w:ind w:left="4680"/>
        <w:spacing w:after="0"/>
        <w:rPr>
          <w:sz w:val="20"/>
          <w:szCs w:val="20"/>
          <w:color w:val="auto"/>
        </w:rPr>
      </w:pPr>
      <w:r>
        <w:rPr>
          <w:rFonts w:ascii="Arial" w:cs="Arial" w:eastAsia="Arial" w:hAnsi="Arial"/>
          <w:sz w:val="22"/>
          <w:szCs w:val="22"/>
          <w:color w:val="auto"/>
        </w:rPr>
        <w:t>___________________</w:t>
      </w:r>
    </w:p>
    <w:p>
      <w:pPr>
        <w:spacing w:after="0" w:line="190"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GENERAL MOTORS COMPANY</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(Exact Name of Registrant as Specified in its Charter)</w:t>
      </w:r>
    </w:p>
    <w:p>
      <w:pPr>
        <w:spacing w:after="0" w:line="7" w:lineRule="exact"/>
        <w:rPr>
          <w:sz w:val="24"/>
          <w:szCs w:val="24"/>
          <w:color w:val="auto"/>
        </w:rPr>
      </w:pPr>
    </w:p>
    <w:p>
      <w:pPr>
        <w:ind w:left="4680"/>
        <w:spacing w:after="0"/>
        <w:rPr>
          <w:sz w:val="20"/>
          <w:szCs w:val="20"/>
          <w:color w:val="auto"/>
        </w:rPr>
      </w:pPr>
      <w:r>
        <w:rPr>
          <w:rFonts w:ascii="Arial" w:cs="Arial" w:eastAsia="Arial" w:hAnsi="Arial"/>
          <w:sz w:val="22"/>
          <w:szCs w:val="22"/>
          <w:color w:val="auto"/>
        </w:rPr>
        <w:t>___________________</w:t>
      </w:r>
    </w:p>
    <w:p>
      <w:pPr>
        <w:spacing w:after="0" w:line="200" w:lineRule="exact"/>
        <w:rPr>
          <w:sz w:val="24"/>
          <w:szCs w:val="24"/>
          <w:color w:val="auto"/>
        </w:rPr>
      </w:pPr>
    </w:p>
    <w:p>
      <w:pPr>
        <w:spacing w:after="0" w:line="380" w:lineRule="exact"/>
        <w:rPr>
          <w:sz w:val="24"/>
          <w:szCs w:val="24"/>
          <w:color w:val="auto"/>
        </w:rPr>
      </w:pPr>
    </w:p>
    <w:tbl>
      <w:tblPr>
        <w:tblLayout w:type="fixed"/>
        <w:tblInd w:w="1360" w:type="dxa"/>
        <w:tblCellMar>
          <w:top w:w="0" w:type="dxa"/>
          <w:left w:w="0" w:type="dxa"/>
          <w:bottom w:w="0" w:type="dxa"/>
          <w:right w:w="0" w:type="dxa"/>
        </w:tblCellMar>
      </w:tblPr>
      <w:tr>
        <w:trPr>
          <w:trHeight w:val="220"/>
        </w:trPr>
        <w:tc>
          <w:tcPr>
            <w:tcW w:w="2280" w:type="dxa"/>
            <w:vAlign w:val="bottom"/>
          </w:tcPr>
          <w:p>
            <w:pPr>
              <w:jc w:val="center"/>
              <w:ind w:right="90"/>
              <w:spacing w:after="0"/>
              <w:rPr>
                <w:sz w:val="20"/>
                <w:szCs w:val="20"/>
                <w:color w:val="auto"/>
              </w:rPr>
            </w:pPr>
            <w:r>
              <w:rPr>
                <w:rFonts w:ascii="Arial" w:cs="Arial" w:eastAsia="Arial" w:hAnsi="Arial"/>
                <w:sz w:val="18"/>
                <w:szCs w:val="18"/>
                <w:b w:val="1"/>
                <w:bCs w:val="1"/>
                <w:color w:val="auto"/>
                <w:w w:val="98"/>
              </w:rPr>
              <w:t>DELAWARE</w:t>
            </w:r>
          </w:p>
        </w:tc>
        <w:tc>
          <w:tcPr>
            <w:tcW w:w="4040" w:type="dxa"/>
            <w:vAlign w:val="bottom"/>
            <w:vMerge w:val="restart"/>
          </w:tcPr>
          <w:p>
            <w:pPr>
              <w:jc w:val="center"/>
              <w:ind w:left="50"/>
              <w:spacing w:after="0"/>
              <w:rPr>
                <w:sz w:val="20"/>
                <w:szCs w:val="20"/>
                <w:color w:val="auto"/>
              </w:rPr>
            </w:pPr>
            <w:r>
              <w:rPr>
                <w:rFonts w:ascii="Arial" w:cs="Arial" w:eastAsia="Arial" w:hAnsi="Arial"/>
                <w:sz w:val="18"/>
                <w:szCs w:val="18"/>
                <w:b w:val="1"/>
                <w:bCs w:val="1"/>
                <w:color w:val="auto"/>
                <w:w w:val="90"/>
              </w:rPr>
              <w:t>001-34960</w:t>
            </w:r>
          </w:p>
        </w:tc>
        <w:tc>
          <w:tcPr>
            <w:tcW w:w="2020" w:type="dxa"/>
            <w:vAlign w:val="bottom"/>
          </w:tcPr>
          <w:p>
            <w:pPr>
              <w:jc w:val="center"/>
              <w:ind w:left="590"/>
              <w:spacing w:after="0"/>
              <w:rPr>
                <w:sz w:val="20"/>
                <w:szCs w:val="20"/>
                <w:color w:val="auto"/>
              </w:rPr>
            </w:pPr>
            <w:r>
              <w:rPr>
                <w:rFonts w:ascii="Arial" w:cs="Arial" w:eastAsia="Arial" w:hAnsi="Arial"/>
                <w:sz w:val="18"/>
                <w:szCs w:val="18"/>
                <w:b w:val="1"/>
                <w:bCs w:val="1"/>
                <w:color w:val="auto"/>
                <w:w w:val="89"/>
              </w:rPr>
              <w:t>27-0756180</w:t>
            </w:r>
          </w:p>
        </w:tc>
        <w:tc>
          <w:tcPr>
            <w:tcW w:w="0" w:type="dxa"/>
            <w:vAlign w:val="bottom"/>
          </w:tcPr>
          <w:p>
            <w:pPr>
              <w:spacing w:after="0"/>
              <w:rPr>
                <w:sz w:val="1"/>
                <w:szCs w:val="1"/>
                <w:color w:val="auto"/>
              </w:rPr>
            </w:pPr>
          </w:p>
        </w:tc>
      </w:tr>
      <w:tr>
        <w:trPr>
          <w:trHeight w:val="216"/>
        </w:trPr>
        <w:tc>
          <w:tcPr>
            <w:tcW w:w="2280" w:type="dxa"/>
            <w:vAlign w:val="bottom"/>
          </w:tcPr>
          <w:p>
            <w:pPr>
              <w:jc w:val="center"/>
              <w:ind w:right="90"/>
              <w:spacing w:after="0"/>
              <w:rPr>
                <w:sz w:val="20"/>
                <w:szCs w:val="20"/>
                <w:color w:val="auto"/>
              </w:rPr>
            </w:pPr>
            <w:r>
              <w:rPr>
                <w:rFonts w:ascii="Arial" w:cs="Arial" w:eastAsia="Arial" w:hAnsi="Arial"/>
                <w:sz w:val="18"/>
                <w:szCs w:val="18"/>
                <w:color w:val="auto"/>
                <w:w w:val="93"/>
              </w:rPr>
              <w:t>(State or other jurisdiction of</w:t>
            </w:r>
          </w:p>
        </w:tc>
        <w:tc>
          <w:tcPr>
            <w:tcW w:w="4040" w:type="dxa"/>
            <w:vAlign w:val="bottom"/>
            <w:vMerge w:val="continue"/>
          </w:tcPr>
          <w:p>
            <w:pPr>
              <w:spacing w:after="0"/>
              <w:rPr>
                <w:sz w:val="18"/>
                <w:szCs w:val="18"/>
                <w:color w:val="auto"/>
              </w:rPr>
            </w:pPr>
          </w:p>
        </w:tc>
        <w:tc>
          <w:tcPr>
            <w:tcW w:w="2020" w:type="dxa"/>
            <w:vAlign w:val="bottom"/>
          </w:tcPr>
          <w:p>
            <w:pPr>
              <w:jc w:val="center"/>
              <w:ind w:left="590"/>
              <w:spacing w:after="0"/>
              <w:rPr>
                <w:sz w:val="20"/>
                <w:szCs w:val="20"/>
                <w:color w:val="auto"/>
              </w:rPr>
            </w:pPr>
            <w:r>
              <w:rPr>
                <w:rFonts w:ascii="Arial" w:cs="Arial" w:eastAsia="Arial" w:hAnsi="Arial"/>
                <w:sz w:val="18"/>
                <w:szCs w:val="18"/>
                <w:color w:val="auto"/>
                <w:w w:val="92"/>
              </w:rPr>
              <w:t>(I.R.S. Employer</w:t>
            </w:r>
          </w:p>
        </w:tc>
        <w:tc>
          <w:tcPr>
            <w:tcW w:w="0" w:type="dxa"/>
            <w:vAlign w:val="bottom"/>
          </w:tcPr>
          <w:p>
            <w:pPr>
              <w:spacing w:after="0"/>
              <w:rPr>
                <w:sz w:val="1"/>
                <w:szCs w:val="1"/>
                <w:color w:val="auto"/>
              </w:rPr>
            </w:pPr>
          </w:p>
        </w:tc>
      </w:tr>
      <w:tr>
        <w:trPr>
          <w:trHeight w:val="230"/>
        </w:trPr>
        <w:tc>
          <w:tcPr>
            <w:tcW w:w="2280" w:type="dxa"/>
            <w:vAlign w:val="bottom"/>
          </w:tcPr>
          <w:p>
            <w:pPr>
              <w:jc w:val="center"/>
              <w:ind w:right="90"/>
              <w:spacing w:after="0"/>
              <w:rPr>
                <w:sz w:val="20"/>
                <w:szCs w:val="20"/>
                <w:color w:val="auto"/>
              </w:rPr>
            </w:pPr>
            <w:r>
              <w:rPr>
                <w:rFonts w:ascii="Arial" w:cs="Arial" w:eastAsia="Arial" w:hAnsi="Arial"/>
                <w:sz w:val="18"/>
                <w:szCs w:val="18"/>
                <w:color w:val="auto"/>
                <w:w w:val="92"/>
              </w:rPr>
              <w:t>incorporation)</w:t>
            </w:r>
          </w:p>
        </w:tc>
        <w:tc>
          <w:tcPr>
            <w:tcW w:w="4040" w:type="dxa"/>
            <w:vAlign w:val="bottom"/>
          </w:tcPr>
          <w:p>
            <w:pPr>
              <w:jc w:val="center"/>
              <w:ind w:left="30"/>
              <w:spacing w:after="0"/>
              <w:rPr>
                <w:sz w:val="20"/>
                <w:szCs w:val="20"/>
                <w:color w:val="auto"/>
              </w:rPr>
            </w:pPr>
            <w:r>
              <w:rPr>
                <w:rFonts w:ascii="Arial" w:cs="Arial" w:eastAsia="Arial" w:hAnsi="Arial"/>
                <w:sz w:val="18"/>
                <w:szCs w:val="18"/>
                <w:color w:val="auto"/>
                <w:w w:val="93"/>
              </w:rPr>
              <w:t>(Commission File Number)</w:t>
            </w:r>
          </w:p>
        </w:tc>
        <w:tc>
          <w:tcPr>
            <w:tcW w:w="2020" w:type="dxa"/>
            <w:vAlign w:val="bottom"/>
          </w:tcPr>
          <w:p>
            <w:pPr>
              <w:jc w:val="center"/>
              <w:ind w:left="590"/>
              <w:spacing w:after="0"/>
              <w:rPr>
                <w:sz w:val="20"/>
                <w:szCs w:val="20"/>
                <w:color w:val="auto"/>
              </w:rPr>
            </w:pPr>
            <w:r>
              <w:rPr>
                <w:rFonts w:ascii="Arial" w:cs="Arial" w:eastAsia="Arial" w:hAnsi="Arial"/>
                <w:sz w:val="18"/>
                <w:szCs w:val="18"/>
                <w:color w:val="auto"/>
                <w:w w:val="95"/>
              </w:rPr>
              <w:t>Identification No.)</w:t>
            </w:r>
          </w:p>
        </w:tc>
        <w:tc>
          <w:tcPr>
            <w:tcW w:w="0" w:type="dxa"/>
            <w:vAlign w:val="bottom"/>
          </w:tcPr>
          <w:p>
            <w:pPr>
              <w:spacing w:after="0"/>
              <w:rPr>
                <w:sz w:val="1"/>
                <w:szCs w:val="1"/>
                <w:color w:val="auto"/>
              </w:rPr>
            </w:pPr>
          </w:p>
        </w:tc>
      </w:tr>
      <w:tr>
        <w:trPr>
          <w:trHeight w:val="472"/>
        </w:trPr>
        <w:tc>
          <w:tcPr>
            <w:tcW w:w="6320" w:type="dxa"/>
            <w:vAlign w:val="bottom"/>
            <w:gridSpan w:val="2"/>
          </w:tcPr>
          <w:p>
            <w:pPr>
              <w:jc w:val="center"/>
              <w:ind w:right="2450"/>
              <w:spacing w:after="0"/>
              <w:rPr>
                <w:sz w:val="20"/>
                <w:szCs w:val="20"/>
                <w:color w:val="auto"/>
              </w:rPr>
            </w:pPr>
            <w:r>
              <w:rPr>
                <w:rFonts w:ascii="Arial" w:cs="Arial" w:eastAsia="Arial" w:hAnsi="Arial"/>
                <w:sz w:val="18"/>
                <w:szCs w:val="18"/>
                <w:b w:val="1"/>
                <w:bCs w:val="1"/>
                <w:color w:val="auto"/>
                <w:w w:val="89"/>
              </w:rPr>
              <w:t>300 Renaissance Center, Detroit, Michigan</w:t>
            </w:r>
          </w:p>
        </w:tc>
        <w:tc>
          <w:tcPr>
            <w:tcW w:w="2020" w:type="dxa"/>
            <w:vAlign w:val="bottom"/>
          </w:tcPr>
          <w:p>
            <w:pPr>
              <w:jc w:val="right"/>
              <w:ind w:right="990"/>
              <w:spacing w:after="0"/>
              <w:rPr>
                <w:sz w:val="20"/>
                <w:szCs w:val="20"/>
                <w:color w:val="auto"/>
              </w:rPr>
            </w:pPr>
            <w:r>
              <w:rPr>
                <w:rFonts w:ascii="Arial" w:cs="Arial" w:eastAsia="Arial" w:hAnsi="Arial"/>
                <w:sz w:val="18"/>
                <w:szCs w:val="18"/>
                <w:b w:val="1"/>
                <w:bCs w:val="1"/>
                <w:color w:val="auto"/>
                <w:w w:val="95"/>
              </w:rPr>
              <w:t>48265-3000</w:t>
            </w:r>
          </w:p>
        </w:tc>
        <w:tc>
          <w:tcPr>
            <w:tcW w:w="0" w:type="dxa"/>
            <w:vAlign w:val="bottom"/>
          </w:tcPr>
          <w:p>
            <w:pPr>
              <w:spacing w:after="0"/>
              <w:rPr>
                <w:sz w:val="1"/>
                <w:szCs w:val="1"/>
                <w:color w:val="auto"/>
              </w:rPr>
            </w:pPr>
          </w:p>
        </w:tc>
      </w:tr>
      <w:tr>
        <w:trPr>
          <w:trHeight w:val="230"/>
        </w:trPr>
        <w:tc>
          <w:tcPr>
            <w:tcW w:w="6320" w:type="dxa"/>
            <w:vAlign w:val="bottom"/>
            <w:gridSpan w:val="2"/>
          </w:tcPr>
          <w:p>
            <w:pPr>
              <w:jc w:val="center"/>
              <w:ind w:right="2450"/>
              <w:spacing w:after="0"/>
              <w:rPr>
                <w:sz w:val="20"/>
                <w:szCs w:val="20"/>
                <w:color w:val="auto"/>
              </w:rPr>
            </w:pPr>
            <w:r>
              <w:rPr>
                <w:rFonts w:ascii="Arial" w:cs="Arial" w:eastAsia="Arial" w:hAnsi="Arial"/>
                <w:sz w:val="18"/>
                <w:szCs w:val="18"/>
                <w:color w:val="auto"/>
                <w:w w:val="92"/>
              </w:rPr>
              <w:t>(Address of Principal Executive Offices)</w:t>
            </w:r>
          </w:p>
        </w:tc>
        <w:tc>
          <w:tcPr>
            <w:tcW w:w="2020" w:type="dxa"/>
            <w:vAlign w:val="bottom"/>
          </w:tcPr>
          <w:p>
            <w:pPr>
              <w:jc w:val="center"/>
              <w:ind w:right="910"/>
              <w:spacing w:after="0"/>
              <w:rPr>
                <w:sz w:val="20"/>
                <w:szCs w:val="20"/>
                <w:color w:val="auto"/>
              </w:rPr>
            </w:pPr>
            <w:r>
              <w:rPr>
                <w:rFonts w:ascii="Arial" w:cs="Arial" w:eastAsia="Arial" w:hAnsi="Arial"/>
                <w:sz w:val="18"/>
                <w:szCs w:val="18"/>
                <w:color w:val="auto"/>
                <w:w w:val="91"/>
              </w:rPr>
              <w:t>(Zip Code)</w:t>
            </w:r>
          </w:p>
        </w:tc>
        <w:tc>
          <w:tcPr>
            <w:tcW w:w="0" w:type="dxa"/>
            <w:vAlign w:val="bottom"/>
          </w:tcPr>
          <w:p>
            <w:pPr>
              <w:spacing w:after="0"/>
              <w:rPr>
                <w:sz w:val="1"/>
                <w:szCs w:val="1"/>
                <w:color w:val="auto"/>
              </w:rPr>
            </w:pPr>
          </w:p>
        </w:tc>
      </w:tr>
      <w:tr>
        <w:trPr>
          <w:trHeight w:val="445"/>
        </w:trPr>
        <w:tc>
          <w:tcPr>
            <w:tcW w:w="2280" w:type="dxa"/>
            <w:vAlign w:val="bottom"/>
          </w:tcPr>
          <w:p>
            <w:pPr>
              <w:spacing w:after="0"/>
              <w:rPr>
                <w:sz w:val="24"/>
                <w:szCs w:val="24"/>
                <w:color w:val="auto"/>
              </w:rPr>
            </w:pPr>
          </w:p>
        </w:tc>
        <w:tc>
          <w:tcPr>
            <w:tcW w:w="4040" w:type="dxa"/>
            <w:vAlign w:val="bottom"/>
          </w:tcPr>
          <w:p>
            <w:pPr>
              <w:jc w:val="center"/>
              <w:ind w:left="30"/>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b w:val="1"/>
                <w:bCs w:val="1"/>
                <w:color w:val="auto"/>
                <w:w w:val="90"/>
              </w:rPr>
              <w:t>313</w:t>
            </w:r>
            <w:r>
              <w:rPr>
                <w:rFonts w:ascii="Arial" w:cs="Arial" w:eastAsia="Arial" w:hAnsi="Arial"/>
                <w:sz w:val="18"/>
                <w:szCs w:val="18"/>
                <w:color w:val="auto"/>
                <w:w w:val="90"/>
              </w:rPr>
              <w:t xml:space="preserve">) </w:t>
            </w:r>
            <w:r>
              <w:rPr>
                <w:rFonts w:ascii="Arial" w:cs="Arial" w:eastAsia="Arial" w:hAnsi="Arial"/>
                <w:sz w:val="18"/>
                <w:szCs w:val="18"/>
                <w:b w:val="1"/>
                <w:bCs w:val="1"/>
                <w:color w:val="auto"/>
                <w:w w:val="90"/>
              </w:rPr>
              <w:t>556-5000</w:t>
            </w:r>
          </w:p>
        </w:tc>
        <w:tc>
          <w:tcPr>
            <w:tcW w:w="2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280" w:type="dxa"/>
            <w:vAlign w:val="bottom"/>
          </w:tcPr>
          <w:p>
            <w:pPr>
              <w:spacing w:after="0"/>
              <w:rPr>
                <w:sz w:val="20"/>
                <w:szCs w:val="20"/>
                <w:color w:val="auto"/>
              </w:rPr>
            </w:pPr>
          </w:p>
        </w:tc>
        <w:tc>
          <w:tcPr>
            <w:tcW w:w="4040" w:type="dxa"/>
            <w:vAlign w:val="bottom"/>
          </w:tcPr>
          <w:p>
            <w:pPr>
              <w:jc w:val="center"/>
              <w:ind w:left="30"/>
              <w:spacing w:after="0"/>
              <w:rPr>
                <w:sz w:val="20"/>
                <w:szCs w:val="20"/>
                <w:color w:val="auto"/>
              </w:rPr>
            </w:pPr>
            <w:r>
              <w:rPr>
                <w:rFonts w:ascii="Arial" w:cs="Arial" w:eastAsia="Arial" w:hAnsi="Arial"/>
                <w:sz w:val="18"/>
                <w:szCs w:val="18"/>
                <w:color w:val="auto"/>
                <w:w w:val="89"/>
              </w:rPr>
              <w:t>(Registrant's telephone number, including area code)</w:t>
            </w:r>
          </w:p>
        </w:tc>
        <w:tc>
          <w:tcPr>
            <w:tcW w:w="20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8"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7" w:lineRule="exact"/>
        <w:rPr>
          <w:sz w:val="24"/>
          <w:szCs w:val="24"/>
          <w:color w:val="auto"/>
        </w:rPr>
      </w:pPr>
    </w:p>
    <w:p>
      <w:pPr>
        <w:ind w:left="4680"/>
        <w:spacing w:after="0"/>
        <w:rPr>
          <w:sz w:val="20"/>
          <w:szCs w:val="20"/>
          <w:color w:val="auto"/>
        </w:rPr>
      </w:pPr>
      <w:r>
        <w:rPr>
          <w:rFonts w:ascii="Arial" w:cs="Arial" w:eastAsia="Arial" w:hAnsi="Arial"/>
          <w:sz w:val="22"/>
          <w:szCs w:val="22"/>
          <w:color w:val="auto"/>
        </w:rPr>
        <w:t>___________________</w:t>
      </w:r>
    </w:p>
    <w:p>
      <w:pPr>
        <w:spacing w:after="0" w:line="213"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200" w:lineRule="exact"/>
        <w:rPr>
          <w:sz w:val="24"/>
          <w:szCs w:val="24"/>
          <w:color w:val="auto"/>
        </w:rPr>
      </w:pPr>
    </w:p>
    <w:p>
      <w:pPr>
        <w:spacing w:after="0" w:line="205" w:lineRule="exact"/>
        <w:rPr>
          <w:sz w:val="24"/>
          <w:szCs w:val="24"/>
          <w:color w:val="auto"/>
        </w:rPr>
      </w:pPr>
    </w:p>
    <w:p>
      <w:pPr>
        <w:ind w:left="620" w:hanging="585"/>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Written communications pursuant to Rule 425 under the Securities Act (17 CFR 230.425)</w:t>
      </w:r>
    </w:p>
    <w:p>
      <w:pPr>
        <w:spacing w:after="0" w:line="351" w:lineRule="exact"/>
        <w:rPr>
          <w:rFonts w:ascii="MS PGothic" w:cs="MS PGothic" w:eastAsia="MS PGothic" w:hAnsi="MS PGothic"/>
          <w:sz w:val="18"/>
          <w:szCs w:val="18"/>
          <w:color w:val="auto"/>
        </w:rPr>
      </w:pPr>
    </w:p>
    <w:p>
      <w:pPr>
        <w:ind w:left="620" w:hanging="585"/>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Soliciting material pursuant to Rule 14a-12 under the Exchange Act (17-CFR 240.14a-12)</w:t>
      </w:r>
    </w:p>
    <w:p>
      <w:pPr>
        <w:spacing w:after="0" w:line="351" w:lineRule="exact"/>
        <w:rPr>
          <w:rFonts w:ascii="MS PGothic" w:cs="MS PGothic" w:eastAsia="MS PGothic" w:hAnsi="MS PGothic"/>
          <w:sz w:val="18"/>
          <w:szCs w:val="18"/>
          <w:color w:val="auto"/>
        </w:rPr>
      </w:pPr>
    </w:p>
    <w:p>
      <w:pPr>
        <w:ind w:left="620" w:hanging="585"/>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Pre-commencement communications pursuant to Rule 14d-2(b) under the Exchange Act (17 CFR 240.14d-2(b))</w:t>
      </w:r>
    </w:p>
    <w:p>
      <w:pPr>
        <w:spacing w:after="0" w:line="351" w:lineRule="exact"/>
        <w:rPr>
          <w:rFonts w:ascii="MS PGothic" w:cs="MS PGothic" w:eastAsia="MS PGothic" w:hAnsi="MS PGothic"/>
          <w:sz w:val="18"/>
          <w:szCs w:val="18"/>
          <w:color w:val="auto"/>
        </w:rPr>
      </w:pPr>
    </w:p>
    <w:p>
      <w:pPr>
        <w:ind w:left="620" w:hanging="585"/>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88265</wp:posOffset>
            </wp:positionV>
            <wp:extent cx="72720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00"/>
          </w:cols>
          <w:pgMar w:left="240" w:top="1359" w:right="359" w:bottom="1440" w:gutter="0" w:footer="0" w:header="0"/>
        </w:sectPr>
      </w:pPr>
    </w:p>
    <w:bookmarkStart w:id="1" w:name="page2"/>
    <w:bookmarkEnd w:id="1"/>
    <w:p>
      <w:pPr>
        <w:ind w:left="4760"/>
        <w:spacing w:after="0"/>
        <w:rPr>
          <w:sz w:val="20"/>
          <w:szCs w:val="20"/>
          <w:color w:val="auto"/>
        </w:rPr>
      </w:pPr>
      <w:r>
        <w:rPr>
          <w:rFonts w:ascii="Arial" w:cs="Arial" w:eastAsia="Arial" w:hAnsi="Arial"/>
          <w:sz w:val="18"/>
          <w:szCs w:val="18"/>
          <w:b w:val="1"/>
          <w:bCs w:val="1"/>
          <w:u w:val="single" w:color="auto"/>
          <w:color w:val="auto"/>
        </w:rPr>
        <w:t>TABLE OF CONTENTS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2.03 Creation of a Direct Financial Obligation or an Obligation under and Off-Balance Sheet Arrangement of a Registrant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Index to Exhibits</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News Release Dated November 5, 2012</w:t>
      </w:r>
    </w:p>
    <w:p>
      <w:pPr>
        <w:sectPr>
          <w:pgSz w:w="11900" w:h="16838" w:orient="portrait"/>
          <w:cols w:equalWidth="0" w:num="1">
            <w:col w:w="10219"/>
          </w:cols>
          <w:pgMar w:left="240" w:top="580" w:right="1440"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225" w:lineRule="exact"/>
        <w:rPr>
          <w:sz w:val="20"/>
          <w:szCs w:val="20"/>
          <w:color w:val="auto"/>
        </w:rPr>
      </w:pPr>
    </w:p>
    <w:p>
      <w:pPr>
        <w:ind w:right="1620"/>
        <w:spacing w:after="0" w:line="532" w:lineRule="auto"/>
        <w:rPr>
          <w:sz w:val="20"/>
          <w:szCs w:val="20"/>
          <w:color w:val="auto"/>
        </w:rPr>
      </w:pPr>
      <w:r>
        <w:rPr>
          <w:rFonts w:ascii="Arial" w:cs="Arial" w:eastAsia="Arial" w:hAnsi="Arial"/>
          <w:sz w:val="18"/>
          <w:szCs w:val="18"/>
          <w:b w:val="1"/>
          <w:bCs w:val="1"/>
          <w:color w:val="auto"/>
        </w:rPr>
        <w:t>Item 2.03 Creation of a Direct Financial Obligation or an Obligation under and Off-Balance Sheet Arrangement of a Registrant Item 9.01 Financial Statements and Exhibits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33655</wp:posOffset>
            </wp:positionV>
            <wp:extent cx="72720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39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November 5, 2012, General Motors Company (“GM”, “we”, “our”, or the “Company”), through a wholly-owned, direct subsidiary, General Motors Holdings LLC ("GMH"), entered into two new secured revolving credit facilities (together “Facilities”) containing aggregate borrowing capacity of $11.0 billion with JPMorgan Chase Bank, N.A., as the administrative agent, Citibank, N.A., as syndication agent, and a syndicate of 35 lenders. These new Facilities replace the existing five year, $5.0 billion secured revolving credit facility that we entered into in October 2010 (“Existing Facility”). The new Facilities consist of a three year, $5.5 billion facility and a five year, $5.5 billion facility. These Facilities provide additional liquidity, improved terms, reduced restrictions on restricted payments (as defined in the credit agreements) and increased financing flexibility including the ability to borrow in currencies other than U.S. Dollars.</w:t>
      </w:r>
    </w:p>
    <w:p>
      <w:pPr>
        <w:spacing w:after="0" w:line="18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three year, $5.5 billion facility is available to GMH, General Motors Financial Company, Inc., our wholly-owned captive finance company (“GM Financial”) and certain other wholly-owned international subsidiaries. The facility includes various sub-limits including a GM Financial borrowing sub-limit of $4.0 billion, a multi-currency borrowing sub-limit of $3.5 billion, a Brazilian Real borrowing sub-limit of $0.5 billion, and a letter of credit sub-facility limit of $1.5 billion. We may borrow against this facility from time to time for strategic initiatives and for general corporate purposes. The five year, $5.5 billion facility is available to GMH, allows for borrowings in currencies other than U.S. Dollars and includes a letter of credit sub-limit of $0.5 billion. While we do not expect to draw on the five year facility, it provides additional liquidity, financing flexibility and is available for general corporate purposes. Availability under the Facilities is subject to borrowing base restrictions.</w:t>
      </w:r>
    </w:p>
    <w:p>
      <w:pPr>
        <w:spacing w:after="0" w:line="18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Subject to borrowing base requirements and certain other covenants, we can further upsize the Facilities, incur additional first lien borrowings and support other non-loan obligations on a pari passu basis.</w:t>
      </w:r>
    </w:p>
    <w:p>
      <w:pPr>
        <w:spacing w:after="0" w:line="17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Company, GMH and certain of GMH's domestic subsidiaries have guaranteed the obligations under the Facilities. Obligations under the Facilities are secured by the same collateral that had secured the Existing Facility, consisting of a substantial portion of our domestic assets including accounts receivable, inventory, property, plant and equipment, intellectual property and trademarks, equity interests in certain of our direct domestic subsidiaries as well as up to 65% of the voting equity interests in certain of our direct foreign subsidiaries, in each case, subject to certain exceptions. The collateral securing the Facilities does not include, among other assets, cash, cash equivalents, and marketable securities as well as our investments in GM Financial, General Motors Korea Company and in our Chinese joint ventures. If GM receives an investment grade corporate rating from two or more of the following credit rating agencies: Fitch Ratings, Moody's Investor Service and Standard &amp; Poor's, the Facilities will no longer be required to be secured by the collateral or be guaranteed (other than by the Company and GMH). Following the collateral release date, however, if GM fails to maintain investment grade ratings with at least two of the above listed ratings agencies, the subsidiary guarantees will be reinstated.</w:t>
      </w:r>
    </w:p>
    <w:p>
      <w:pPr>
        <w:spacing w:after="0" w:line="18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Interest rates on obligations under the Facilities are based on prevailing per annum interest rates for Eurodollar loans or an alternative base rate plus an applicable margin, in each case, based upon the credit rating assigned to the Facilities or our corporate rating depending on certain criteria.</w:t>
      </w:r>
    </w:p>
    <w:p>
      <w:pPr>
        <w:spacing w:after="0" w:line="14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Facilities contain representations, warranties and covenants customary for Facilities of this nature, including negative covenants restricting incurring liens, consummating mergers or sales of assets and incurring secured indebtedness, and restricting the Company from making restricted payments, in each case, subject to exceptions and limitations. The Facilities contain minimum liquidity covenants, which require us to maintain at least $4.0 billion in consolidated global liquidity and at least $2.0 billion in consolidated U.S. liquidity.</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Facilities contemplate up-front fees, arrangement fees, and ongoing commitment and other fees customary for Facilities of this nature. These fees will be amortized into interest expense over the life of the Facilities.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Some of the lenders under the Facilities and their affiliates have various relationships with the Company and its subsidiaries involving the provision of financial services, including cash management, investment banking, trust and leasing services. In</w:t>
      </w:r>
    </w:p>
    <w:p>
      <w:pPr>
        <w:sectPr>
          <w:pgSz w:w="11900" w:h="16838" w:orient="portrait"/>
          <w:cols w:equalWidth="0" w:num="1">
            <w:col w:w="11420"/>
          </w:cols>
          <w:pgMar w:left="240" w:top="796" w:right="239" w:bottom="1440" w:gutter="0" w:footer="0" w:header="0"/>
        </w:sectPr>
      </w:pPr>
    </w:p>
    <w:bookmarkStart w:id="3" w:name="page4"/>
    <w:bookmarkEnd w:id="3"/>
    <w:p>
      <w:pPr>
        <w:spacing w:after="0" w:line="277" w:lineRule="auto"/>
        <w:rPr>
          <w:sz w:val="20"/>
          <w:szCs w:val="20"/>
          <w:color w:val="auto"/>
        </w:rPr>
      </w:pPr>
      <w:r>
        <w:rPr>
          <w:rFonts w:ascii="Arial" w:cs="Arial" w:eastAsia="Arial" w:hAnsi="Arial"/>
          <w:sz w:val="18"/>
          <w:szCs w:val="18"/>
          <w:color w:val="auto"/>
        </w:rPr>
        <w:t>addition the Company, through its subsidiaries, may enter into foreign exchange and other derivative arrangements with certain of the lenders and their affiliates.</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foregoing description does not constitute a complete summary of the Facilities and is qualified by reference in its entirety to the full text of the Facilities which will be filed with a subsequent Form 8-K filed by the Company.</w:t>
      </w:r>
    </w:p>
    <w:p>
      <w:pPr>
        <w:sectPr>
          <w:pgSz w:w="11900" w:h="16838" w:orient="portrait"/>
          <w:cols w:equalWidth="0" w:num="1">
            <w:col w:w="11420"/>
          </w:cols>
          <w:pgMar w:left="240" w:top="584"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12" w:lineRule="exact"/>
        <w:rPr>
          <w:sz w:val="20"/>
          <w:szCs w:val="20"/>
          <w:color w:val="auto"/>
        </w:rPr>
      </w:pPr>
    </w:p>
    <w:tbl>
      <w:tblPr>
        <w:tblLayout w:type="fixed"/>
        <w:tblInd w:w="3280" w:type="dxa"/>
        <w:tblCellMar>
          <w:top w:w="0" w:type="dxa"/>
          <w:left w:w="0" w:type="dxa"/>
          <w:bottom w:w="0" w:type="dxa"/>
          <w:right w:w="0" w:type="dxa"/>
        </w:tblCellMar>
      </w:tblPr>
      <w:tr>
        <w:trPr>
          <w:trHeight w:val="207"/>
        </w:trPr>
        <w:tc>
          <w:tcPr>
            <w:tcW w:w="5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280" w:type="dxa"/>
            <w:vAlign w:val="bottom"/>
            <w:gridSpan w:val="5"/>
          </w:tcPr>
          <w:p>
            <w:pPr>
              <w:ind w:left="560"/>
              <w:spacing w:after="0"/>
              <w:rPr>
                <w:sz w:val="20"/>
                <w:szCs w:val="20"/>
                <w:color w:val="auto"/>
              </w:rPr>
            </w:pPr>
            <w:r>
              <w:rPr>
                <w:rFonts w:ascii="Arial" w:cs="Arial" w:eastAsia="Arial" w:hAnsi="Arial"/>
                <w:sz w:val="18"/>
                <w:szCs w:val="18"/>
                <w:b w:val="1"/>
                <w:bCs w:val="1"/>
                <w:color w:val="auto"/>
              </w:rPr>
              <w:t>EXHIBITS</w:t>
            </w:r>
          </w:p>
        </w:tc>
        <w:tc>
          <w:tcPr>
            <w:tcW w:w="124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0"/>
        </w:trPr>
        <w:tc>
          <w:tcPr>
            <w:tcW w:w="5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574"/>
        </w:trPr>
        <w:tc>
          <w:tcPr>
            <w:tcW w:w="1440" w:type="dxa"/>
            <w:vAlign w:val="bottom"/>
            <w:gridSpan w:val="2"/>
          </w:tcPr>
          <w:p>
            <w:pPr>
              <w:spacing w:after="0"/>
              <w:rPr>
                <w:sz w:val="20"/>
                <w:szCs w:val="20"/>
                <w:color w:val="auto"/>
              </w:rPr>
            </w:pPr>
            <w:r>
              <w:rPr>
                <w:rFonts w:ascii="Arial" w:cs="Arial" w:eastAsia="Arial" w:hAnsi="Arial"/>
                <w:sz w:val="18"/>
                <w:szCs w:val="18"/>
                <w:color w:val="auto"/>
              </w:rPr>
              <w:t>Exhibit</w:t>
            </w:r>
          </w:p>
        </w:tc>
        <w:tc>
          <w:tcPr>
            <w:tcW w:w="560" w:type="dxa"/>
            <w:vAlign w:val="bottom"/>
          </w:tcPr>
          <w:p>
            <w:pPr>
              <w:spacing w:after="0"/>
              <w:rPr>
                <w:sz w:val="24"/>
                <w:szCs w:val="24"/>
                <w:color w:val="auto"/>
              </w:rPr>
            </w:pPr>
          </w:p>
        </w:tc>
        <w:tc>
          <w:tcPr>
            <w:tcW w:w="3720" w:type="dxa"/>
            <w:vAlign w:val="bottom"/>
            <w:gridSpan w:val="4"/>
          </w:tcPr>
          <w:p>
            <w:pPr>
              <w:ind w:left="380"/>
              <w:spacing w:after="0"/>
              <w:rPr>
                <w:sz w:val="20"/>
                <w:szCs w:val="20"/>
                <w:color w:val="auto"/>
              </w:rPr>
            </w:pPr>
            <w:r>
              <w:rPr>
                <w:rFonts w:ascii="Arial" w:cs="Arial" w:eastAsia="Arial" w:hAnsi="Arial"/>
                <w:sz w:val="18"/>
                <w:szCs w:val="18"/>
                <w:color w:val="auto"/>
              </w:rPr>
              <w:t>Description</w:t>
            </w:r>
          </w:p>
        </w:tc>
        <w:tc>
          <w:tcPr>
            <w:tcW w:w="1420" w:type="dxa"/>
            <w:vAlign w:val="bottom"/>
            <w:gridSpan w:val="2"/>
          </w:tcPr>
          <w:p>
            <w:pPr>
              <w:spacing w:after="0"/>
              <w:rPr>
                <w:sz w:val="20"/>
                <w:szCs w:val="20"/>
                <w:color w:val="auto"/>
              </w:rPr>
            </w:pPr>
            <w:r>
              <w:rPr>
                <w:rFonts w:ascii="Arial" w:cs="Arial" w:eastAsia="Arial" w:hAnsi="Arial"/>
                <w:sz w:val="18"/>
                <w:szCs w:val="18"/>
                <w:color w:val="auto"/>
              </w:rPr>
              <w:t>Method of Filing</w:t>
            </w:r>
          </w:p>
        </w:tc>
      </w:tr>
      <w:tr>
        <w:trPr>
          <w:trHeight w:val="20"/>
        </w:trPr>
        <w:tc>
          <w:tcPr>
            <w:tcW w:w="52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40" w:type="dxa"/>
            <w:vAlign w:val="bottom"/>
            <w:gridSpan w:val="2"/>
            <w:shd w:val="clear" w:color="auto" w:fill="000000"/>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615"/>
        </w:trPr>
        <w:tc>
          <w:tcPr>
            <w:tcW w:w="1440" w:type="dxa"/>
            <w:vAlign w:val="bottom"/>
            <w:gridSpan w:val="2"/>
          </w:tcPr>
          <w:p>
            <w:pPr>
              <w:spacing w:after="0"/>
              <w:rPr>
                <w:sz w:val="20"/>
                <w:szCs w:val="20"/>
                <w:color w:val="auto"/>
              </w:rPr>
            </w:pPr>
            <w:r>
              <w:rPr>
                <w:rFonts w:ascii="Arial" w:cs="Arial" w:eastAsia="Arial" w:hAnsi="Arial"/>
                <w:sz w:val="18"/>
                <w:szCs w:val="18"/>
                <w:color w:val="auto"/>
              </w:rPr>
              <w:t>Exhibit 99.1</w:t>
            </w:r>
          </w:p>
        </w:tc>
        <w:tc>
          <w:tcPr>
            <w:tcW w:w="560" w:type="dxa"/>
            <w:vAlign w:val="bottom"/>
          </w:tcPr>
          <w:p>
            <w:pPr>
              <w:spacing w:after="0"/>
              <w:rPr>
                <w:sz w:val="24"/>
                <w:szCs w:val="24"/>
                <w:color w:val="auto"/>
              </w:rPr>
            </w:pPr>
          </w:p>
        </w:tc>
        <w:tc>
          <w:tcPr>
            <w:tcW w:w="3720" w:type="dxa"/>
            <w:vAlign w:val="bottom"/>
            <w:gridSpan w:val="4"/>
          </w:tcPr>
          <w:p>
            <w:pPr>
              <w:ind w:left="380"/>
              <w:spacing w:after="0"/>
              <w:rPr>
                <w:sz w:val="20"/>
                <w:szCs w:val="20"/>
                <w:color w:val="auto"/>
              </w:rPr>
            </w:pPr>
            <w:r>
              <w:rPr>
                <w:rFonts w:ascii="Arial" w:cs="Arial" w:eastAsia="Arial" w:hAnsi="Arial"/>
                <w:sz w:val="18"/>
                <w:szCs w:val="18"/>
                <w:color w:val="auto"/>
              </w:rPr>
              <w:t>News Release Dated November 5, 2012</w:t>
            </w:r>
          </w:p>
        </w:tc>
        <w:tc>
          <w:tcPr>
            <w:tcW w:w="1420" w:type="dxa"/>
            <w:vAlign w:val="bottom"/>
            <w:gridSpan w:val="2"/>
          </w:tcPr>
          <w:p>
            <w:pPr>
              <w:spacing w:after="0"/>
              <w:rPr>
                <w:sz w:val="20"/>
                <w:szCs w:val="20"/>
                <w:color w:val="auto"/>
              </w:rPr>
            </w:pPr>
            <w:r>
              <w:rPr>
                <w:rFonts w:ascii="Arial" w:cs="Arial" w:eastAsia="Arial" w:hAnsi="Arial"/>
                <w:sz w:val="18"/>
                <w:szCs w:val="18"/>
                <w:color w:val="auto"/>
                <w:w w:val="90"/>
              </w:rPr>
              <w:t>Attached as Exhibit</w:t>
            </w:r>
          </w:p>
        </w:tc>
      </w:tr>
    </w:tbl>
    <w:p>
      <w:pPr>
        <w:sectPr>
          <w:pgSz w:w="11900" w:h="16838" w:orient="portrait"/>
          <w:cols w:equalWidth="0" w:num="1">
            <w:col w:w="10420"/>
          </w:cols>
          <w:pgMar w:left="240" w:top="796" w:right="1239" w:bottom="1440" w:gutter="0" w:footer="0" w:header="0"/>
        </w:sectPr>
      </w:pPr>
    </w:p>
    <w:bookmarkStart w:id="5" w:name="page6"/>
    <w:bookmarkEnd w:id="5"/>
    <w:p>
      <w:pPr>
        <w:jc w:val="center"/>
        <w:ind w:right="-159"/>
        <w:spacing w:after="0"/>
        <w:rPr>
          <w:sz w:val="20"/>
          <w:szCs w:val="20"/>
          <w:color w:val="auto"/>
        </w:rPr>
      </w:pPr>
      <w:r>
        <w:rPr>
          <w:rFonts w:ascii="Arial" w:cs="Arial" w:eastAsia="Arial" w:hAnsi="Arial"/>
          <w:sz w:val="18"/>
          <w:szCs w:val="18"/>
          <w:b w:val="1"/>
          <w:bCs w:val="1"/>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32" w:lineRule="exact"/>
        <w:rPr>
          <w:sz w:val="20"/>
          <w:szCs w:val="20"/>
          <w:color w:val="auto"/>
        </w:rPr>
      </w:pPr>
    </w:p>
    <w:tbl>
      <w:tblPr>
        <w:tblLayout w:type="fixed"/>
        <w:tblInd w:w="420" w:type="dxa"/>
        <w:tblCellMar>
          <w:top w:w="0" w:type="dxa"/>
          <w:left w:w="0" w:type="dxa"/>
          <w:bottom w:w="0" w:type="dxa"/>
          <w:right w:w="0" w:type="dxa"/>
        </w:tblCellMar>
      </w:tblPr>
      <w:tr>
        <w:trPr>
          <w:trHeight w:val="207"/>
        </w:trPr>
        <w:tc>
          <w:tcPr>
            <w:tcW w:w="330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5"/>
              </w:rPr>
              <w:t>GENERAL MOTORS COMPANY</w:t>
            </w:r>
          </w:p>
        </w:tc>
        <w:tc>
          <w:tcPr>
            <w:tcW w:w="2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330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(Registrant)</w:t>
            </w:r>
          </w:p>
        </w:tc>
        <w:tc>
          <w:tcPr>
            <w:tcW w:w="0" w:type="dxa"/>
            <w:vAlign w:val="bottom"/>
          </w:tcPr>
          <w:p>
            <w:pPr>
              <w:spacing w:after="0"/>
              <w:rPr>
                <w:sz w:val="1"/>
                <w:szCs w:val="1"/>
                <w:color w:val="auto"/>
              </w:rPr>
            </w:pPr>
          </w:p>
        </w:tc>
      </w:tr>
      <w:tr>
        <w:trPr>
          <w:trHeight w:val="702"/>
        </w:trPr>
        <w:tc>
          <w:tcPr>
            <w:tcW w:w="330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/s/ NICK S. CYPRUS</w:t>
            </w:r>
          </w:p>
        </w:tc>
        <w:tc>
          <w:tcPr>
            <w:tcW w:w="0" w:type="dxa"/>
            <w:vAlign w:val="bottom"/>
          </w:tcPr>
          <w:p>
            <w:pPr>
              <w:spacing w:after="0"/>
              <w:rPr>
                <w:sz w:val="1"/>
                <w:szCs w:val="1"/>
                <w:color w:val="auto"/>
              </w:rPr>
            </w:pPr>
          </w:p>
        </w:tc>
      </w:tr>
      <w:tr>
        <w:trPr>
          <w:trHeight w:val="27"/>
        </w:trPr>
        <w:tc>
          <w:tcPr>
            <w:tcW w:w="3300" w:type="dxa"/>
            <w:vAlign w:val="bottom"/>
            <w:vMerge w:val="restart"/>
          </w:tcPr>
          <w:p>
            <w:pPr>
              <w:spacing w:after="0"/>
              <w:rPr>
                <w:sz w:val="20"/>
                <w:szCs w:val="20"/>
                <w:color w:val="auto"/>
              </w:rPr>
            </w:pPr>
            <w:r>
              <w:rPr>
                <w:rFonts w:ascii="Arial" w:cs="Arial" w:eastAsia="Arial" w:hAnsi="Arial"/>
                <w:sz w:val="18"/>
                <w:szCs w:val="18"/>
                <w:color w:val="auto"/>
              </w:rPr>
              <w:t>Date: November 5, 2012</w:t>
            </w:r>
          </w:p>
        </w:tc>
        <w:tc>
          <w:tcPr>
            <w:tcW w:w="2100" w:type="dxa"/>
            <w:vAlign w:val="bottom"/>
            <w:vMerge w:val="restart"/>
          </w:tcPr>
          <w:p>
            <w:pPr>
              <w:ind w:left="1500"/>
              <w:spacing w:after="0"/>
              <w:rPr>
                <w:sz w:val="20"/>
                <w:szCs w:val="20"/>
                <w:color w:val="auto"/>
              </w:rPr>
            </w:pPr>
            <w:r>
              <w:rPr>
                <w:rFonts w:ascii="Arial" w:cs="Arial" w:eastAsia="Arial" w:hAnsi="Arial"/>
                <w:sz w:val="18"/>
                <w:szCs w:val="18"/>
                <w:color w:val="auto"/>
              </w:rPr>
              <w:t>By:</w:t>
            </w:r>
          </w:p>
        </w:tc>
        <w:tc>
          <w:tcPr>
            <w:tcW w:w="4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2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3300" w:type="dxa"/>
            <w:vAlign w:val="bottom"/>
            <w:vMerge w:val="continue"/>
          </w:tcPr>
          <w:p>
            <w:pPr>
              <w:spacing w:after="0"/>
              <w:rPr>
                <w:sz w:val="19"/>
                <w:szCs w:val="19"/>
                <w:color w:val="auto"/>
              </w:rPr>
            </w:pPr>
          </w:p>
        </w:tc>
        <w:tc>
          <w:tcPr>
            <w:tcW w:w="210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Nick S. Cyprus</w:t>
            </w:r>
          </w:p>
        </w:tc>
        <w:tc>
          <w:tcPr>
            <w:tcW w:w="0" w:type="dxa"/>
            <w:vAlign w:val="bottom"/>
          </w:tcPr>
          <w:p>
            <w:pPr>
              <w:spacing w:after="0"/>
              <w:rPr>
                <w:sz w:val="1"/>
                <w:szCs w:val="1"/>
                <w:color w:val="auto"/>
              </w:rPr>
            </w:pPr>
          </w:p>
        </w:tc>
      </w:tr>
      <w:tr>
        <w:trPr>
          <w:trHeight w:val="230"/>
        </w:trPr>
        <w:tc>
          <w:tcPr>
            <w:tcW w:w="330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Vice President, Controller and Chief Accounting Officer</w:t>
            </w:r>
          </w:p>
        </w:tc>
        <w:tc>
          <w:tcPr>
            <w:tcW w:w="0" w:type="dxa"/>
            <w:vAlign w:val="bottom"/>
          </w:tcPr>
          <w:p>
            <w:pPr>
              <w:spacing w:after="0"/>
              <w:rPr>
                <w:sz w:val="1"/>
                <w:szCs w:val="1"/>
                <w:color w:val="auto"/>
              </w:rPr>
            </w:pPr>
          </w:p>
        </w:tc>
      </w:tr>
    </w:tbl>
    <w:p>
      <w:pPr>
        <w:sectPr>
          <w:pgSz w:w="11900" w:h="16838" w:orient="portrait"/>
          <w:cols w:equalWidth="0" w:num="1">
            <w:col w:w="11280"/>
          </w:cols>
          <w:pgMar w:left="240" w:top="580" w:right="379" w:bottom="1440" w:gutter="0" w:footer="0" w:header="0"/>
        </w:sectPr>
      </w:pPr>
    </w:p>
    <w:bookmarkStart w:id="6" w:name="page7"/>
    <w:bookmarkEnd w:id="6"/>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144780</wp:posOffset>
            </wp:positionH>
            <wp:positionV relativeFrom="page">
              <wp:posOffset>436245</wp:posOffset>
            </wp:positionV>
            <wp:extent cx="72720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2545"/>
                    </a:xfrm>
                    <a:prstGeom prst="rect">
                      <a:avLst/>
                    </a:prstGeom>
                    <a:noFill/>
                  </pic:spPr>
                </pic:pic>
              </a:graphicData>
            </a:graphic>
          </wp:anchor>
        </w:drawing>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1402715</wp:posOffset>
            </wp:positionH>
            <wp:positionV relativeFrom="paragraph">
              <wp:posOffset>14605</wp:posOffset>
            </wp:positionV>
            <wp:extent cx="5848985" cy="8407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848985" cy="840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20"/>
          <w:szCs w:val="20"/>
          <w:color w:val="auto"/>
        </w:rPr>
        <w:t>For Release: 8:00 a.m. (EST), November 5, 2012</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auto"/>
        </w:rPr>
        <w:t>GM Announces New $11 Billion Revolving Credit Facility</w:t>
      </w:r>
    </w:p>
    <w:p>
      <w:pPr>
        <w:spacing w:after="0" w:line="241" w:lineRule="exact"/>
        <w:rPr>
          <w:sz w:val="20"/>
          <w:szCs w:val="20"/>
          <w:color w:val="auto"/>
        </w:rPr>
      </w:pPr>
    </w:p>
    <w:p>
      <w:pPr>
        <w:ind w:right="520"/>
        <w:spacing w:after="0" w:line="268" w:lineRule="auto"/>
        <w:rPr>
          <w:sz w:val="20"/>
          <w:szCs w:val="20"/>
          <w:color w:val="auto"/>
        </w:rPr>
      </w:pPr>
      <w:r>
        <w:rPr>
          <w:rFonts w:ascii="Arial" w:cs="Arial" w:eastAsia="Arial" w:hAnsi="Arial"/>
          <w:sz w:val="22"/>
          <w:szCs w:val="22"/>
          <w:b w:val="1"/>
          <w:bCs w:val="1"/>
          <w:color w:val="auto"/>
        </w:rPr>
        <w:t xml:space="preserve">DETROIT </w:t>
      </w:r>
      <w:r>
        <w:rPr>
          <w:rFonts w:ascii="Arial" w:cs="Arial" w:eastAsia="Arial" w:hAnsi="Arial"/>
          <w:sz w:val="22"/>
          <w:szCs w:val="22"/>
          <w:color w:val="auto"/>
        </w:rPr>
        <w:t>-</w:t>
      </w:r>
      <w:r>
        <w:rPr>
          <w:rFonts w:ascii="Arial" w:cs="Arial" w:eastAsia="Arial" w:hAnsi="Arial"/>
          <w:sz w:val="22"/>
          <w:szCs w:val="22"/>
          <w:b w:val="1"/>
          <w:bCs w:val="1"/>
          <w:color w:val="auto"/>
        </w:rPr>
        <w:t xml:space="preserve"> </w:t>
      </w:r>
      <w:r>
        <w:rPr>
          <w:rFonts w:ascii="Arial" w:cs="Arial" w:eastAsia="Arial" w:hAnsi="Arial"/>
          <w:sz w:val="19"/>
          <w:szCs w:val="19"/>
          <w:color w:val="auto"/>
        </w:rPr>
        <w:t>General Motors Co. today announced a new $11 billion revolving credit facility consisting of a $5.5 billion 3-year</w:t>
      </w:r>
      <w:r>
        <w:rPr>
          <w:rFonts w:ascii="Arial" w:cs="Arial" w:eastAsia="Arial" w:hAnsi="Arial"/>
          <w:sz w:val="22"/>
          <w:szCs w:val="22"/>
          <w:b w:val="1"/>
          <w:bCs w:val="1"/>
          <w:color w:val="auto"/>
        </w:rPr>
        <w:t xml:space="preserve"> </w:t>
      </w:r>
      <w:r>
        <w:rPr>
          <w:rFonts w:ascii="Arial" w:cs="Arial" w:eastAsia="Arial" w:hAnsi="Arial"/>
          <w:sz w:val="19"/>
          <w:szCs w:val="19"/>
          <w:color w:val="auto"/>
        </w:rPr>
        <w:t>facility and a $5.5 billion 5-year facility. The new facility replaces GM's existing $5.0 billion credit facility maturing in 2015.</w:t>
      </w:r>
    </w:p>
    <w:p>
      <w:pPr>
        <w:spacing w:after="0" w:line="193" w:lineRule="exact"/>
        <w:rPr>
          <w:sz w:val="20"/>
          <w:szCs w:val="20"/>
          <w:color w:val="auto"/>
        </w:rPr>
      </w:pPr>
    </w:p>
    <w:p>
      <w:pPr>
        <w:ind w:right="300"/>
        <w:spacing w:after="0" w:line="243" w:lineRule="auto"/>
        <w:rPr>
          <w:sz w:val="20"/>
          <w:szCs w:val="20"/>
          <w:color w:val="auto"/>
        </w:rPr>
      </w:pPr>
      <w:r>
        <w:rPr>
          <w:rFonts w:ascii="Arial" w:cs="Arial" w:eastAsia="Arial" w:hAnsi="Arial"/>
          <w:sz w:val="20"/>
          <w:szCs w:val="20"/>
          <w:color w:val="auto"/>
        </w:rPr>
        <w:t>“The new revolver provides a significant source of backup liquidity and financial flexibility, further bolstering our fortress balance sheet,” said Dan Ammann, GM senior vice president and CFO. “This level of commitment from the global banking community represents a strong vote of confidence in the financial strength of our company.”</w:t>
      </w:r>
    </w:p>
    <w:p>
      <w:pPr>
        <w:spacing w:after="0" w:line="206" w:lineRule="exact"/>
        <w:rPr>
          <w:sz w:val="20"/>
          <w:szCs w:val="20"/>
          <w:color w:val="auto"/>
        </w:rPr>
      </w:pPr>
    </w:p>
    <w:p>
      <w:pPr>
        <w:ind w:right="220"/>
        <w:spacing w:after="0" w:line="247" w:lineRule="auto"/>
        <w:rPr>
          <w:sz w:val="20"/>
          <w:szCs w:val="20"/>
          <w:color w:val="auto"/>
        </w:rPr>
      </w:pPr>
      <w:r>
        <w:rPr>
          <w:rFonts w:ascii="Arial" w:cs="Arial" w:eastAsia="Arial" w:hAnsi="Arial"/>
          <w:sz w:val="20"/>
          <w:szCs w:val="20"/>
          <w:color w:val="auto"/>
        </w:rPr>
        <w:t>The facility offers improved pricing and terms, and the ability to borrow in currencies other than U.S. dollars. GM Financial, GM's captive finance company, will also be able to borrow under the facility.</w:t>
      </w:r>
    </w:p>
    <w:p>
      <w:pPr>
        <w:spacing w:after="0" w:line="202" w:lineRule="exact"/>
        <w:rPr>
          <w:sz w:val="20"/>
          <w:szCs w:val="20"/>
          <w:color w:val="auto"/>
        </w:rPr>
      </w:pPr>
    </w:p>
    <w:p>
      <w:pPr>
        <w:ind w:right="480"/>
        <w:spacing w:after="0" w:line="247" w:lineRule="auto"/>
        <w:rPr>
          <w:sz w:val="20"/>
          <w:szCs w:val="20"/>
          <w:color w:val="auto"/>
        </w:rPr>
      </w:pPr>
      <w:r>
        <w:rPr>
          <w:rFonts w:ascii="Arial" w:cs="Arial" w:eastAsia="Arial" w:hAnsi="Arial"/>
          <w:sz w:val="20"/>
          <w:szCs w:val="20"/>
          <w:color w:val="auto"/>
        </w:rPr>
        <w:t>A total of 35 financial institutions from 14 countries participated in the broadly syndicated transaction, underscoring the global scope of GM's operations.</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auto"/>
        </w:rPr>
        <w:t>The new facility is expected to be rated investment grade by each of the major credit rating agencies.</w:t>
      </w:r>
    </w:p>
    <w:p>
      <w:pPr>
        <w:spacing w:after="0" w:line="61"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b w:val="1"/>
          <w:bCs w:val="1"/>
          <w:color w:val="auto"/>
        </w:rPr>
        <w:t xml:space="preserve">General Motors Co. </w:t>
      </w:r>
      <w:r>
        <w:rPr>
          <w:rFonts w:ascii="Arial" w:cs="Arial" w:eastAsia="Arial" w:hAnsi="Arial"/>
          <w:sz w:val="18"/>
          <w:szCs w:val="18"/>
          <w:color w:val="auto"/>
        </w:rPr>
        <w:t>(NYSE:GM, TSX: GMM) and its partners produce vehicles in 30 countries, and the company has leadership positions in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the world's largest and fastest-growing automotive markets. GM's brands include Chevrolet and Cadillac, as well as Baojun, Buick, GMC, Holden, Jiefang, Opel, Vauxhall and Wuling. More information on the company and its subsidiaries, including OnStar, a global leader in vehicle safety, security and information services, can be found at </w:t>
      </w:r>
      <w:r>
        <w:rPr>
          <w:rFonts w:ascii="Arial" w:cs="Arial" w:eastAsia="Arial" w:hAnsi="Arial"/>
          <w:sz w:val="18"/>
          <w:szCs w:val="18"/>
          <w:u w:val="single" w:color="auto"/>
          <w:color w:val="0000FF"/>
        </w:rPr>
        <w:t>http://www.gm.com</w:t>
      </w:r>
      <w:r>
        <w:rPr>
          <w:rFonts w:ascii="Arial" w:cs="Arial" w:eastAsia="Arial" w:hAnsi="Arial"/>
          <w:sz w:val="18"/>
          <w:szCs w:val="18"/>
          <w:color w:val="auto"/>
        </w:rPr>
        <w:t>.</w:t>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31"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In this press release and in related comments by our management, our use of the words “expect,” “anticipate,” “possible,” “potential,” “target,” “believe,” “commit,” “intend,” “continue,” “may,” “would,” “could,” “should,” “project,” “projected,” “positioned” or similar expressions is intended to identify forward-looking statements that represent our current judgment about possible future events. We believe these judgments are reasonable, but these statements are not guarantees of any events or financial results, and our actual results may differ materially due to a variety of important factors. Among other items, such factors might include: our ability to realize production efficiencies and to achieve reductions in costs as a result of our restructuring initiatives and labor modifications; our ability to maintain quality control over our vehicles and avoid material vehicle recalls; our ability to maintain adequate liquidity and financing sources and an appropriate level of debt, including as required to fund our planned significant investment in new technology; the ability of our suppliers to timely deliver parts, components and systems; our ability to realize successful vehicle applications of new technology; and our ability to continue to attract new customers, particularly for our new products. GM's most recent annual report on Form 10-K and quarterly reports on Form 10-Q provides information about these and other factors, which we may revise or supplement in future reports to the SEC.</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Dave Roman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GM Financial Communications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313-665-5316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Cell: 313-498-1735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dave.roman@gm.com</w:t>
      </w:r>
    </w:p>
    <w:sectPr>
      <w:pgSz w:w="11900" w:h="16838" w:orient="portrait"/>
      <w:cols w:equalWidth="0" w:num="1">
        <w:col w:w="11420"/>
      </w:cols>
      <w:pgMar w:left="240" w:top="82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2019-12-09T19:33:17Z</dcterms:created>
  <dcterms:modified xsi:type="dcterms:W3CDTF">2019-12-09T19:33:17Z</dcterms:modified>
</cp:coreProperties>
</file>