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3,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On February 3, 2016 a news release was issued on the subject of 2015 fourth quarter and full year consolidated earnings for General Motors Company (GM). The news release and financial statements are attached as Exhibit 99.1.</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2015 fourth quarter and full year consolidated earnings release are available on GM's website at www.gm.com/company/investors/earning-releases.html.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40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6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615"/>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600" w:type="dxa"/>
            <w:vAlign w:val="bottom"/>
            <w:gridSpan w:val="4"/>
          </w:tcPr>
          <w:p>
            <w:pPr>
              <w:spacing w:after="0"/>
              <w:rPr>
                <w:sz w:val="20"/>
                <w:szCs w:val="20"/>
                <w:color w:val="auto"/>
              </w:rPr>
            </w:pPr>
            <w:r>
              <w:rPr>
                <w:rFonts w:ascii="Arial" w:cs="Arial" w:eastAsia="Arial" w:hAnsi="Arial"/>
                <w:sz w:val="18"/>
                <w:szCs w:val="18"/>
                <w:color w:val="auto"/>
                <w:w w:val="90"/>
              </w:rPr>
              <w:t>News Release Dated February 3, 2016 and Financial Highlights</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3, 2016</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Feb. 3, 2016, 7:30 a.m. EST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Record Net Income of $9.7 Billion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Record EBIT-Adjusted of $10.8 Billion for 2015</w:t>
      </w:r>
    </w:p>
    <w:p>
      <w:pPr>
        <w:spacing w:after="0" w:line="2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Full-year 2015 EPS of $5.91; EPS-adjusted of $5.02, up 65 percent from 2014</w:t>
      </w:r>
    </w:p>
    <w:p>
      <w:pPr>
        <w:spacing w:after="0" w:line="2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Fourth quarter EPS of $3.92; EPS-adjusted of $1.39, up 17 percent from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Fourth quarter net income of $6.3 billion; record EBIT-adjusted of $2.8 billion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Returned $5.7 billion to shareholders in 2015</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announced record 2015 calendar-year net income attributable to common stockholders of</w:t>
      </w:r>
      <w:r>
        <w:rPr>
          <w:rFonts w:ascii="Arial" w:cs="Arial" w:eastAsia="Arial" w:hAnsi="Arial"/>
          <w:sz w:val="20"/>
          <w:szCs w:val="20"/>
          <w:b w:val="1"/>
          <w:bCs w:val="1"/>
          <w:color w:val="auto"/>
        </w:rPr>
        <w:t xml:space="preserve"> </w:t>
      </w:r>
      <w:r>
        <w:rPr>
          <w:rFonts w:ascii="Arial" w:cs="Arial" w:eastAsia="Arial" w:hAnsi="Arial"/>
          <w:sz w:val="20"/>
          <w:szCs w:val="20"/>
          <w:color w:val="auto"/>
        </w:rPr>
        <w:t>$9.7 billion, or $5.91 per diluted share, up from $2.8 billion, or $1.65 per diluted share in 2014. Earnings per share (EPS) adjusted for special items was $5.02, up 65 percent compared to $3.05 in 2014.</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Full-year earnings before interest and tax (EBIT) adjusted rose to a record $10.8 billion, up from $6.5 billion in 2014. EBIT adjusted margin for the year also increased, to a record 7.1 percent, compared to 4.2 percent in 2014.</w:t>
      </w:r>
    </w:p>
    <w:p>
      <w:pPr>
        <w:spacing w:after="0" w:line="177"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“It was a strong year on many fronts, capped with record sales and earnings, and a substantial return of capital to our shareholders,” said Chairman and CEO Mary Barra. “We continue to strengthen our core business, which is laying the foundation for the company to lead in the transformation of personal mobility. We believe the opportunities this will create in connectivity, autonomous, car-sharing and electrification will set the stage for driving value for our owners for years to come.”</w:t>
      </w:r>
    </w:p>
    <w:p>
      <w:pPr>
        <w:spacing w:after="0" w:line="19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Special items during the calendar year impacted full-year net income to common stockholders favorably, $1.5 billion, or $0.89 per share, compared to an unfavorable $(2.4) billion impact in 2014, or $(1.40) per share. Among these special items were a net gain from the reversal of certain valuation allowances on deferred tax assets, and charges for litigation matters related to the ignition switch recall and a Venezuelan bolivar currency devaluation.</w:t>
      </w:r>
    </w:p>
    <w:p>
      <w:pPr>
        <w:spacing w:after="0" w:line="192" w:lineRule="exact"/>
        <w:rPr>
          <w:sz w:val="20"/>
          <w:szCs w:val="20"/>
          <w:color w:val="auto"/>
        </w:rPr>
      </w:pPr>
    </w:p>
    <w:p>
      <w:pPr>
        <w:jc w:val="both"/>
        <w:ind w:right="120"/>
        <w:spacing w:after="0" w:line="316" w:lineRule="auto"/>
        <w:rPr>
          <w:sz w:val="20"/>
          <w:szCs w:val="20"/>
          <w:color w:val="auto"/>
        </w:rPr>
      </w:pPr>
      <w:r>
        <w:rPr>
          <w:rFonts w:ascii="Arial" w:cs="Arial" w:eastAsia="Arial" w:hAnsi="Arial"/>
          <w:sz w:val="18"/>
          <w:szCs w:val="18"/>
          <w:color w:val="auto"/>
        </w:rPr>
        <w:t>Total net revenue for the year was $152.4 billion, compared to $155.9 billion in 2014. The change in net revenue is due primarily to a negative net foreign currency exchange impact of $9.3 billion. Holding exchange rates constant, net revenue in 2015 was $5.8 billion higher than 2014.</w:t>
      </w:r>
    </w:p>
    <w:p>
      <w:pPr>
        <w:spacing w:after="0" w:line="13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Based on its strong operating performance in 2015 and consistent with the outlook provided in January, the company reaffirms its expectation that its EPS-adjusted will be between $5.25 and $5.75 in 2016.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Results</w:t>
      </w:r>
    </w:p>
    <w:p>
      <w:pPr>
        <w:spacing w:after="0" w:line="23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GM’s fourth quarter 2015 net income attributable to common stockholders was $6.3 billion, or $3.92 per diluted share, up from $1.1 billion, or $0.66 per diluted share during the fourth quarter of 2014. Earnings per share adjusted for special items during the fourth quarter was $1.39, up 17 percent compared to $1.19 per share for the fourth quarter of 2014.</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EBIT-adjusted was a record $2.8 billion and EBIT-adjusted margin was 7.0 percent in the fourth quarter of 2015, compared to EBIT-adjusted of $2.4 billion and EBIT-adjusted margin of 6.1 percent in the fourth quarter of 2014.</w:t>
      </w:r>
    </w:p>
    <w:p>
      <w:pPr>
        <w:spacing w:after="0" w:line="17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fourth quarter closed another very strong year of operating performance,” said Chuck Stevens, executive vice president and CFO. “We plan to improve our results in 2016, driven by a significant vehicle launch cadence,</w:t>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continued emphasis on growing our adjacent businesses and an unrelenting focus on driving efficiencies into our core operations.”</w:t>
      </w:r>
    </w:p>
    <w:p>
      <w:pPr>
        <w:spacing w:after="0" w:line="228"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Special items during the fourth quarter of 2015 impacted net income to common stockholders favorably, $4.0 billion, or $2.53 per share, compared to an unfavorable $(0.9) billion impact in 2014, or $(0.53) per share. These special items included a $3.9 billion net non-cash benefit related to the release of the company’s valuation allowances on certain GM Europe deferred tax assets.</w:t>
      </w:r>
    </w:p>
    <w:p>
      <w:pPr>
        <w:spacing w:after="0" w:line="170"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Total net revenue in the fourth quarter of 2015 was $39.6 billion, approximately equal to the fourth quarter of 2014. Holding exchange rates constant, net revenue during the fourth quarter was $2.4 billion higher than the fourth quarter of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20" w:type="dxa"/>
            <w:vAlign w:val="bottom"/>
          </w:tcPr>
          <w:p>
            <w:pPr>
              <w:spacing w:after="0"/>
              <w:rPr>
                <w:sz w:val="20"/>
                <w:szCs w:val="20"/>
                <w:color w:val="auto"/>
              </w:rPr>
            </w:pPr>
            <w:r>
              <w:rPr>
                <w:rFonts w:ascii="Arial" w:cs="Arial" w:eastAsia="Arial" w:hAnsi="Arial"/>
                <w:sz w:val="20"/>
                <w:szCs w:val="20"/>
                <w:b w:val="1"/>
                <w:bCs w:val="1"/>
                <w:color w:val="auto"/>
              </w:rPr>
              <w:t xml:space="preserve">Overview </w:t>
            </w:r>
            <w:r>
              <w:rPr>
                <w:rFonts w:ascii="Arial" w:cs="Arial" w:eastAsia="Arial" w:hAnsi="Arial"/>
                <w:sz w:val="16"/>
                <w:szCs w:val="16"/>
                <w:color w:val="auto"/>
              </w:rPr>
              <w:t>(in billions except for per share amounts)</w:t>
            </w: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88"/>
        </w:trPr>
        <w:tc>
          <w:tcPr>
            <w:tcW w:w="5520" w:type="dxa"/>
            <w:vAlign w:val="bottom"/>
          </w:tcPr>
          <w:p>
            <w:pPr>
              <w:spacing w:after="0"/>
              <w:rPr>
                <w:sz w:val="24"/>
                <w:szCs w:val="24"/>
                <w:color w:val="auto"/>
              </w:rPr>
            </w:pPr>
          </w:p>
        </w:tc>
        <w:tc>
          <w:tcPr>
            <w:tcW w:w="194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Q4 2015</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Q4 2014</w:t>
            </w:r>
          </w:p>
        </w:tc>
        <w:tc>
          <w:tcPr>
            <w:tcW w:w="1140" w:type="dxa"/>
            <w:vAlign w:val="bottom"/>
          </w:tcPr>
          <w:p>
            <w:pPr>
              <w:ind w:left="240"/>
              <w:spacing w:after="0"/>
              <w:rPr>
                <w:sz w:val="20"/>
                <w:szCs w:val="20"/>
                <w:color w:val="auto"/>
              </w:rPr>
            </w:pPr>
            <w:r>
              <w:rPr>
                <w:rFonts w:ascii="Arial" w:cs="Arial" w:eastAsia="Arial" w:hAnsi="Arial"/>
                <w:sz w:val="18"/>
                <w:szCs w:val="18"/>
                <w:b w:val="1"/>
                <w:bCs w:val="1"/>
                <w:color w:val="auto"/>
              </w:rPr>
              <w:t>CY 2015</w:t>
            </w:r>
          </w:p>
        </w:tc>
        <w:tc>
          <w:tcPr>
            <w:tcW w:w="900" w:type="dxa"/>
            <w:vAlign w:val="bottom"/>
          </w:tcPr>
          <w:p>
            <w:pPr>
              <w:ind w:left="220"/>
              <w:spacing w:after="0"/>
              <w:rPr>
                <w:sz w:val="20"/>
                <w:szCs w:val="20"/>
                <w:color w:val="auto"/>
              </w:rPr>
            </w:pPr>
            <w:r>
              <w:rPr>
                <w:rFonts w:ascii="Arial" w:cs="Arial" w:eastAsia="Arial" w:hAnsi="Arial"/>
                <w:sz w:val="18"/>
                <w:szCs w:val="18"/>
                <w:b w:val="1"/>
                <w:bCs w:val="1"/>
                <w:color w:val="auto"/>
                <w:w w:val="94"/>
              </w:rPr>
              <w:t>CY 2014</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Revenue</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88"/>
              </w:rPr>
              <w:t>$39.6</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$39.6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$152.4</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7"/>
              </w:rPr>
              <w:t>$155.9</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91"/>
              </w:rPr>
              <w:t>$6.3</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$1.1</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$9.7</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$2.8</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Earnings per share (EPS) diluted</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88"/>
              </w:rPr>
              <w:t>$3.92</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$0.66</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$5.91</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$1.65</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Impact of special items on EPS diluted</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88"/>
              </w:rPr>
              <w:t>$2.53</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$(0.53)</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$0.89</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$(1.40)</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EPS diluted - adjusted</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88"/>
              </w:rPr>
              <w:t>$1.39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$1.19</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$5.02</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$3.05</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EBIT-adjusted</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91"/>
              </w:rPr>
              <w:t>$2.8</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$10.8</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$6.5</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 EBIT-adjusted margin</w:t>
            </w:r>
          </w:p>
        </w:tc>
        <w:tc>
          <w:tcPr>
            <w:tcW w:w="1940" w:type="dxa"/>
            <w:vAlign w:val="bottom"/>
          </w:tcPr>
          <w:p>
            <w:pPr>
              <w:jc w:val="center"/>
              <w:ind w:left="750"/>
              <w:spacing w:after="0"/>
              <w:rPr>
                <w:sz w:val="20"/>
                <w:szCs w:val="20"/>
                <w:color w:val="auto"/>
              </w:rPr>
            </w:pPr>
            <w:r>
              <w:rPr>
                <w:rFonts w:ascii="Arial" w:cs="Arial" w:eastAsia="Arial" w:hAnsi="Arial"/>
                <w:sz w:val="18"/>
                <w:szCs w:val="18"/>
                <w:color w:val="auto"/>
                <w:w w:val="87"/>
              </w:rPr>
              <w:t>7.0</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7.1</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5"/>
              </w:rPr>
              <w:t>4.2</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Automotive net cash flow from operating activities</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91"/>
              </w:rPr>
              <w:t>$2.2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$3.8</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$10.1</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Adjusted automotive free cash flow</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93"/>
              </w:rPr>
              <w:t>$(0.3)</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$2.2</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$3.1</w:t>
            </w:r>
          </w:p>
        </w:tc>
      </w:tr>
      <w:tr>
        <w:trPr>
          <w:trHeight w:val="270"/>
        </w:trPr>
        <w:tc>
          <w:tcPr>
            <w:tcW w:w="5520" w:type="dxa"/>
            <w:vAlign w:val="bottom"/>
          </w:tcPr>
          <w:p>
            <w:pPr>
              <w:ind w:left="600"/>
              <w:spacing w:after="0"/>
              <w:rPr>
                <w:sz w:val="20"/>
                <w:szCs w:val="20"/>
                <w:color w:val="auto"/>
              </w:rPr>
            </w:pPr>
            <w:r>
              <w:rPr>
                <w:rFonts w:ascii="Arial" w:cs="Arial" w:eastAsia="Arial" w:hAnsi="Arial"/>
                <w:sz w:val="18"/>
                <w:szCs w:val="18"/>
                <w:b w:val="1"/>
                <w:bCs w:val="1"/>
                <w:color w:val="auto"/>
              </w:rPr>
              <w:t>% Return on Invested Capital (ROIC)</w:t>
            </w:r>
          </w:p>
        </w:tc>
        <w:tc>
          <w:tcPr>
            <w:tcW w:w="1940" w:type="dxa"/>
            <w:vAlign w:val="bottom"/>
          </w:tcPr>
          <w:p>
            <w:pPr>
              <w:jc w:val="center"/>
              <w:ind w:left="730"/>
              <w:spacing w:after="0"/>
              <w:rPr>
                <w:sz w:val="20"/>
                <w:szCs w:val="20"/>
                <w:color w:val="auto"/>
              </w:rPr>
            </w:pPr>
            <w:r>
              <w:rPr>
                <w:rFonts w:ascii="Arial" w:cs="Arial" w:eastAsia="Arial" w:hAnsi="Arial"/>
                <w:sz w:val="18"/>
                <w:szCs w:val="18"/>
                <w:color w:val="auto"/>
                <w:w w:val="91"/>
              </w:rPr>
              <w:t>27.2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15.4</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27.2</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15.4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235" w:lineRule="exact"/>
        <w:rPr>
          <w:sz w:val="20"/>
          <w:szCs w:val="20"/>
          <w:color w:val="auto"/>
        </w:rPr>
      </w:pPr>
    </w:p>
    <w:p>
      <w:pPr>
        <w:ind w:left="660" w:right="40" w:hanging="328"/>
        <w:spacing w:after="0" w:line="25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GM North America (GMNA) reported EBIT-adjusted of $2.8 billion in the fourth quarter of 2015 compared to $2.2 billion in 2014. Full-year EBIT-adjusted of $11.0 billion and EBIT-adjusted margin of 10.3 percent were both records, and compared to EBIT-adjusted of $6.6 billion and EBIT-adjusted margin of 6.5 percent in 2014. Based on GMNA’s 2015 financial performance, the company will pay profit sharing of up to$11,000 to approximately 49,600 eligible GM U.S. hourly employees.</w:t>
      </w:r>
    </w:p>
    <w:p>
      <w:pPr>
        <w:spacing w:after="0" w:line="2" w:lineRule="exact"/>
        <w:rPr>
          <w:rFonts w:ascii="Arial" w:cs="Arial" w:eastAsia="Arial" w:hAnsi="Arial"/>
          <w:sz w:val="17"/>
          <w:szCs w:val="17"/>
          <w:color w:val="auto"/>
        </w:rPr>
      </w:pPr>
    </w:p>
    <w:p>
      <w:pPr>
        <w:ind w:left="660" w:right="2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(GME) reported EBIT-adjusted of $(0.3) billion in the fourth quarter of 2015, compared to $(0.4) billion in 2014. Full-year EBIT-adjusted was $(0.8) billion in 2015, compared to $(1.4) billion in 2014.</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International Operations (GMIO) reported EBIT-adjusted of $0.4 billion in the fourth quarter of 2015 compared to $0.4 billion in 2014. Full-year EBIT-adjusted was $1.4 billion in 2015 compared to $1.2 billion in 2014. Results included China equity income of $0.6 billion in the fourth quarter and $2.1 billion for the full year.</w:t>
      </w:r>
    </w:p>
    <w:p>
      <w:pPr>
        <w:spacing w:after="0" w:line="1" w:lineRule="exact"/>
        <w:rPr>
          <w:rFonts w:ascii="Arial" w:cs="Arial" w:eastAsia="Arial" w:hAnsi="Arial"/>
          <w:sz w:val="18"/>
          <w:szCs w:val="18"/>
          <w:color w:val="auto"/>
        </w:rPr>
      </w:pPr>
    </w:p>
    <w:p>
      <w:pPr>
        <w:ind w:left="660" w:right="240" w:hanging="328"/>
        <w:spacing w:after="0" w:line="26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 (GMSA) reported approximately break-even results in the fourth quarter of 2015, compared to EBIT-adjusted of $0.1 billion in 2014. Full-year EBIT-adjusted was $(0.6) billion in 2015 compared to EBIT-adjusted of $(0.2) billion in 2014.</w:t>
      </w:r>
    </w:p>
    <w:p>
      <w:pPr>
        <w:ind w:left="66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Financial reported earnings before taxes (EBT) of $0.2 billion in the fourth quarter of 2015, compared to $0.1 billion in 2014. Full-year EBT was $0.8 billion, compared to $0.8 billion in 2014.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35"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For the fourth quarter of 2015, automotive cash flow from operating activities was $2.2 billion, compared to $3.8 billion in 2014. In the fourth quarter of 2015, adjusted automotive free cash flow was $(0.3) billion, compared to $1.8 billion in 2014. For the year, adjusted automotive free cash flow was $2.2 billion, compared to $3.1 billion a year ago.</w:t>
      </w:r>
    </w:p>
    <w:p>
      <w:pPr>
        <w:sectPr>
          <w:pgSz w:w="11900" w:h="16838" w:orient="portrait"/>
          <w:cols w:equalWidth="0" w:num="1">
            <w:col w:w="11400"/>
          </w:cols>
          <w:pgMar w:left="240" w:top="122" w:right="259" w:bottom="1440" w:gutter="0" w:footer="0" w:header="0"/>
        </w:sectPr>
      </w:pPr>
    </w:p>
    <w:bookmarkStart w:id="5" w:name="page6"/>
    <w:bookmarkEnd w:id="5"/>
    <w:p>
      <w:pPr>
        <w:spacing w:after="0" w:line="262" w:lineRule="auto"/>
        <w:rPr>
          <w:sz w:val="20"/>
          <w:szCs w:val="20"/>
          <w:color w:val="auto"/>
        </w:rPr>
      </w:pPr>
      <w:r>
        <w:rPr>
          <w:rFonts w:ascii="Arial" w:cs="Arial" w:eastAsia="Arial" w:hAnsi="Arial"/>
          <w:sz w:val="20"/>
          <w:szCs w:val="20"/>
          <w:color w:val="auto"/>
        </w:rPr>
        <w:t>GM ended 2015 with total automotive liquidity of $32.5 billion compared to $37.2 billion at year-end in 2014. Automotive cash and marketable securities was $20.3 billion at the end of 2015, compared to $25.2 billion a year earlier.</w:t>
      </w:r>
    </w:p>
    <w:p>
      <w:pPr>
        <w:spacing w:after="0" w:line="17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2015 GM returned approximately $5.7 billion to shareholders, including $2.2 billion in common stock dividends and $3.5 billion through the GM common stock repurchase program.</w:t>
      </w:r>
    </w:p>
    <w:p>
      <w:pPr>
        <w:spacing w:after="0" w:line="17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http://www.gm.com.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40" w:type="dxa"/>
            <w:vAlign w:val="bottom"/>
            <w:gridSpan w:val="2"/>
          </w:tcPr>
          <w:p>
            <w:pPr>
              <w:jc w:val="right"/>
              <w:ind w:right="1600"/>
              <w:spacing w:after="0"/>
              <w:rPr>
                <w:sz w:val="20"/>
                <w:szCs w:val="20"/>
                <w:color w:val="auto"/>
              </w:rPr>
            </w:pPr>
            <w:r>
              <w:rPr>
                <w:rFonts w:ascii="Arial" w:cs="Arial" w:eastAsia="Arial" w:hAnsi="Arial"/>
                <w:sz w:val="18"/>
                <w:szCs w:val="18"/>
                <w:color w:val="auto"/>
              </w:rPr>
              <w:t># # #</w:t>
            </w:r>
          </w:p>
        </w:tc>
      </w:tr>
      <w:tr>
        <w:trPr>
          <w:trHeight w:val="432"/>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4"/>
        </w:trPr>
        <w:tc>
          <w:tcPr>
            <w:tcW w:w="4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440" w:type="dxa"/>
            <w:vAlign w:val="bottom"/>
            <w:gridSpan w:val="2"/>
          </w:tcPr>
          <w:p>
            <w:pPr>
              <w:ind w:left="1680"/>
              <w:spacing w:after="0"/>
              <w:rPr>
                <w:sz w:val="20"/>
                <w:szCs w:val="20"/>
                <w:color w:val="auto"/>
              </w:rPr>
            </w:pPr>
            <w:r>
              <w:rPr>
                <w:rFonts w:ascii="Arial" w:cs="Arial" w:eastAsia="Arial" w:hAnsi="Arial"/>
                <w:sz w:val="18"/>
                <w:szCs w:val="18"/>
                <w:color w:val="auto"/>
              </w:rPr>
              <w:t>Randy Arickx</w:t>
            </w:r>
          </w:p>
        </w:tc>
      </w:tr>
      <w:tr>
        <w:trPr>
          <w:trHeight w:val="216"/>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313-410-2704</w:t>
            </w:r>
          </w:p>
        </w:tc>
        <w:tc>
          <w:tcPr>
            <w:tcW w:w="1700" w:type="dxa"/>
            <w:vAlign w:val="bottom"/>
          </w:tcPr>
          <w:p>
            <w:pPr>
              <w:spacing w:after="0"/>
              <w:rPr>
                <w:sz w:val="18"/>
                <w:szCs w:val="18"/>
                <w:color w:val="auto"/>
              </w:rPr>
            </w:pPr>
          </w:p>
        </w:tc>
        <w:tc>
          <w:tcPr>
            <w:tcW w:w="3440" w:type="dxa"/>
            <w:vAlign w:val="bottom"/>
            <w:gridSpan w:val="2"/>
          </w:tcPr>
          <w:p>
            <w:pPr>
              <w:ind w:left="1680"/>
              <w:spacing w:after="0"/>
              <w:rPr>
                <w:sz w:val="20"/>
                <w:szCs w:val="20"/>
                <w:color w:val="auto"/>
              </w:rPr>
            </w:pPr>
            <w:r>
              <w:rPr>
                <w:rFonts w:ascii="Arial" w:cs="Arial" w:eastAsia="Arial" w:hAnsi="Arial"/>
                <w:sz w:val="18"/>
                <w:szCs w:val="18"/>
                <w:color w:val="auto"/>
              </w:rPr>
              <w:t>313-268-7070</w:t>
            </w:r>
          </w:p>
        </w:tc>
      </w:tr>
      <w:tr>
        <w:trPr>
          <w:trHeight w:val="216"/>
        </w:trPr>
        <w:tc>
          <w:tcPr>
            <w:tcW w:w="4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GM Finance Communications</w:t>
            </w:r>
          </w:p>
        </w:tc>
        <w:tc>
          <w:tcPr>
            <w:tcW w:w="3440" w:type="dxa"/>
            <w:vAlign w:val="bottom"/>
            <w:gridSpan w:val="2"/>
          </w:tcPr>
          <w:p>
            <w:pPr>
              <w:ind w:left="1680"/>
              <w:spacing w:after="0"/>
              <w:rPr>
                <w:sz w:val="20"/>
                <w:szCs w:val="20"/>
                <w:color w:val="auto"/>
              </w:rPr>
            </w:pPr>
            <w:r>
              <w:rPr>
                <w:rFonts w:ascii="Arial" w:cs="Arial" w:eastAsia="Arial" w:hAnsi="Arial"/>
                <w:sz w:val="18"/>
                <w:szCs w:val="18"/>
                <w:color w:val="auto"/>
                <w:w w:val="97"/>
              </w:rPr>
              <w:t>GM Investor Relations</w:t>
            </w:r>
          </w:p>
        </w:tc>
      </w:tr>
      <w:tr>
        <w:trPr>
          <w:trHeight w:val="190"/>
        </w:trPr>
        <w:tc>
          <w:tcPr>
            <w:tcW w:w="420" w:type="dxa"/>
            <w:vAlign w:val="bottom"/>
          </w:tcPr>
          <w:p>
            <w:pPr>
              <w:spacing w:after="0"/>
              <w:rPr>
                <w:sz w:val="16"/>
                <w:szCs w:val="16"/>
                <w:color w:val="auto"/>
              </w:rPr>
            </w:pPr>
          </w:p>
        </w:tc>
        <w:tc>
          <w:tcPr>
            <w:tcW w:w="364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3440" w:type="dxa"/>
            <w:vAlign w:val="bottom"/>
            <w:gridSpan w:val="2"/>
          </w:tcPr>
          <w:p>
            <w:pPr>
              <w:ind w:left="1680"/>
              <w:spacing w:after="0" w:line="190" w:lineRule="exact"/>
              <w:rPr>
                <w:sz w:val="20"/>
                <w:szCs w:val="20"/>
                <w:color w:val="auto"/>
              </w:rPr>
            </w:pPr>
            <w:r>
              <w:rPr>
                <w:rFonts w:ascii="Arial" w:cs="Arial" w:eastAsia="Arial" w:hAnsi="Arial"/>
                <w:sz w:val="18"/>
                <w:szCs w:val="18"/>
                <w:color w:val="0000FF"/>
                <w:w w:val="89"/>
              </w:rPr>
              <w:t>randy.c.arickx@gm.com</w:t>
            </w:r>
          </w:p>
        </w:tc>
      </w:tr>
      <w:tr>
        <w:trPr>
          <w:trHeight w:val="20"/>
        </w:trPr>
        <w:tc>
          <w:tcPr>
            <w:tcW w:w="4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this press release and in related comments by management, our use of the words “plan”, “anticipate,” “goal,” “expect,” “possible,” “target,” “believe,” “commit”, “intend,” “continue,” “may,” “would,” “could,” “should,” “project,” “appears,” “potential,” “on track,” “designed,” “effect,” “estimate,” “evaluate,” “forecast,” “initiative,” “objective,” “outlook,” “priorities,” “pursue,” “seek,” “will,” “when,” or the negative of any of those words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our ability to restructure our operations in various countries; our ability to maintain quality control over our vehicles and avoid material vehicle recalls and the cost and effect on our reputation of product recalls; our ability to maintain adequate financing sources, including as required to fund new and improved products and services and investments in new technology; our ability to realize successful vehicle applications of new technology; our ability to deliver new products, services and customer experiences; volatility in the price of oil; the ability of our suppliers to timely deliver parts, components and systems; the availability of wholesale and retail financing in markets in which we operate to support the sale of our vehicles; the success of our full-size pick-up trucks and SUVs; the results of our joint ventures, which we cannot operate solely for our benefit and over which we may limited control; changes in economic conditions, commodity prices, housing prices, foreign currency exchange rates or political stability in the markets in which we operate; changes in laws, regulations and policies or other activities of governmental authorities or stricter or novel interpretations and consequent enforcement of existing requirements; significant changes in the economic, political and regulatory environment and market conditions in China; costs and risks associated with litigation and government investigations including those related to our various recalls and risks, consequences and costs associated with failure to comply with the deferred prosecution agreement; increases in our pension expense or projected pension contributions; and our ability to manage risks related to security breaches and other disruptions to our vehicles, information technology networks and systems.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GM’s most recent reports on Form 10-K and Form 10-Q provide information about these and other factors, which we may revise or supplement in future reports to the Securities and Exchange Commission. GM does not undertake to update any forward-looking statements that it may make except as required by applicable law. All subsequent written and forward-looking statements attributed to GM or any person acting on its behalf are expressly qualified in their entirety by the factors referenced above.</w:t>
      </w:r>
    </w:p>
    <w:p>
      <w:pPr>
        <w:sectPr>
          <w:pgSz w:w="11900" w:h="16838" w:orient="portrait"/>
          <w:cols w:equalWidth="0" w:num="1">
            <w:col w:w="11420"/>
          </w:cols>
          <w:pgMar w:left="240" w:top="121" w:right="23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accompanying tables and charts include earnings before interest and taxes adjusted for special items, presented net of noncontrolling interests (EBIT-adjusted), earnings per share (EPS)-diluted-adjusted, return on invested capital (ROIC) and Automotive adjusted free cash flow. These metrics are not prepared in accordance with Accounting Principles Generally Accepted in the United States of America (U.S. GAAP) and have not been audited or reviewed by GM's independent auditors. EBIT-adjusted, EPS-diluted-adjusted, ROIC and Automotive adjusted free cash flow are considered non-GAAP financial measures.</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Management uses EBIT-adjusted to review the operating results of its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EPS-diluted-adjusted to review our consolidated diluted earnings per share results on a consistent basis. EPS-diluted-adjusted is calculated as net income attributable to common stockholders less certain adjustments noted above for EBIT-adjusted on an after-tax basis as well as certain income tax adjustments divided by weighted-average common shares outstanding – diluted.</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Management uses ROIC to review investment and capital allocation decisions. GM defines ROIC as EBIT-adjusted for the trailing four quarters divided by average net assets, which is considered to be the average equity balances adjusted for certain assets and liabilities during the same period.</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Management uses Automotive adjusted free cash flow to review the liquidity of its automotive operations. GM measures Automotive adjusted free cash flow as cash flow from operations less capital expenditures adjusted for management actions, primarily related to strengthening its balance sheet, such as accrued interest on prepayments of debt and voluntary contributions to employee benefit plans.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GM's core operations. These measures allow management to view operating trends, perform analytical comparisons and benchmark performance between periods and among geographic regions.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summarizes the reconciliation of EBIT-adjusted to its most comparable U.S. GAAP measure, Net income attributable to stockholders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3"/>
          </w:tcPr>
          <w:p>
            <w:pPr>
              <w:ind w:left="300"/>
              <w:spacing w:after="0"/>
              <w:rPr>
                <w:sz w:val="20"/>
                <w:szCs w:val="20"/>
                <w:color w:val="auto"/>
              </w:rPr>
            </w:pPr>
            <w:r>
              <w:rPr>
                <w:rFonts w:ascii="Arial" w:cs="Arial" w:eastAsia="Arial" w:hAnsi="Arial"/>
                <w:sz w:val="16"/>
                <w:szCs w:val="16"/>
                <w:b w:val="1"/>
                <w:bCs w:val="1"/>
                <w:color w:val="auto"/>
                <w:w w:val="97"/>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ind w:left="560"/>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2015</w:t>
            </w: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2014</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2015</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2014</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segments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11,026</w:t>
            </w:r>
          </w:p>
        </w:tc>
        <w:tc>
          <w:tcPr>
            <w:tcW w:w="12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Europe (GME)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GM International Operations (GMIO)</w:t>
            </w:r>
          </w:p>
        </w:tc>
        <w:tc>
          <w:tcPr>
            <w:tcW w:w="4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South America (GMSA)</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Financial)(a)</w:t>
            </w:r>
          </w:p>
        </w:tc>
        <w:tc>
          <w:tcPr>
            <w:tcW w:w="4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segments(b)</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6,266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9,687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interest expense and income tax benefit (expense) are recorded centrally in Corporate.</w:t>
      </w:r>
    </w:p>
    <w:p>
      <w:pPr>
        <w:spacing w:after="0" w:line="17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December 31, 2015 special items primarily consisted of charges for various legal matters of $90 million related to the Ignition Switch Recall in Corporate; and a favorable adjustment related to the Ignition Switch Recall compensation program of $30 million in Corporate.</w:t>
      </w:r>
    </w:p>
    <w:p>
      <w:pPr>
        <w:spacing w:after="0" w:line="7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2015 special items primarily consisted of net insurance recoveries related to flood damage of $47 million in GMNA; costs related to the change in business model in Russia of $358 million in GME and $85 million in GMIO, which is net of noncontrolling interests; asset impairment charges of $297 million related to Thailand subsidiaries in GMIO; Venezuela currency devaluation charges of $604 million and asset impairment charges of $116 million related to Venezuela subsidiaries in GMSA; and charges related to the Ignition Switch Recall including the compensation program of $195 million and various legal matters of approximately $1.6 billion in Corporate.</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December 31, 2014 special items primarily consisted of net insurance recoveries related to flood damage of $31 million in GMNA; asset impairment charges of $51 million related to Russian subsidiaries in GME and $158 million related to our Thailand subsidiary in GMIO; and Goodwill impairment charges of $120 million in GMSA.</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2014 special items primarily consisted of a catch-up adjustment related to the change in estimate for recall campaigns of $874 million and charges related to flood damage of $101 million in GMNA; asset impairment charges of $245 million related to Russian subsidiaries in GME and $158 million related to a Thailand subsidiary in GMIO; Venezuela currency devaluation charges of $419 million and Goodwill impairment charges of $120 million in GMSA; and a charge related to the Ignition Switch Recall compensation program of $400 million in Corporate.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EPS-diluted-adjusted to its most comparable financial measure under U.S. GAAP, diluted earnings per common share: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impact of adjustments(a)</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7780" w:type="dxa"/>
            <w:vAlign w:val="bottom"/>
            <w:vMerge w:val="restart"/>
          </w:tcPr>
          <w:p>
            <w:pPr>
              <w:jc w:val="right"/>
              <w:ind w:right="7032"/>
              <w:spacing w:after="0"/>
              <w:rPr>
                <w:sz w:val="20"/>
                <w:szCs w:val="20"/>
                <w:color w:val="auto"/>
              </w:rPr>
            </w:pPr>
            <w:r>
              <w:rPr>
                <w:rFonts w:ascii="Arial" w:cs="Arial" w:eastAsia="Arial" w:hAnsi="Arial"/>
                <w:sz w:val="16"/>
                <w:szCs w:val="16"/>
                <w:color w:val="auto"/>
                <w:w w:val="89"/>
              </w:rPr>
              <w:t>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5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the adjustments disclosed in Note 23 to our consolidated financial statements on an after-tax basis for all periods presented, income tax benefit of $3.9 billion related to the reversals of deferred tax asset valuation allowances primarily at GME in the year ended December 31, 2015 and income tax benefit of $0.5 billion related to income tax settlements in the year ended December 31, 2013.</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22"/>
                <w:szCs w:val="22"/>
                <w:color w:val="auto"/>
              </w:rPr>
            </w:pPr>
          </w:p>
        </w:tc>
        <w:tc>
          <w:tcPr>
            <w:tcW w:w="1480" w:type="dxa"/>
            <w:vAlign w:val="bottom"/>
          </w:tcPr>
          <w:p>
            <w:pPr>
              <w:jc w:val="right"/>
              <w:ind w:right="172"/>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41.3</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180" w:type="dxa"/>
            <w:vAlign w:val="bottom"/>
          </w:tcPr>
          <w:p>
            <w:pPr>
              <w:spacing w:after="0"/>
              <w:rPr>
                <w:sz w:val="21"/>
                <w:szCs w:val="21"/>
                <w:color w:val="auto"/>
              </w:rPr>
            </w:pP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26.6</w:t>
            </w:r>
          </w:p>
        </w:tc>
      </w:tr>
      <w:tr>
        <w:trPr>
          <w:trHeight w:val="27"/>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180" w:type="dxa"/>
            <w:vAlign w:val="bottom"/>
          </w:tcPr>
          <w:p>
            <w:pPr>
              <w:spacing w:after="0"/>
              <w:rPr>
                <w:sz w:val="21"/>
                <w:szCs w:val="21"/>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(32.4)</w:t>
            </w:r>
          </w:p>
        </w:tc>
      </w:tr>
      <w:tr>
        <w:trPr>
          <w:trHeight w:val="27"/>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ROIC average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42.2</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ROIC</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Automotive adjusted free cash flow to Automotive net cash provided by operating activities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adjusted free cash flow</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Adjustments</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1,987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7,039</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Automotive net cash provided by operating activities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3,786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Adjustments included pension contributions of $53 million related to the previously announced annuitization of the U.S. salaried pension plan in August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0"/>
        </w:trPr>
        <w:tc>
          <w:tcPr>
            <w:tcW w:w="230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27,671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4,712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3,445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1,881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37,748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1,878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39,621</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2,550</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2,054</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615</w:t>
            </w:r>
          </w:p>
        </w:tc>
      </w:tr>
      <w:tr>
        <w:trPr>
          <w:trHeight w:val="152"/>
        </w:trPr>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0"/>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24"/>
        </w:trPr>
        <w:tc>
          <w:tcPr>
            <w:tcW w:w="230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December 31, 2014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25,308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38,316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39,617</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1,418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2,002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1,566</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w w:val="98"/>
              </w:rPr>
              <w:t>Impairment charges, excluding goodwill</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256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income(loss)(a)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469</w:t>
            </w: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30"/>
        </w:trPr>
        <w:tc>
          <w:tcPr>
            <w:tcW w:w="230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Year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106,622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18,704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12,626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7,820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145,922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6,454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152,356</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7,874</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4,874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2,297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7,171</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846</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2,194</w:t>
            </w:r>
          </w:p>
        </w:tc>
      </w:tr>
      <w:tr>
        <w:trPr>
          <w:trHeight w:val="152"/>
        </w:trPr>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0"/>
        </w:trPr>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24"/>
        </w:trPr>
        <w:tc>
          <w:tcPr>
            <w:tcW w:w="230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3"/>
                <w:szCs w:val="13"/>
                <w:b w:val="1"/>
                <w:bCs w:val="1"/>
                <w:color w:val="auto"/>
              </w:rPr>
              <w:t>December 31, 2014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101,199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22,235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155,929</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4,985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7,039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7,091</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6,238</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w w:val="98"/>
              </w:rPr>
              <w:t>Impairment charges, excluding goodwill</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880</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income(loss)(a)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r>
      <w:tr>
        <w:trPr>
          <w:trHeight w:val="214"/>
        </w:trPr>
        <w:tc>
          <w:tcPr>
            <w:tcW w:w="2300" w:type="dxa"/>
            <w:vAlign w:val="bottom"/>
          </w:tcPr>
          <w:p>
            <w:pPr>
              <w:spacing w:after="0"/>
              <w:rPr>
                <w:sz w:val="20"/>
                <w:szCs w:val="20"/>
                <w:color w:val="auto"/>
              </w:rPr>
            </w:pPr>
            <w:r>
              <w:rPr>
                <w:rFonts w:ascii="Arial" w:cs="Arial" w:eastAsia="Arial" w:hAnsi="Arial"/>
                <w:sz w:val="18"/>
                <w:szCs w:val="18"/>
                <w:color w:val="auto"/>
              </w:rPr>
              <w:t>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ind w:left="340" w:hanging="332"/>
        <w:spacing w:after="0"/>
        <w:tabs>
          <w:tab w:leader="none" w:pos="3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automotive China joint ventures equity income of $572 million and $511 million in the three months ended December 31, 2015 and 2014 and $2.1 billion in the years ended December 31, 2015 and 2014.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Sales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in the tables below and corresponding calculations of its market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GM's revenue from the sale of vehicles, which is the largest component of Automotive net sales and revenue. Wholesale vehicle sales exclude vehicles produced by joint ventures. In the year ended December 31, 2015, 48.3% of GM's wholesale vehicle sales volume was generated outside the U.S. The following table summarizes total wholesale vehicle sales of new vehicles by automotive segment (vehicles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GME</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1,172</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GMSA</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886</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Worldwide</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1,518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1,578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5,876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6,033</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11" w:name="page12"/>
    <w:bookmarkEnd w:id="11"/>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Sales and Market Share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on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retail sales volume, or estimated sales volume where retail sales volume is not available, of new vehicles by geographic region (vehicles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 - Cars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 - Trucks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 - Crossovers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383</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Cadillac</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Buick</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GMC</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United States</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783</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727</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3,082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2,935</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Mexico and Other</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North America</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927</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3,612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3,413</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Opel/Vauxhall</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Europe</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1,256</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Chevrolet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1,344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Wuling</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Buick</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920</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Baojun</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Cadillac</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Total Asia/Pacific, Middle East and Africa</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1,360</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4,525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4,378</w:t>
            </w: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America(a)</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878</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2,723</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2,553</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9,958</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 Primarily Chevrolet.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2" w:name="page13"/>
    <w:bookmarkEnd w:id="12"/>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wholesale vehicle sales at GM's China joint ventures presented in the following table are included in GM's retail vehicle sales on the preceding page (vehicles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Corp., Ltd.</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8"/>
              </w:rPr>
              <w:t>SAIC GM Wuling Automobile Co., Ltd. and FAW-GM Light Duty Commercial</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Vehicle Co., Ltd.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1,830</w:t>
            </w:r>
          </w:p>
        </w:tc>
      </w:tr>
      <w:tr>
        <w:trPr>
          <w:trHeight w:val="642"/>
        </w:trPr>
        <w:tc>
          <w:tcPr>
            <w:tcW w:w="606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24"/>
                <w:szCs w:val="24"/>
                <w:color w:val="auto"/>
              </w:rPr>
            </w:pPr>
          </w:p>
        </w:tc>
        <w:tc>
          <w:tcPr>
            <w:tcW w:w="260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60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 Share</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12.3%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14.1%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Trucks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23.4%</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17.2%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16.7%</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17.4%</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16.8%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16.9%</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Europe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6.7%</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10.9%</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10.1%</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South America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16.5%</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11.5%</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11.3%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11.2%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11.4%</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 Total U.S. Fleet Mix</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19.7%</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22.0%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24.0%</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North America Capacity Two Shift Utilization</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102.1%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98.9%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3" w:name="page14"/>
    <w:bookmarkEnd w:id="13"/>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(In millions)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 2015</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Year Ended December 31, 2014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rPr>
              <w:t>GM Financial</w:t>
            </w:r>
          </w:p>
        </w:tc>
        <w:tc>
          <w:tcPr>
            <w:tcW w:w="14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4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GM Financial</w:t>
            </w:r>
          </w:p>
        </w:tc>
        <w:tc>
          <w:tcPr>
            <w:tcW w:w="14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22"/>
                <w:szCs w:val="22"/>
                <w:color w:val="auto"/>
              </w:rPr>
            </w:pPr>
          </w:p>
        </w:tc>
        <w:tc>
          <w:tcPr>
            <w:tcW w:w="880" w:type="dxa"/>
            <w:vAlign w:val="bottom"/>
          </w:tcPr>
          <w:p>
            <w:pPr>
              <w:jc w:val="right"/>
              <w:ind w:right="88"/>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7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180"/>
              <w:spacing w:after="0"/>
              <w:rPr>
                <w:sz w:val="20"/>
                <w:szCs w:val="20"/>
                <w:color w:val="auto"/>
              </w:rPr>
            </w:pPr>
            <w:r>
              <w:rPr>
                <w:rFonts w:ascii="Arial" w:cs="Arial" w:eastAsia="Arial" w:hAnsi="Arial"/>
                <w:sz w:val="14"/>
                <w:szCs w:val="14"/>
                <w:color w:val="auto"/>
              </w:rPr>
              <w:t>Automotive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145,922</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145,922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151,092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151,092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4,837</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180"/>
              <w:spacing w:after="0"/>
              <w:rPr>
                <w:sz w:val="20"/>
                <w:szCs w:val="20"/>
                <w:color w:val="auto"/>
              </w:rPr>
            </w:pPr>
            <w:r>
              <w:rPr>
                <w:rFonts w:ascii="Arial" w:cs="Arial" w:eastAsia="Arial" w:hAnsi="Arial"/>
                <w:sz w:val="14"/>
                <w:szCs w:val="14"/>
                <w:color w:val="auto"/>
              </w:rPr>
              <w:t>Total net sales and revenue</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145,922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6,454</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152,356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151,092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4,854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155,929</w:t>
            </w:r>
          </w:p>
        </w:tc>
        <w:tc>
          <w:tcPr>
            <w:tcW w:w="0" w:type="dxa"/>
            <w:vAlign w:val="bottom"/>
          </w:tcPr>
          <w:p>
            <w:pPr>
              <w:spacing w:after="0"/>
              <w:rPr>
                <w:sz w:val="1"/>
                <w:szCs w:val="1"/>
                <w:color w:val="auto"/>
              </w:rPr>
            </w:pPr>
          </w:p>
        </w:tc>
      </w:tr>
      <w:tr>
        <w:trPr>
          <w:trHeight w:val="74"/>
        </w:trPr>
        <w:tc>
          <w:tcPr>
            <w:tcW w:w="25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180"/>
              <w:spacing w:after="0"/>
              <w:rPr>
                <w:sz w:val="20"/>
                <w:szCs w:val="20"/>
                <w:color w:val="auto"/>
              </w:rPr>
            </w:pPr>
            <w:r>
              <w:rPr>
                <w:rFonts w:ascii="Arial" w:cs="Arial" w:eastAsia="Arial" w:hAnsi="Arial"/>
                <w:sz w:val="14"/>
                <w:szCs w:val="14"/>
                <w:color w:val="auto"/>
              </w:rPr>
              <w:t>Automotive cost of sales</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128,331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128,321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138,094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138,082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GM Financial interest, operating and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expenses</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4,039</w:t>
            </w:r>
          </w:p>
        </w:tc>
        <w:tc>
          <w:tcPr>
            <w:tcW w:w="0" w:type="dxa"/>
            <w:vAlign w:val="bottom"/>
          </w:tcPr>
          <w:p>
            <w:pPr>
              <w:spacing w:after="0"/>
              <w:rPr>
                <w:sz w:val="1"/>
                <w:szCs w:val="1"/>
                <w:color w:val="auto"/>
              </w:rPr>
            </w:pPr>
          </w:p>
        </w:tc>
      </w:tr>
      <w:tr>
        <w:trPr>
          <w:trHeight w:val="157"/>
        </w:trPr>
        <w:tc>
          <w:tcPr>
            <w:tcW w:w="2520" w:type="dxa"/>
            <w:vAlign w:val="bottom"/>
          </w:tcPr>
          <w:p>
            <w:pPr>
              <w:ind w:left="180"/>
              <w:spacing w:after="0" w:line="157" w:lineRule="exact"/>
              <w:rPr>
                <w:sz w:val="20"/>
                <w:szCs w:val="20"/>
                <w:color w:val="auto"/>
              </w:rPr>
            </w:pPr>
            <w:r>
              <w:rPr>
                <w:rFonts w:ascii="Arial" w:cs="Arial" w:eastAsia="Arial" w:hAnsi="Arial"/>
                <w:sz w:val="14"/>
                <w:szCs w:val="14"/>
                <w:color w:val="auto"/>
              </w:rPr>
              <w:t>Automotive selling, general and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340"/>
              <w:spacing w:after="0"/>
              <w:rPr>
                <w:sz w:val="20"/>
                <w:szCs w:val="20"/>
                <w:color w:val="auto"/>
              </w:rPr>
            </w:pPr>
            <w:r>
              <w:rPr>
                <w:rFonts w:ascii="Arial" w:cs="Arial" w:eastAsia="Arial" w:hAnsi="Arial"/>
                <w:sz w:val="14"/>
                <w:szCs w:val="14"/>
                <w:color w:val="auto"/>
              </w:rPr>
              <w:t>administrative expense</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13,405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13,405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12,158</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 impairment charges</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18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141,736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5,733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147,459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150,372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4,039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154,399</w:t>
            </w:r>
          </w:p>
        </w:tc>
        <w:tc>
          <w:tcPr>
            <w:tcW w:w="0" w:type="dxa"/>
            <w:vAlign w:val="bottom"/>
          </w:tcPr>
          <w:p>
            <w:pPr>
              <w:spacing w:after="0"/>
              <w:rPr>
                <w:sz w:val="1"/>
                <w:szCs w:val="1"/>
                <w:color w:val="auto"/>
              </w:rPr>
            </w:pPr>
          </w:p>
        </w:tc>
      </w:tr>
      <w:tr>
        <w:trPr>
          <w:trHeight w:val="74"/>
        </w:trPr>
        <w:tc>
          <w:tcPr>
            <w:tcW w:w="25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Automotive interest expense</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Interest income and other non-operating</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net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Gain on extinguishment of debt</w:t>
            </w:r>
          </w:p>
        </w:tc>
        <w:tc>
          <w:tcPr>
            <w:tcW w:w="12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6,881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7,718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3,431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4,246</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8,857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9,615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4,018</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31"/>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w w:val="93"/>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8,929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9,687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3,454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4" w:name="page15"/>
    <w:bookmarkEnd w:id="14"/>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Years Ended</w:t>
            </w:r>
          </w:p>
        </w:tc>
      </w:tr>
      <w:tr>
        <w:trPr>
          <w:trHeight w:val="152"/>
        </w:trPr>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0"/>
              </w:rPr>
              <w:t>December 31,</w:t>
            </w:r>
          </w:p>
        </w:tc>
      </w:tr>
      <w:tr>
        <w:trPr>
          <w:trHeight w:val="192"/>
        </w:trPr>
        <w:tc>
          <w:tcPr>
            <w:tcW w:w="6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2,804</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1.75</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9,686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2,786</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580" w:right="27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and notes receivable,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receivables,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receivables,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Goodwill and intangible assets,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300" w:hanging="161"/>
        <w:spacing w:after="0" w:line="433" w:lineRule="auto"/>
        <w:rPr>
          <w:sz w:val="20"/>
          <w:szCs w:val="20"/>
          <w:color w:val="auto"/>
        </w:rPr>
      </w:pPr>
      <w:r>
        <w:rPr>
          <w:rFonts w:ascii="Arial" w:cs="Arial" w:eastAsia="Arial" w:hAnsi="Arial"/>
          <w:sz w:val="13"/>
          <w:szCs w:val="13"/>
          <w:color w:val="auto"/>
        </w:rPr>
        <w:t>Short-term debt and current portion of long-term debt Automotive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Noncontrolling interests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 and Equity</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jc w:val="center"/>
        <w:ind w:right="2400"/>
        <w:spacing w:after="0"/>
        <w:rPr>
          <w:sz w:val="20"/>
          <w:szCs w:val="20"/>
          <w:color w:val="auto"/>
        </w:rPr>
      </w:pPr>
      <w:r>
        <w:rPr>
          <w:rFonts w:ascii="Arial" w:cs="Arial" w:eastAsia="Arial" w:hAnsi="Arial"/>
          <w:sz w:val="18"/>
          <w:szCs w:val="18"/>
          <w:i w:val="1"/>
          <w:iCs w:val="1"/>
          <w:color w:val="auto"/>
        </w:rPr>
        <w:t>(In millions, except per share amounts)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ind w:left="520"/>
              <w:spacing w:after="0"/>
              <w:rPr>
                <w:sz w:val="20"/>
                <w:szCs w:val="20"/>
                <w:color w:val="auto"/>
              </w:rPr>
            </w:pPr>
            <w:r>
              <w:rPr>
                <w:rFonts w:ascii="Arial" w:cs="Arial" w:eastAsia="Arial" w:hAnsi="Arial"/>
                <w:sz w:val="11"/>
                <w:szCs w:val="11"/>
                <w:b w:val="1"/>
                <w:bCs w:val="1"/>
                <w:color w:val="auto"/>
              </w:rPr>
              <w:t>December 31, 2015</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ind w:left="460"/>
              <w:spacing w:after="0"/>
              <w:rPr>
                <w:sz w:val="20"/>
                <w:szCs w:val="20"/>
                <w:color w:val="auto"/>
              </w:rPr>
            </w:pPr>
            <w:r>
              <w:rPr>
                <w:rFonts w:ascii="Arial" w:cs="Arial" w:eastAsia="Arial" w:hAnsi="Arial"/>
                <w:sz w:val="11"/>
                <w:szCs w:val="11"/>
                <w:b w:val="1"/>
                <w:bCs w:val="1"/>
                <w:color w:val="auto"/>
              </w:rPr>
              <w:t>December 31, 2014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8"/>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12,177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3,061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15,238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15,980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2,974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18,954</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8,163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8,163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9,222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9,222</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1,338</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8,590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8,337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9,396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9,078</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18,281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18,051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16,705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16,528</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13,764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13,764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13,642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13,642</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3,564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3,564</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8,123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8,599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9,440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9,760</w:t>
            </w:r>
          </w:p>
        </w:tc>
      </w:tr>
      <w:tr>
        <w:trPr>
          <w:trHeight w:val="28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1,540</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54,932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24,239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78,007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62,787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22,122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83,626</w:t>
            </w:r>
          </w:p>
        </w:tc>
      </w:tr>
      <w:tr>
        <w:trPr>
          <w:trHeight w:val="54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935</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18,500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18,500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16,006</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8,215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9,201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8,350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8,350</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31,010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31,229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27,570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27,743</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4,558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5,947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4,945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6,410</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20,172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7,060</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28,694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28,443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25,439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25,414</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2,142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2,438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2,516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1,957</w:t>
            </w:r>
          </w:p>
        </w:tc>
      </w:tr>
      <w:tr>
        <w:trPr>
          <w:trHeight w:val="250"/>
        </w:trPr>
        <w:tc>
          <w:tcPr>
            <w:tcW w:w="12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74,671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41,842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116,513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68,887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93,875</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129,603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66,081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194,520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131,674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47,745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177,501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24,093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(771)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24,062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22,463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22,529</w:t>
            </w:r>
          </w:p>
        </w:tc>
      </w:tr>
      <w:tr>
        <w:trPr>
          <w:trHeight w:val="54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1,209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497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18,745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18,745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14,447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14,447</w:t>
            </w:r>
          </w:p>
        </w:tc>
      </w:tr>
      <w:tr>
        <w:trPr>
          <w:trHeight w:val="28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26,281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27,842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27,444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28,184</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51,583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21,046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(1,163)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71,466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51,035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15,904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65,657</w:t>
            </w:r>
          </w:p>
        </w:tc>
      </w:tr>
      <w:tr>
        <w:trPr>
          <w:trHeight w:val="81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7,948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7,948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8,853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8,853</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35,601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35,601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22,868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22,868</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5,685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6,229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6,229</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20,804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20,911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23,676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23,788</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11,571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12,586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13,396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14,082</w:t>
            </w:r>
          </w:p>
        </w:tc>
      </w:tr>
      <w:tr>
        <w:trPr>
          <w:trHeight w:val="250"/>
        </w:trPr>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46,008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36,724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82,731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52,154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24,302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75,820</w:t>
            </w:r>
          </w:p>
        </w:tc>
      </w:tr>
      <w:tr>
        <w:trPr>
          <w:trHeight w:val="241"/>
        </w:trPr>
        <w:tc>
          <w:tcPr>
            <w:tcW w:w="120" w:type="dxa"/>
            <w:vAlign w:val="bottom"/>
          </w:tcPr>
          <w:p>
            <w:pPr>
              <w:spacing w:after="0"/>
              <w:rPr>
                <w:sz w:val="20"/>
                <w:szCs w:val="20"/>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97,591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57,770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154,197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103,189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40,206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141,477</w:t>
            </w:r>
          </w:p>
        </w:tc>
      </w:tr>
      <w:tr>
        <w:trPr>
          <w:trHeight w:val="81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27,606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27,607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28,937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28,937</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10,870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20,285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14,577</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(6,931)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(8,036)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(8,073)</w:t>
            </w:r>
          </w:p>
        </w:tc>
      </w:tr>
      <w:tr>
        <w:trPr>
          <w:trHeight w:val="241"/>
        </w:trPr>
        <w:tc>
          <w:tcPr>
            <w:tcW w:w="120" w:type="dxa"/>
            <w:vAlign w:val="bottom"/>
          </w:tcPr>
          <w:p>
            <w:pPr>
              <w:spacing w:after="0"/>
              <w:rPr>
                <w:sz w:val="20"/>
                <w:szCs w:val="20"/>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31,560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39,871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27,918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35,457</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567</w:t>
            </w:r>
          </w:p>
        </w:tc>
      </w:tr>
      <w:tr>
        <w:trPr>
          <w:trHeight w:val="250"/>
        </w:trPr>
        <w:tc>
          <w:tcPr>
            <w:tcW w:w="12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32,012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40,323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28,485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36,024</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129,603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66,081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194,520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131,674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47,745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177,501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-8618220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-8266430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-7923530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-7580630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-7237095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-6894195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-6551295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-6208395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-5865495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-5521960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-5179060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-4836160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-4476115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-4133215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-3789680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2840" w:space="660"/>
            <w:col w:w="7880"/>
          </w:cols>
          <w:pgMar w:left="280" w:top="580" w:right="239" w:bottom="765"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800" w:right="1440" w:bottom="1440" w:gutter="0" w:footer="0" w:header="0"/>
        </w:sectPr>
      </w:pPr>
    </w:p>
    <w:bookmarkStart w:id="17" w:name="page18"/>
    <w:bookmarkEnd w:id="17"/>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(In millions)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ind w:left="220"/>
              <w:spacing w:after="0"/>
              <w:rPr>
                <w:sz w:val="20"/>
                <w:szCs w:val="20"/>
                <w:color w:val="auto"/>
              </w:rPr>
            </w:pPr>
            <w:r>
              <w:rPr>
                <w:rFonts w:ascii="Arial" w:cs="Arial" w:eastAsia="Arial" w:hAnsi="Arial"/>
                <w:sz w:val="11"/>
                <w:szCs w:val="11"/>
                <w:b w:val="1"/>
                <w:bCs w:val="1"/>
                <w:color w:val="auto"/>
              </w:rPr>
              <w:t>Year Ended December 31, 2015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ind w:left="240"/>
              <w:spacing w:after="0"/>
              <w:rPr>
                <w:sz w:val="20"/>
                <w:szCs w:val="20"/>
                <w:color w:val="auto"/>
              </w:rPr>
            </w:pPr>
            <w:r>
              <w:rPr>
                <w:rFonts w:ascii="Arial" w:cs="Arial" w:eastAsia="Arial" w:hAnsi="Arial"/>
                <w:sz w:val="11"/>
                <w:szCs w:val="11"/>
                <w:b w:val="1"/>
                <w:bCs w:val="1"/>
                <w:color w:val="auto"/>
              </w:rPr>
              <w:t>Year Ended December 31, 2014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Reclassification (a)</w:t>
            </w:r>
          </w:p>
        </w:tc>
        <w:tc>
          <w:tcPr>
            <w:tcW w:w="10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Financial</w:t>
            </w:r>
          </w:p>
        </w:tc>
        <w:tc>
          <w:tcPr>
            <w:tcW w:w="140" w:type="dxa"/>
            <w:vAlign w:val="bottom"/>
          </w:tcPr>
          <w:p>
            <w:pPr>
              <w:spacing w:after="0"/>
              <w:rPr>
                <w:sz w:val="12"/>
                <w:szCs w:val="12"/>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Reclassification (a)</w:t>
            </w:r>
          </w:p>
        </w:tc>
        <w:tc>
          <w:tcPr>
            <w:tcW w:w="100" w:type="dxa"/>
            <w:vAlign w:val="bottom"/>
          </w:tcPr>
          <w:p>
            <w:pPr>
              <w:spacing w:after="0"/>
              <w:rPr>
                <w:sz w:val="12"/>
                <w:szCs w:val="12"/>
                <w:color w:val="auto"/>
              </w:rPr>
            </w:pPr>
          </w:p>
        </w:tc>
        <w:tc>
          <w:tcPr>
            <w:tcW w:w="780" w:type="dxa"/>
            <w:vAlign w:val="bottom"/>
          </w:tcPr>
          <w:p>
            <w:pPr>
              <w:jc w:val="right"/>
              <w:ind w:right="77"/>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8,857</w:t>
            </w:r>
          </w:p>
        </w:tc>
        <w:tc>
          <w:tcPr>
            <w:tcW w:w="12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9,615</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3,523</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amortization and impairment charges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2,297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8,017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6,320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7,238</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w w:val="94"/>
              </w:rPr>
              <w:t>Foreign currency remeasurement and transaction losses</w:t>
            </w:r>
          </w:p>
        </w:tc>
        <w:tc>
          <w:tcPr>
            <w:tcW w:w="12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813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Amortization of discount and issuance costs on debt issues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80"/>
              <w:spacing w:after="0" w:line="148" w:lineRule="exact"/>
              <w:rPr>
                <w:sz w:val="20"/>
                <w:szCs w:val="20"/>
                <w:color w:val="auto"/>
              </w:rPr>
            </w:pPr>
            <w:r>
              <w:rPr>
                <w:rFonts w:ascii="Arial" w:cs="Arial" w:eastAsia="Arial" w:hAnsi="Arial"/>
                <w:sz w:val="13"/>
                <w:szCs w:val="13"/>
                <w:color w:val="auto"/>
                <w:w w:val="95"/>
              </w:rPr>
              <w:t>Undistributed earnings of nonconsolidated affiliates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340"/>
              <w:spacing w:after="0"/>
              <w:rPr>
                <w:sz w:val="20"/>
                <w:szCs w:val="20"/>
                <w:color w:val="auto"/>
              </w:rPr>
            </w:pPr>
            <w:r>
              <w:rPr>
                <w:rFonts w:ascii="Arial" w:cs="Arial" w:eastAsia="Arial" w:hAnsi="Arial"/>
                <w:sz w:val="13"/>
                <w:szCs w:val="13"/>
                <w:color w:val="auto"/>
              </w:rPr>
              <w:t>gains on investments</w:t>
            </w: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Pension contributions and OPEB payments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(1,597)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(1,600)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(1,310)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Pension and OPEB expense, net</w:t>
            </w:r>
          </w:p>
        </w:tc>
        <w:tc>
          <w:tcPr>
            <w:tcW w:w="12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Gains on extinguishment of debt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Benefit for deferred taxes</w:t>
            </w:r>
          </w:p>
        </w:tc>
        <w:tc>
          <w:tcPr>
            <w:tcW w:w="12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(2,763)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(2,757)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other operating assets and liabilities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(1,754)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1,943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Other operating activities</w:t>
            </w:r>
          </w:p>
        </w:tc>
        <w:tc>
          <w:tcPr>
            <w:tcW w:w="12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91"/>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operating activities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9,995</w:t>
            </w: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3,107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(1,124)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11,978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10,132</w:t>
            </w: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1,926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10,058</w:t>
            </w:r>
          </w:p>
        </w:tc>
        <w:tc>
          <w:tcPr>
            <w:tcW w:w="0" w:type="dxa"/>
            <w:vAlign w:val="bottom"/>
          </w:tcPr>
          <w:p>
            <w:pPr>
              <w:spacing w:after="0"/>
              <w:rPr>
                <w:sz w:val="1"/>
                <w:szCs w:val="1"/>
                <w:color w:val="auto"/>
              </w:rPr>
            </w:pPr>
          </w:p>
        </w:tc>
      </w:tr>
      <w:tr>
        <w:trPr>
          <w:trHeight w:val="111"/>
        </w:trPr>
        <w:tc>
          <w:tcPr>
            <w:tcW w:w="3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(7,784)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(7,874)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(7,039)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(7,091)</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Available-for-sale marketable securities, acquisitions</w:t>
            </w:r>
          </w:p>
        </w:tc>
        <w:tc>
          <w:tcPr>
            <w:tcW w:w="12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(8,113)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(8,113)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(7,636)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(7,636)</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Trading marketable securities, acquisitions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(1,518)</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Available-for-sale marketable securities, liquidations</w:t>
            </w:r>
          </w:p>
        </w:tc>
        <w:tc>
          <w:tcPr>
            <w:tcW w:w="12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8,463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8,463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6,874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6,874</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Trading marketable securities, liquidations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1,881</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w w:val="89"/>
              </w:rPr>
              <w:t>Acquisition of companies/investments, net of cash acquired</w:t>
            </w:r>
          </w:p>
        </w:tc>
        <w:tc>
          <w:tcPr>
            <w:tcW w:w="12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(924)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(928)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Increase in restricted cash and marketable securities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(839)</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w w:val="98"/>
              </w:rPr>
              <w:t>Decrease in restricted cash and marketable securities</w:t>
            </w:r>
          </w:p>
        </w:tc>
        <w:tc>
          <w:tcPr>
            <w:tcW w:w="120" w:type="dxa"/>
            <w:vAlign w:val="bottom"/>
          </w:tcPr>
          <w:p>
            <w:pPr>
              <w:spacing w:after="0"/>
              <w:rPr>
                <w:sz w:val="15"/>
                <w:szCs w:val="15"/>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finance receivables</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4"/>
              </w:rPr>
              <w:t>(18,619)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(17,495)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(16,744)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(14,744)</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w w:val="91"/>
              </w:rPr>
              <w:t>Principal collections and recoveries on finance receivables</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11,726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11,726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10,860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10,860</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leased vehicles, net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4"/>
              </w:rPr>
              <w:t>(15,158)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(15,158)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(4,776)</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180"/>
              <w:spacing w:after="0"/>
              <w:rPr>
                <w:sz w:val="20"/>
                <w:szCs w:val="20"/>
                <w:color w:val="auto"/>
              </w:rPr>
            </w:pPr>
            <w:r>
              <w:rPr>
                <w:rFonts w:ascii="Arial" w:cs="Arial" w:eastAsia="Arial" w:hAnsi="Arial"/>
                <w:sz w:val="13"/>
                <w:szCs w:val="13"/>
                <w:color w:val="auto"/>
              </w:rPr>
              <w:t>Proceeds from termination of leased vehicles</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1,096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1,096</w:t>
            </w:r>
          </w:p>
        </w:tc>
        <w:tc>
          <w:tcPr>
            <w:tcW w:w="0" w:type="dxa"/>
            <w:vAlign w:val="bottom"/>
          </w:tcPr>
          <w:p>
            <w:pPr>
              <w:spacing w:after="0"/>
              <w:rPr>
                <w:sz w:val="1"/>
                <w:szCs w:val="1"/>
                <w:color w:val="auto"/>
              </w:rPr>
            </w:pPr>
          </w:p>
        </w:tc>
      </w:tr>
      <w:tr>
        <w:trPr>
          <w:trHeight w:val="89"/>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investing activities</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97"/>
        </w:trPr>
        <w:tc>
          <w:tcPr>
            <w:tcW w:w="3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60" w:type="dxa"/>
            <w:vAlign w:val="bottom"/>
          </w:tcPr>
          <w:p>
            <w:pPr>
              <w:ind w:left="40"/>
              <w:spacing w:after="0"/>
              <w:rPr>
                <w:sz w:val="20"/>
                <w:szCs w:val="20"/>
                <w:color w:val="auto"/>
              </w:rPr>
            </w:pPr>
            <w:r>
              <w:rPr>
                <w:rFonts w:ascii="Arial" w:cs="Arial" w:eastAsia="Arial" w:hAnsi="Arial"/>
                <w:sz w:val="13"/>
                <w:szCs w:val="13"/>
                <w:b w:val="1"/>
                <w:bCs w:val="1"/>
                <w:color w:val="auto"/>
              </w:rPr>
              <w:t>Net cash used in investing activities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(6,956)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94"/>
              </w:rPr>
              <w:t>(22,203)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1,124</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(28,035)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(7,239)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9"/>
              </w:rPr>
              <w:t>(10,459)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(15,698)</w:t>
            </w:r>
          </w:p>
        </w:tc>
        <w:tc>
          <w:tcPr>
            <w:tcW w:w="0" w:type="dxa"/>
            <w:vAlign w:val="bottom"/>
          </w:tcPr>
          <w:p>
            <w:pPr>
              <w:spacing w:after="0"/>
              <w:rPr>
                <w:sz w:val="1"/>
                <w:szCs w:val="1"/>
                <w:color w:val="auto"/>
              </w:rPr>
            </w:pPr>
          </w:p>
        </w:tc>
      </w:tr>
      <w:tr>
        <w:trPr>
          <w:trHeight w:val="81"/>
        </w:trPr>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266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ectPr>
          <w:pgSz w:w="11900" w:h="16838" w:orient="portrait"/>
          <w:cols w:equalWidth="0" w:num="1">
            <w:col w:w="11240"/>
          </w:cols>
          <w:pgMar w:left="240" w:top="580" w:right="419" w:bottom="1440" w:gutter="0" w:footer="0" w:header="0"/>
        </w:sectPr>
      </w:pP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40" w:hanging="161"/>
        <w:spacing w:after="0" w:line="237" w:lineRule="auto"/>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29" w:lineRule="exact"/>
        <w:rPr>
          <w:sz w:val="20"/>
          <w:szCs w:val="20"/>
          <w:color w:val="auto"/>
        </w:rPr>
      </w:pPr>
    </w:p>
    <w:p>
      <w:pPr>
        <w:ind w:left="340" w:right="140" w:hanging="161"/>
        <w:spacing w:after="0" w:line="237"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purchase stock</w:t>
      </w:r>
    </w:p>
    <w:p>
      <w:pPr>
        <w:spacing w:after="0" w:line="121" w:lineRule="exact"/>
        <w:rPr>
          <w:sz w:val="20"/>
          <w:szCs w:val="20"/>
          <w:color w:val="auto"/>
        </w:rPr>
      </w:pPr>
    </w:p>
    <w:p>
      <w:pPr>
        <w:ind w:left="340" w:right="20" w:hanging="161"/>
        <w:spacing w:after="0" w:line="237" w:lineRule="auto"/>
        <w:rPr>
          <w:sz w:val="20"/>
          <w:szCs w:val="20"/>
          <w:color w:val="auto"/>
        </w:rPr>
      </w:pPr>
      <w:r>
        <w:rPr>
          <w:rFonts w:ascii="Arial" w:cs="Arial" w:eastAsia="Arial" w:hAnsi="Arial"/>
          <w:sz w:val="13"/>
          <w:szCs w:val="13"/>
          <w:color w:val="auto"/>
        </w:rPr>
        <w:t>Dividends paid (including charge related to redemption of Series A Preferred Stock)</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Net cash provided by (used in) financing activities</w:t>
      </w:r>
    </w:p>
    <w:p>
      <w:pPr>
        <w:spacing w:after="0" w:line="55" w:lineRule="exact"/>
        <w:rPr>
          <w:sz w:val="20"/>
          <w:szCs w:val="20"/>
          <w:color w:val="auto"/>
        </w:rPr>
      </w:pPr>
    </w:p>
    <w:p>
      <w:pPr>
        <w:ind w:left="340" w:right="460" w:hanging="161"/>
        <w:spacing w:after="0" w:line="237" w:lineRule="auto"/>
        <w:rPr>
          <w:sz w:val="20"/>
          <w:szCs w:val="20"/>
          <w:color w:val="auto"/>
        </w:rPr>
      </w:pPr>
      <w:r>
        <w:rPr>
          <w:rFonts w:ascii="Arial" w:cs="Arial" w:eastAsia="Arial" w:hAnsi="Arial"/>
          <w:sz w:val="13"/>
          <w:szCs w:val="13"/>
          <w:color w:val="auto"/>
        </w:rPr>
        <w:t>Effect of exchange rate changes on cash and cash equivalents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increase (decrease) in cash and cash equivalents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beginning of period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1,147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1,128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391</w:t>
            </w:r>
          </w:p>
        </w:tc>
      </w:tr>
      <w:tr>
        <w:trPr>
          <w:trHeight w:val="324"/>
        </w:trPr>
        <w:tc>
          <w:tcPr>
            <w:tcW w:w="220" w:type="dxa"/>
            <w:vAlign w:val="bottom"/>
          </w:tcPr>
          <w:p>
            <w:pPr>
              <w:spacing w:after="0"/>
              <w:rPr>
                <w:sz w:val="24"/>
                <w:szCs w:val="2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35,362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35,679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3,119</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28,254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31,373</w:t>
            </w:r>
          </w:p>
        </w:tc>
      </w:tr>
      <w:tr>
        <w:trPr>
          <w:trHeight w:val="324"/>
        </w:trPr>
        <w:tc>
          <w:tcPr>
            <w:tcW w:w="22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(16,887)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(17,256)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(18,779)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(19,524)</w:t>
            </w:r>
          </w:p>
        </w:tc>
      </w:tr>
      <w:tr>
        <w:trPr>
          <w:trHeight w:val="270"/>
        </w:trPr>
        <w:tc>
          <w:tcPr>
            <w:tcW w:w="22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(3,520)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(3,277)</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3"/>
                <w:szCs w:val="23"/>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(3,277)</w:t>
            </w:r>
          </w:p>
        </w:tc>
      </w:tr>
      <w:tr>
        <w:trPr>
          <w:trHeight w:val="324"/>
        </w:trPr>
        <w:tc>
          <w:tcPr>
            <w:tcW w:w="22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(2,242)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(3,165)</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(3,165)</w:t>
            </w:r>
          </w:p>
        </w:tc>
      </w:tr>
      <w:tr>
        <w:trPr>
          <w:trHeight w:val="280"/>
        </w:trPr>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(123)</w:t>
            </w:r>
          </w:p>
        </w:tc>
      </w:tr>
      <w:tr>
        <w:trPr>
          <w:trHeight w:val="241"/>
        </w:trPr>
        <w:tc>
          <w:tcPr>
            <w:tcW w:w="22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(5,782)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19,468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13,686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(4,143)</w:t>
            </w:r>
          </w:p>
        </w:tc>
        <w:tc>
          <w:tcPr>
            <w:tcW w:w="10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5,675</w:t>
            </w:r>
          </w:p>
        </w:tc>
      </w:tr>
      <w:tr>
        <w:trPr>
          <w:trHeight w:val="324"/>
        </w:trPr>
        <w:tc>
          <w:tcPr>
            <w:tcW w:w="22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(1,173)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(1,022)</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(1,102)</w:t>
            </w:r>
          </w:p>
        </w:tc>
      </w:tr>
      <w:tr>
        <w:trPr>
          <w:trHeight w:val="280"/>
        </w:trPr>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r>
      <w:tr>
        <w:trPr>
          <w:trHeight w:val="241"/>
        </w:trPr>
        <w:tc>
          <w:tcPr>
            <w:tcW w:w="22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(3,716)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(1,067)</w:t>
            </w:r>
          </w:p>
        </w:tc>
      </w:tr>
      <w:tr>
        <w:trPr>
          <w:trHeight w:val="280"/>
        </w:trPr>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15,980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2,974</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18,954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18,947</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1,074</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20,021</w:t>
            </w:r>
          </w:p>
        </w:tc>
      </w:tr>
      <w:tr>
        <w:trPr>
          <w:trHeight w:val="227"/>
        </w:trPr>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12,177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3,061</w:t>
            </w:r>
          </w:p>
        </w:tc>
        <w:tc>
          <w:tcPr>
            <w:tcW w:w="120" w:type="dxa"/>
            <w:vAlign w:val="bottom"/>
          </w:tcPr>
          <w:p>
            <w:pPr>
              <w:spacing w:after="0"/>
              <w:rPr>
                <w:sz w:val="19"/>
                <w:szCs w:val="19"/>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15,238</w:t>
            </w:r>
          </w:p>
        </w:tc>
        <w:tc>
          <w:tcPr>
            <w:tcW w:w="10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15,980</w:t>
            </w:r>
          </w:p>
        </w:tc>
        <w:tc>
          <w:tcPr>
            <w:tcW w:w="100" w:type="dxa"/>
            <w:vAlign w:val="bottom"/>
          </w:tcPr>
          <w:p>
            <w:pPr>
              <w:spacing w:after="0"/>
              <w:rPr>
                <w:sz w:val="19"/>
                <w:szCs w:val="19"/>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   2,974</w:t>
            </w:r>
          </w:p>
        </w:tc>
        <w:tc>
          <w:tcPr>
            <w:tcW w:w="100" w:type="dxa"/>
            <w:vAlign w:val="bottom"/>
          </w:tcPr>
          <w:p>
            <w:pPr>
              <w:spacing w:after="0"/>
              <w:rPr>
                <w:sz w:val="19"/>
                <w:szCs w:val="19"/>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-2004695</wp:posOffset>
            </wp:positionV>
            <wp:extent cx="712660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-1592580</wp:posOffset>
            </wp:positionV>
            <wp:extent cx="712660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-1215390</wp:posOffset>
            </wp:positionV>
            <wp:extent cx="712660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-872490</wp:posOffset>
            </wp:positionV>
            <wp:extent cx="712660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-495300</wp:posOffset>
            </wp:positionV>
            <wp:extent cx="71266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-152400</wp:posOffset>
            </wp:positionV>
            <wp:extent cx="71266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3120" w:space="140"/>
            <w:col w:w="7980"/>
          </w:cols>
          <w:pgMar w:left="240" w:top="580" w:right="419" w:bottom="1440" w:gutter="0" w:footer="0" w:header="0"/>
          <w:type w:val="continuous"/>
        </w:sectPr>
      </w:pPr>
    </w:p>
    <w:p>
      <w:pPr>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-130175</wp:posOffset>
            </wp:positionV>
            <wp:extent cx="50596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Reclassification of purchases/collections of wholesale finance receivables resulting from vehicles sold by GM to dealers that have arranged their inventory floor plan financing through GM Financial.</w:t>
      </w:r>
    </w:p>
    <w:p>
      <w:pPr>
        <w:sectPr>
          <w:pgSz w:w="11900" w:h="16838" w:orient="portrait"/>
          <w:cols w:equalWidth="0" w:num="1">
            <w:col w:w="11240"/>
          </w:cols>
          <w:pgMar w:left="240" w:top="580" w:right="419" w:bottom="1440" w:gutter="0" w:footer="0" w:header="0"/>
          <w:type w:val="continuous"/>
        </w:sect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240" w:top="58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2019-12-08T19:44:37Z</dcterms:created>
  <dcterms:modified xsi:type="dcterms:W3CDTF">2019-12-08T19:44:37Z</dcterms:modified>
</cp:coreProperties>
</file>