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DeLuca James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right"/>
              <w:ind w:right="7"/>
              <w:spacing w:after="0"/>
              <w:rPr>
                <w:sz w:val="20"/>
                <w:szCs w:val="20"/>
                <w:color w:val="auto"/>
              </w:rPr>
            </w:pPr>
            <w:r>
              <w:rPr>
                <w:rFonts w:ascii="Arial" w:cs="Arial" w:eastAsia="Arial" w:hAnsi="Arial"/>
                <w:sz w:val="18"/>
                <w:szCs w:val="18"/>
                <w:color w:val="0000FF"/>
              </w:rPr>
              <w:t>357</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10,510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right"/>
              <w:ind w:right="7"/>
              <w:spacing w:after="0"/>
              <w:rPr>
                <w:sz w:val="20"/>
                <w:szCs w:val="20"/>
                <w:color w:val="auto"/>
              </w:rPr>
            </w:pPr>
            <w:r>
              <w:rPr>
                <w:rFonts w:ascii="Arial" w:cs="Arial" w:eastAsia="Arial" w:hAnsi="Arial"/>
                <w:sz w:val="18"/>
                <w:szCs w:val="18"/>
                <w:color w:val="0000FF"/>
              </w:rPr>
              <w:t>187</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10,323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7"/>
              <w:spacing w:after="0"/>
              <w:rPr>
                <w:sz w:val="20"/>
                <w:szCs w:val="20"/>
                <w:color w:val="auto"/>
              </w:rPr>
            </w:pPr>
            <w:r>
              <w:rPr>
                <w:rFonts w:ascii="Arial" w:cs="Arial" w:eastAsia="Arial" w:hAnsi="Arial"/>
                <w:sz w:val="18"/>
                <w:szCs w:val="18"/>
                <w:color w:val="0000FF"/>
              </w:rPr>
              <w:t>170</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10,153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211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10,364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110</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10,254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7"/>
              <w:spacing w:after="0"/>
              <w:rPr>
                <w:sz w:val="20"/>
                <w:szCs w:val="20"/>
                <w:color w:val="auto"/>
              </w:rPr>
            </w:pPr>
            <w:r>
              <w:rPr>
                <w:rFonts w:ascii="Arial" w:cs="Arial" w:eastAsia="Arial" w:hAnsi="Arial"/>
                <w:sz w:val="18"/>
                <w:szCs w:val="18"/>
                <w:color w:val="0000FF"/>
              </w:rPr>
              <w:t>101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10,153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7"/>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47"/>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357</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right"/>
              <w:ind w:right="12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357</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ind w:right="227"/>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211</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211</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ind w:right="227"/>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210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2012 pursuant to the Company's Salary Stock Plan (the "GMSSP"). The portion of this award currently payable was settled on June 30, 2015 in cash, less a portion withheld for taxes.</w:t>
      </w:r>
    </w:p>
    <w:p>
      <w:pPr>
        <w:spacing w:after="0" w:line="30"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$33.32.</w:t>
      </w:r>
    </w:p>
    <w:p>
      <w:pPr>
        <w:spacing w:after="0" w:line="8"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2013 pursuant to the GMSSP. The portion of this award currently payable was settled on June 30,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07/02/2015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DeLuca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2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24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2019-12-08T22:10:19Z</dcterms:created>
  <dcterms:modified xsi:type="dcterms:W3CDTF">2019-12-08T22:10:19Z</dcterms:modified>
</cp:coreProperties>
</file>