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Date of Report (Date of earliest event reported) October 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27-03832222</w:t>
      </w:r>
    </w:p>
    <w:p>
      <w:pPr>
        <w:spacing w:after="0" w:line="55" w:lineRule="exact"/>
        <w:rPr>
          <w:sz w:val="24"/>
          <w:szCs w:val="24"/>
          <w:color w:val="auto"/>
        </w:rPr>
      </w:pPr>
    </w:p>
    <w:p>
      <w:pPr>
        <w:sectPr>
          <w:pgSz w:w="11900" w:h="16838" w:orient="portrait"/>
          <w:cols w:equalWidth="0" w:num="3">
            <w:col w:w="4620" w:space="720"/>
            <w:col w:w="3060" w:space="720"/>
            <w:col w:w="1880"/>
          </w:cols>
          <w:pgMar w:left="240" w:top="230" w:right="65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40" w:space="720"/>
            <w:col w:w="1940"/>
          </w:cols>
          <w:pgMar w:left="240" w:top="230"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480" w:space="720"/>
            <w:col w:w="2800"/>
          </w:cols>
          <w:pgMar w:left="240" w:top="230"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00" w:space="720"/>
            <w:col w:w="2680"/>
          </w:cols>
          <w:pgMar w:left="240" w:top="230"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tabs>
          <w:tab w:leader="none" w:pos="1020" w:val="left"/>
        </w:tabs>
        <w:rPr>
          <w:rFonts w:ascii="Arial" w:cs="Arial" w:eastAsia="Arial" w:hAnsi="Arial"/>
          <w:sz w:val="16"/>
          <w:szCs w:val="16"/>
          <w:b w:val="1"/>
          <w:bCs w:val="1"/>
          <w:u w:val="single" w:color="auto"/>
          <w:color w:val="0000EE"/>
        </w:rPr>
      </w:pPr>
      <w:hyperlink w:anchor="page3">
        <w:r>
          <w:rPr>
            <w:rFonts w:ascii="Arial" w:cs="Arial" w:eastAsia="Arial" w:hAnsi="Arial"/>
            <w:sz w:val="18"/>
            <w:szCs w:val="18"/>
            <w:b w:val="1"/>
            <w:bCs w:val="1"/>
            <w:u w:val="single" w:color="auto"/>
            <w:color w:val="0000EE"/>
          </w:rPr>
          <w:t>ITEM 8.01</w:t>
        </w:r>
      </w:hyperlink>
      <w:r>
        <w:rPr>
          <w:rFonts w:ascii="Arial" w:cs="Arial" w:eastAsia="Arial" w:hAnsi="Arial"/>
          <w:sz w:val="18"/>
          <w:szCs w:val="18"/>
          <w:b w:val="1"/>
          <w:bCs w:val="1"/>
          <w:u w:val="single" w:color="auto"/>
          <w:color w:val="0000EE"/>
        </w:rPr>
        <w:tab/>
      </w:r>
      <w:hyperlink w:anchor="page3">
        <w:r>
          <w:rPr>
            <w:rFonts w:ascii="Arial" w:cs="Arial" w:eastAsia="Arial" w:hAnsi="Arial"/>
            <w:sz w:val="16"/>
            <w:szCs w:val="16"/>
            <w:b w:val="1"/>
            <w:bCs w:val="1"/>
            <w:u w:val="single" w:color="auto"/>
            <w:color w:val="0000EE"/>
          </w:rPr>
          <w:t>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4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Sales Release and Charts Dated October 1, 2009</w:t>
        </w:r>
      </w:hyperlink>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On October 1, 2009 General Motors Company (GM) issued a news release announcing September sales. The release and charts are attached as Exhibit 99.1.</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8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3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Method of Filing</w:t>
            </w:r>
          </w:p>
        </w:tc>
        <w:tc>
          <w:tcPr>
            <w:tcW w:w="80" w:type="dxa"/>
            <w:vAlign w:val="bottom"/>
          </w:tcPr>
          <w:p>
            <w:pPr>
              <w:spacing w:after="0"/>
              <w:rPr>
                <w:sz w:val="24"/>
                <w:szCs w:val="24"/>
                <w:color w:val="auto"/>
              </w:rPr>
            </w:pPr>
          </w:p>
        </w:tc>
      </w:tr>
      <w:tr>
        <w:trPr>
          <w:trHeight w:val="316"/>
        </w:trPr>
        <w:tc>
          <w:tcPr>
            <w:tcW w:w="100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Sales Release and Charts Dated October 1, 2009</w:t>
            </w:r>
          </w:p>
        </w:tc>
        <w:tc>
          <w:tcPr>
            <w:tcW w:w="740" w:type="dxa"/>
            <w:vAlign w:val="bottom"/>
          </w:tcPr>
          <w:p>
            <w:pPr>
              <w:spacing w:after="0"/>
              <w:rPr>
                <w:sz w:val="24"/>
                <w:szCs w:val="24"/>
                <w:color w:val="auto"/>
              </w:rPr>
            </w:pPr>
          </w:p>
        </w:tc>
        <w:tc>
          <w:tcPr>
            <w:tcW w:w="5100" w:type="dxa"/>
            <w:vAlign w:val="bottom"/>
            <w:gridSpan w:val="3"/>
          </w:tcPr>
          <w:p>
            <w:pPr>
              <w:ind w:left="3720"/>
              <w:spacing w:after="0"/>
              <w:rPr>
                <w:sz w:val="20"/>
                <w:szCs w:val="20"/>
                <w:color w:val="auto"/>
              </w:rPr>
            </w:pPr>
            <w:r>
              <w:rPr>
                <w:rFonts w:ascii="Arial" w:cs="Arial" w:eastAsia="Arial" w:hAnsi="Arial"/>
                <w:sz w:val="18"/>
                <w:szCs w:val="18"/>
                <w:color w:val="auto"/>
                <w:w w:val="88"/>
              </w:rPr>
              <w:t>Attached as Exhibit</w:t>
            </w: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(Company)</w:t>
      </w:r>
    </w:p>
    <w:p>
      <w:pPr>
        <w:spacing w:after="0" w:line="368"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October 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29"/>
          <w:szCs w:val="29"/>
          <w:color w:val="auto"/>
          <w:vertAlign w:val="superscript"/>
        </w:rPr>
        <w:t>S</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N</w:t>
      </w:r>
      <w:r>
        <w:rPr>
          <w:rFonts w:ascii="Arial" w:cs="Arial" w:eastAsia="Arial" w:hAnsi="Arial"/>
          <w:sz w:val="22"/>
          <w:szCs w:val="22"/>
          <w:color w:val="auto"/>
          <w:vertAlign w:val="superscript"/>
        </w:rPr>
        <w:t>ICK</w:t>
      </w:r>
      <w:r>
        <w:rPr>
          <w:rFonts w:ascii="Arial" w:cs="Arial" w:eastAsia="Arial" w:hAnsi="Arial"/>
          <w:sz w:val="14"/>
          <w:szCs w:val="14"/>
          <w:color w:val="auto"/>
        </w:rPr>
        <w:t xml:space="preserve"> S. C</w:t>
      </w:r>
      <w:r>
        <w:rPr>
          <w:rFonts w:ascii="Arial" w:cs="Arial" w:eastAsia="Arial" w:hAnsi="Arial"/>
          <w:sz w:val="22"/>
          <w:szCs w:val="22"/>
          <w:color w:val="auto"/>
          <w:vertAlign w:val="superscript"/>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6300"/>
        <w:spacing w:after="0" w:line="221" w:lineRule="auto"/>
        <w:rPr>
          <w:sz w:val="20"/>
          <w:szCs w:val="20"/>
          <w:color w:val="auto"/>
        </w:rPr>
      </w:pPr>
      <w:r>
        <w:rPr>
          <w:rFonts w:ascii="Arial" w:cs="Arial" w:eastAsia="Arial" w:hAnsi="Arial"/>
          <w:sz w:val="14"/>
          <w:szCs w:val="14"/>
          <w:b w:val="1"/>
          <w:bCs w:val="1"/>
          <w:color w:val="auto"/>
        </w:rPr>
        <w:t>Nick S. Cyprus</w:t>
      </w:r>
    </w:p>
    <w:p>
      <w:pPr>
        <w:jc w:val="center"/>
        <w:ind w:left="630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0960"/>
          </w:cols>
          <w:pgMar w:left="240" w:top="459" w:right="6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186690</wp:posOffset>
            </wp:positionV>
            <wp:extent cx="2933065" cy="805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3306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Release: 1:45 p.m. 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September Sales Total 156,673</w:t>
      </w:r>
    </w:p>
    <w:p>
      <w:pPr>
        <w:spacing w:after="0" w:line="21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Cash for Clunkers conclusion, weak consumer confidence and extremely low inventory levels adversely affected the industry and GM sales results</w:t>
      </w:r>
    </w:p>
    <w:p>
      <w:pPr>
        <w:spacing w:after="0" w:line="113"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GM market share was down year-over-year compared with a strong, incentive-driven September 2008; however, the anticipated 21 percent share this month would be the highest so far in 2009</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Sales of the red-hot, all-new Chevrolet Equinox up 94 percent compared with September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Led by a sales increase of 105 percent compared with a month ago, sales of the new Cadillac SRX pushed total Cadillac sales up 64 percent</w:t>
      </w:r>
    </w:p>
    <w:p>
      <w:pPr>
        <w:spacing w:after="0" w:line="113" w:lineRule="exact"/>
        <w:rPr>
          <w:rFonts w:ascii="Arial" w:cs="Arial" w:eastAsia="Arial" w:hAnsi="Arial"/>
          <w:sz w:val="16"/>
          <w:szCs w:val="16"/>
          <w:color w:val="auto"/>
        </w:rPr>
      </w:pPr>
    </w:p>
    <w:p>
      <w:pPr>
        <w:ind w:left="460" w:right="60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Other key launch products, including the GMC Terrain, Buick LaCrosse, Cadillac CTS Sport Wagon and Chevrolet Camaro, greatly exceeded sales expectations and current ability to supply</w:t>
      </w:r>
    </w:p>
    <w:p>
      <w:pPr>
        <w:spacing w:after="0" w:line="126" w:lineRule="exact"/>
        <w:rPr>
          <w:sz w:val="20"/>
          <w:szCs w:val="20"/>
          <w:color w:val="auto"/>
        </w:rPr>
      </w:pPr>
    </w:p>
    <w:p>
      <w:pPr>
        <w:ind w:right="260"/>
        <w:spacing w:after="0" w:line="310" w:lineRule="auto"/>
        <w:rPr>
          <w:sz w:val="20"/>
          <w:szCs w:val="20"/>
          <w:color w:val="auto"/>
        </w:rPr>
      </w:pPr>
      <w:r>
        <w:rPr>
          <w:rFonts w:ascii="Arial" w:cs="Arial" w:eastAsia="Arial" w:hAnsi="Arial"/>
          <w:sz w:val="16"/>
          <w:szCs w:val="16"/>
          <w:b w:val="1"/>
          <w:bCs w:val="1"/>
          <w:color w:val="auto"/>
        </w:rPr>
        <w:t xml:space="preserve">DETROIT – </w:t>
      </w:r>
      <w:r>
        <w:rPr>
          <w:rFonts w:ascii="Arial" w:cs="Arial" w:eastAsia="Arial" w:hAnsi="Arial"/>
          <w:sz w:val="16"/>
          <w:szCs w:val="16"/>
          <w:color w:val="auto"/>
        </w:rPr>
        <w:t>General Motors dealers in the United States delivered 156,673 vehicles in September. When compared with strong sales a year ago, September’s</w:t>
      </w:r>
      <w:r>
        <w:rPr>
          <w:rFonts w:ascii="Arial" w:cs="Arial" w:eastAsia="Arial" w:hAnsi="Arial"/>
          <w:sz w:val="16"/>
          <w:szCs w:val="16"/>
          <w:b w:val="1"/>
          <w:bCs w:val="1"/>
          <w:color w:val="auto"/>
        </w:rPr>
        <w:t xml:space="preserve"> </w:t>
      </w:r>
      <w:r>
        <w:rPr>
          <w:rFonts w:ascii="Arial" w:cs="Arial" w:eastAsia="Arial" w:hAnsi="Arial"/>
          <w:sz w:val="16"/>
          <w:szCs w:val="16"/>
          <w:color w:val="auto"/>
        </w:rPr>
        <w:t>sales were down 45 percent. GM retail sales were down 46 percent while fleet sales declined 43 percent. When comparing GM’s September total sales with a strong August, and the conclusion of the Cash for Clunkers program, volume was down 36 percent month-over-month.</w:t>
      </w:r>
    </w:p>
    <w:p>
      <w:pPr>
        <w:spacing w:after="0" w:line="10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“September was a tough transitional month for the industry, and a difficult year-over-year comparison for GM. Fortunately, the fourth quarter looks brighter and our year-over-year comparisons should look more favorable,” said Mark LaNeve, vice president, U.S. sales. “We have the Cadillac SRX, Buick LaCrosse, Chevrolet Equinox and GMC Terrain hitting dealerships right now, generating significant buyer interest, and we’re selling many of our launch vehicles as soon as they hit dealers’ lots.”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expected, the market returned to pre-Cash for Clunkers levels in September, but we believe that our four core brands – Chevrolet, GMC, Buick and Cadillac</w:t>
      </w:r>
    </w:p>
    <w:p>
      <w:pPr>
        <w:spacing w:after="0" w:line="38"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 are well positioned with new products to generate enthusiasm with our 60-Day Satisfaction Guarantee and ‘May the Best Car Win’ marketing campaigns,” he continued. “We’re gearing-up fourth quarter production to replenish depleted dealer stocks and improve availability of our vehicles for customers.”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There were several product highlights in September for GM’s core brands:</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Buick car sales, led by LaCrosse and Lucerne, increased 50 percent compared with August. Total Buick sales increased 10 percent.</w:t>
      </w:r>
    </w:p>
    <w:p>
      <w:pPr>
        <w:spacing w:after="0" w:line="211"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luxury segments started to show improvement as Cadillac car truck and total sales all increased compared with the previous month, led by SRX (up 105 percent), CTS (up 35 percent), DTS (up 174 percent) and STS (up 29 percent). Escalade sales increased 28 percent.</w:t>
      </w:r>
    </w:p>
    <w:p>
      <w:pPr>
        <w:spacing w:after="0" w:line="125" w:lineRule="exact"/>
        <w:rPr>
          <w:rFonts w:ascii="Arial" w:cs="Arial" w:eastAsia="Arial" w:hAnsi="Arial"/>
          <w:sz w:val="16"/>
          <w:szCs w:val="16"/>
          <w:color w:val="auto"/>
        </w:rPr>
      </w:pPr>
    </w:p>
    <w:p>
      <w:pPr>
        <w:ind w:left="460" w:right="3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Chevrolet launch products continue to perform strongly in the market. There were 6,900 Traverse, 6,800 Equinox and 8,000 Camaro sales recorded in September.</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GMC Terrain sales continue to build launch momentum with a 183 percent increase from the previous month.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total of 1,011 GM hybrid vehicles were delivered in the month. So far, in 2009, GM has delivered 12,555 hybrid vehicles.</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Non-core brand total sales, when compared with a year ago, showed the impact of the end of the Cash for Clunkers program and overall market demand. Pontiac sales declined 53 percent; Saturn was down 84 percent, HUMMER dropped 82 percent and Saab declined 73 percent.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GM inventories dropped compared with a year ago, and remained at very low levels. At the end of September, about 424,000 vehicles were in stock, down about 294,000 vehicles (or 41 percent) compared with last year, and down approximately 9 percent compared with August. There were about 157,000 cars and 267,000 trucks (including crossovers) in inventory at the end of September.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340"/>
          </w:cols>
          <w:pgMar w:left="240" w:top="28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Certified Sales</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GM Certified Used Vehicles, Saturn Certified Pre-Owned Vehicles, Cadillac Certified Pre-Owned Vehicles, Saab Certified Pre-Owned Vehicles, and HUMMER Certified Pre-Owned Vehicles, combined, sold 22,885 vehicles in September.</w:t>
      </w:r>
    </w:p>
    <w:p>
      <w:pPr>
        <w:spacing w:after="0" w:line="132"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GM Certified Used Vehicles sold 19,877 vehicles, down 34 percent from last month. Cadillac Certified Pre-Owned Vehicles sold 1,819 vehicles, down 44 percent. Saturn Certified Pre-Owned Vehicles sold 692 vehicles, down 15 percent. Saab Certified Pre-Owned Vehicles sold 362 vehicles, down 47 percent. HUMMER Certified Pre-Owned Vehicles sold 135 vehicles, down 30 percent.</w:t>
      </w:r>
    </w:p>
    <w:p>
      <w:pPr>
        <w:spacing w:after="0" w:line="14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“September was a tough month for all Certified programs. However, consumers continue to see value in the GM Certified brands,” LaNeve said. “Our quarterly customer satisfaction surveys are a proof point with GM Certified Used Vehicles scoring high in value for the money, brand name and dealer reputation. Quality is an important factor and we continue to deliver with our industry-leading 100,000 mile/five-year (whichever comes first) limited powertrain warranty, and the 12-month/12,000 mile bumper-to-bumper warranty.”</w:t>
      </w:r>
    </w:p>
    <w:p>
      <w:pPr>
        <w:spacing w:after="0" w:line="137" w:lineRule="exact"/>
        <w:rPr>
          <w:sz w:val="20"/>
          <w:szCs w:val="20"/>
          <w:color w:val="auto"/>
        </w:rPr>
      </w:pPr>
    </w:p>
    <w:p>
      <w:pPr>
        <w:jc w:val="both"/>
        <w:ind w:right="120"/>
        <w:spacing w:after="0" w:line="275" w:lineRule="auto"/>
        <w:rPr>
          <w:sz w:val="20"/>
          <w:szCs w:val="20"/>
          <w:color w:val="auto"/>
        </w:rPr>
      </w:pPr>
      <w:r>
        <w:rPr>
          <w:rFonts w:ascii="Arial" w:cs="Arial" w:eastAsia="Arial" w:hAnsi="Arial"/>
          <w:sz w:val="18"/>
          <w:szCs w:val="18"/>
          <w:b w:val="1"/>
          <w:bCs w:val="1"/>
          <w:color w:val="auto"/>
        </w:rPr>
        <w:t>GM North America Reports September 2009 Production; Third Quarter Production at 533,000 Vehicles; Fourth Quarter Forecast Remains at 655,000 Vehicles</w:t>
      </w:r>
    </w:p>
    <w:p>
      <w:pPr>
        <w:spacing w:after="0" w:line="12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September, GM North America produced 233,000 vehicles (88,000 cars and 145,000 trucks). This is down 102,000 vehicles or 30 percent compared with September 2008, when the region produced 335,000 vehicles (162,000 cars and 173,000 trucks). (Production totals include joint venture production of 12,000 vehicles in September 2009 and 18,000 vehicles in September 2008).</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GM North America third quarter production was 533,000 vehicles (207,000 cars and 326,000 trucks), which was down 42 percent compared with a year ago. GM North America built 915,000 vehicles (436,000 cars and 479,000 trucks) in the third-quarter of 2008. However, Q3 2009 production volumes have substantially increased versus Q1 and Q2 2009 production volumes of 371,000 (up 44 percent) and 395,000 (up 35 percent),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380"/>
          </w:cols>
          <w:pgMar w:left="240" w:top="274" w:right="279" w:bottom="1440" w:gutter="0" w:footer="0" w:header="0"/>
        </w:sectPr>
      </w:pPr>
    </w:p>
    <w:bookmarkStart w:id="7" w:name="page8"/>
    <w:bookmarkEnd w:id="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region’s 2009 fourth quarter production forecast remains at 655,000 vehicles (262,000 cars and 393,000 trucks), which is down about 20 percent compared with a year ago. GM North America built 815,000 vehicles (365,000 cars and 450,000 trucks) in the fourth quarter of 2008. However, Q4 2009 production volumes represent over a 20 percent increase compared with Q3 2009.</w:t>
      </w:r>
    </w:p>
    <w:p>
      <w:pPr>
        <w:spacing w:after="0" w:line="134"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employs 219,000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the United Kingdom, Canada, Russia and Germany.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Company can be found at </w:t>
      </w:r>
      <w:r>
        <w:rPr>
          <w:rFonts w:ascii="Arial" w:cs="Arial" w:eastAsia="Arial" w:hAnsi="Arial"/>
          <w:sz w:val="16"/>
          <w:szCs w:val="16"/>
          <w:u w:val="single" w:color="auto"/>
          <w:color w:val="auto"/>
        </w:rPr>
        <w:t>www.gm.com</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 #</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John McDonald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General Motors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313-667-3714 (office)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313-418-2139 (mobile)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john.m.mcdonald@gm.com</w:t>
      </w:r>
    </w:p>
    <w:p>
      <w:pPr>
        <w:sectPr>
          <w:pgSz w:w="11900" w:h="16838" w:orient="portrait"/>
          <w:cols w:equalWidth="0" w:num="1">
            <w:col w:w="11340"/>
          </w:cols>
          <w:pgMar w:left="240" w:top="280"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dealers in the United States reported the following deliveries: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5740" w:type="dxa"/>
            <w:vAlign w:val="bottom"/>
            <w:tcBorders>
              <w:top w:val="single" w:sz="8" w:color="auto"/>
              <w:left w:val="single" w:sz="8" w:color="auto"/>
              <w:right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vMerge w:val="restart"/>
          </w:tcPr>
          <w:p>
            <w:pPr>
              <w:jc w:val="right"/>
              <w:ind w:right="317"/>
              <w:spacing w:after="0"/>
              <w:rPr>
                <w:sz w:val="20"/>
                <w:szCs w:val="20"/>
                <w:color w:val="auto"/>
              </w:rPr>
            </w:pPr>
            <w:r>
              <w:rPr>
                <w:rFonts w:ascii="Arial" w:cs="Arial" w:eastAsia="Arial" w:hAnsi="Arial"/>
                <w:sz w:val="14"/>
                <w:szCs w:val="14"/>
                <w:color w:val="auto"/>
              </w:rPr>
              <w:t>September</w:t>
            </w:r>
          </w:p>
        </w:tc>
        <w:tc>
          <w:tcPr>
            <w:tcW w:w="760" w:type="dxa"/>
            <w:vAlign w:val="bottom"/>
            <w:tcBorders>
              <w:top w:val="single" w:sz="8" w:color="auto"/>
              <w:right w:val="single" w:sz="8" w:color="auto"/>
            </w:tcBorders>
          </w:tcPr>
          <w:p>
            <w:pPr>
              <w:spacing w:after="0"/>
              <w:rPr>
                <w:sz w:val="13"/>
                <w:szCs w:val="13"/>
                <w:color w:val="auto"/>
              </w:rPr>
            </w:pPr>
          </w:p>
        </w:tc>
        <w:tc>
          <w:tcPr>
            <w:tcW w:w="20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(Calendar Year-to-Date)</w:t>
            </w:r>
          </w:p>
        </w:tc>
        <w:tc>
          <w:tcPr>
            <w:tcW w:w="5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7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*S/D Curr: 25</w:t>
            </w:r>
          </w:p>
        </w:tc>
        <w:tc>
          <w:tcPr>
            <w:tcW w:w="8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2040" w:type="dxa"/>
            <w:vAlign w:val="bottom"/>
            <w:gridSpan w:val="2"/>
            <w:vMerge w:val="restart"/>
          </w:tcPr>
          <w:p>
            <w:pPr>
              <w:jc w:val="right"/>
              <w:ind w:right="55"/>
              <w:spacing w:after="0"/>
              <w:rPr>
                <w:sz w:val="20"/>
                <w:szCs w:val="20"/>
                <w:color w:val="auto"/>
              </w:rPr>
            </w:pPr>
            <w:r>
              <w:rPr>
                <w:rFonts w:ascii="Arial" w:cs="Arial" w:eastAsia="Arial" w:hAnsi="Arial"/>
                <w:sz w:val="14"/>
                <w:szCs w:val="14"/>
                <w:color w:val="auto"/>
              </w:rPr>
              <w:t>January - September</w:t>
            </w: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57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5740" w:type="dxa"/>
            <w:vAlign w:val="bottom"/>
            <w:tcBorders>
              <w:left w:val="single" w:sz="8" w:color="auto"/>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right"/>
              <w:ind w:right="17"/>
              <w:spacing w:after="0" w:line="115" w:lineRule="exact"/>
              <w:rPr>
                <w:sz w:val="20"/>
                <w:szCs w:val="20"/>
                <w:color w:val="auto"/>
              </w:rPr>
            </w:pPr>
            <w:r>
              <w:rPr>
                <w:rFonts w:ascii="Arial" w:cs="Arial" w:eastAsia="Arial" w:hAnsi="Arial"/>
                <w:sz w:val="12"/>
                <w:szCs w:val="12"/>
                <w:color w:val="auto"/>
              </w:rPr>
              <w:t>% Chg</w:t>
            </w:r>
          </w:p>
        </w:tc>
        <w:tc>
          <w:tcPr>
            <w:tcW w:w="760" w:type="dxa"/>
            <w:vAlign w:val="bottom"/>
            <w:tcBorders>
              <w:right w:val="single" w:sz="8" w:color="auto"/>
            </w:tcBorders>
          </w:tcPr>
          <w:p>
            <w:pPr>
              <w:jc w:val="right"/>
              <w:ind w:right="17"/>
              <w:spacing w:after="0" w:line="115" w:lineRule="exact"/>
              <w:rPr>
                <w:sz w:val="20"/>
                <w:szCs w:val="20"/>
                <w:color w:val="auto"/>
              </w:rPr>
            </w:pPr>
            <w:r>
              <w:rPr>
                <w:rFonts w:ascii="Arial" w:cs="Arial" w:eastAsia="Arial" w:hAnsi="Arial"/>
                <w:sz w:val="12"/>
                <w:szCs w:val="12"/>
                <w:color w:val="auto"/>
              </w:rPr>
              <w:t>%Chg per</w:t>
            </w:r>
          </w:p>
        </w:tc>
        <w:tc>
          <w:tcPr>
            <w:tcW w:w="10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Borders>
              <w:right w:val="single" w:sz="8" w:color="auto"/>
            </w:tcBorders>
          </w:tcPr>
          <w:p>
            <w:pPr>
              <w:jc w:val="right"/>
              <w:ind w:right="37"/>
              <w:spacing w:after="0" w:line="115" w:lineRule="exact"/>
              <w:rPr>
                <w:sz w:val="20"/>
                <w:szCs w:val="20"/>
                <w:color w:val="auto"/>
              </w:rPr>
            </w:pPr>
            <w:r>
              <w:rPr>
                <w:rFonts w:ascii="Arial" w:cs="Arial" w:eastAsia="Arial" w:hAnsi="Arial"/>
                <w:sz w:val="12"/>
                <w:szCs w:val="12"/>
                <w:color w:val="auto"/>
              </w:rPr>
              <w:t>%Chg</w:t>
            </w:r>
          </w:p>
        </w:tc>
        <w:tc>
          <w:tcPr>
            <w:tcW w:w="0" w:type="dxa"/>
            <w:vAlign w:val="bottom"/>
          </w:tcPr>
          <w:p>
            <w:pPr>
              <w:spacing w:after="0"/>
              <w:rPr>
                <w:sz w:val="1"/>
                <w:szCs w:val="1"/>
                <w:color w:val="auto"/>
              </w:rPr>
            </w:pPr>
          </w:p>
        </w:tc>
      </w:tr>
      <w:tr>
        <w:trPr>
          <w:trHeight w:val="159"/>
        </w:trPr>
        <w:tc>
          <w:tcPr>
            <w:tcW w:w="5740" w:type="dxa"/>
            <w:vAlign w:val="bottom"/>
            <w:tcBorders>
              <w:left w:val="single" w:sz="8" w:color="auto"/>
              <w:bottom w:val="single" w:sz="8" w:color="auto"/>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*S/D Prev: 24</w:t>
            </w:r>
          </w:p>
        </w:tc>
        <w:tc>
          <w:tcPr>
            <w:tcW w:w="880" w:type="dxa"/>
            <w:vAlign w:val="bottom"/>
            <w:tcBorders>
              <w:bottom w:val="single" w:sz="8" w:color="auto"/>
            </w:tcBorders>
          </w:tcPr>
          <w:p>
            <w:pPr>
              <w:jc w:val="right"/>
              <w:ind w:right="35"/>
              <w:spacing w:after="0" w:line="159" w:lineRule="exact"/>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jc w:val="right"/>
              <w:ind w:right="17"/>
              <w:spacing w:after="0" w:line="159" w:lineRule="exact"/>
              <w:rPr>
                <w:sz w:val="20"/>
                <w:szCs w:val="20"/>
                <w:color w:val="auto"/>
              </w:rPr>
            </w:pPr>
            <w:r>
              <w:rPr>
                <w:rFonts w:ascii="Arial" w:cs="Arial" w:eastAsia="Arial" w:hAnsi="Arial"/>
                <w:sz w:val="14"/>
                <w:szCs w:val="14"/>
                <w:color w:val="auto"/>
              </w:rPr>
              <w:t>Volume</w:t>
            </w:r>
          </w:p>
        </w:tc>
        <w:tc>
          <w:tcPr>
            <w:tcW w:w="760" w:type="dxa"/>
            <w:vAlign w:val="bottom"/>
            <w:tcBorders>
              <w:bottom w:val="single" w:sz="8" w:color="auto"/>
              <w:right w:val="single" w:sz="8" w:color="auto"/>
            </w:tcBorders>
          </w:tcPr>
          <w:p>
            <w:pPr>
              <w:jc w:val="right"/>
              <w:ind w:right="17"/>
              <w:spacing w:after="0" w:line="159" w:lineRule="exact"/>
              <w:rPr>
                <w:sz w:val="20"/>
                <w:szCs w:val="20"/>
                <w:color w:val="auto"/>
              </w:rPr>
            </w:pPr>
            <w:r>
              <w:rPr>
                <w:rFonts w:ascii="Arial" w:cs="Arial" w:eastAsia="Arial" w:hAnsi="Arial"/>
                <w:sz w:val="14"/>
                <w:szCs w:val="14"/>
                <w:color w:val="auto"/>
              </w:rPr>
              <w:t>S/D</w:t>
            </w:r>
          </w:p>
        </w:tc>
        <w:tc>
          <w:tcPr>
            <w:tcW w:w="1040" w:type="dxa"/>
            <w:vAlign w:val="bottom"/>
            <w:tcBorders>
              <w:bottom w:val="single" w:sz="8" w:color="auto"/>
            </w:tcBorders>
          </w:tcPr>
          <w:p>
            <w:pPr>
              <w:jc w:val="right"/>
              <w:ind w:right="36"/>
              <w:spacing w:after="0" w:line="159" w:lineRule="exact"/>
              <w:rPr>
                <w:sz w:val="20"/>
                <w:szCs w:val="20"/>
                <w:color w:val="auto"/>
              </w:rPr>
            </w:pPr>
            <w:r>
              <w:rPr>
                <w:rFonts w:ascii="Arial" w:cs="Arial" w:eastAsia="Arial" w:hAnsi="Arial"/>
                <w:sz w:val="14"/>
                <w:szCs w:val="14"/>
                <w:color w:val="auto"/>
              </w:rPr>
              <w:t>2009</w:t>
            </w:r>
          </w:p>
        </w:tc>
        <w:tc>
          <w:tcPr>
            <w:tcW w:w="1000" w:type="dxa"/>
            <w:vAlign w:val="bottom"/>
            <w:tcBorders>
              <w:bottom w:val="single" w:sz="8" w:color="auto"/>
            </w:tcBorders>
          </w:tcPr>
          <w:p>
            <w:pPr>
              <w:jc w:val="right"/>
              <w:ind w:right="95"/>
              <w:spacing w:after="0" w:line="159" w:lineRule="exact"/>
              <w:rPr>
                <w:sz w:val="20"/>
                <w:szCs w:val="20"/>
                <w:color w:val="auto"/>
              </w:rPr>
            </w:pPr>
            <w:r>
              <w:rPr>
                <w:rFonts w:ascii="Arial" w:cs="Arial" w:eastAsia="Arial" w:hAnsi="Arial"/>
                <w:sz w:val="14"/>
                <w:szCs w:val="14"/>
                <w:color w:val="auto"/>
              </w:rPr>
              <w:t>2008</w:t>
            </w:r>
          </w:p>
        </w:tc>
        <w:tc>
          <w:tcPr>
            <w:tcW w:w="580" w:type="dxa"/>
            <w:vAlign w:val="bottom"/>
            <w:tcBorders>
              <w:bottom w:val="single" w:sz="8" w:color="auto"/>
              <w:right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210"/>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Vehicle Total</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156,673</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284,300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-44.9</w:t>
            </w:r>
          </w:p>
        </w:tc>
        <w:tc>
          <w:tcPr>
            <w:tcW w:w="7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-47.1</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1,546,951</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2,433,243</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 Total</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68,232</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118,440</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-42.4</w:t>
            </w:r>
          </w:p>
        </w:tc>
        <w:tc>
          <w:tcPr>
            <w:tcW w:w="7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-44.7</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672,882</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1,037,723</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Light Truck Total</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87,447</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164,366</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-46.8</w:t>
            </w:r>
          </w:p>
        </w:tc>
        <w:tc>
          <w:tcPr>
            <w:tcW w:w="7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-48.9</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864,021</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1,374,943</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Light Vehicle Total</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155,679</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282,806</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-45.0</w:t>
            </w:r>
          </w:p>
        </w:tc>
        <w:tc>
          <w:tcPr>
            <w:tcW w:w="7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-47.2</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1,536,903</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w w:val="99"/>
              </w:rPr>
              <w:t>2,412,666</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Truck Total **</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88,441</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165,860</w:t>
            </w: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-46.7</w:t>
            </w:r>
          </w:p>
        </w:tc>
        <w:tc>
          <w:tcPr>
            <w:tcW w:w="7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-48.8</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874,069</w:t>
            </w: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1,395,520</w:t>
            </w:r>
          </w:p>
        </w:tc>
        <w:tc>
          <w:tcPr>
            <w:tcW w:w="5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5"/>
        </w:trPr>
        <w:tc>
          <w:tcPr>
            <w:tcW w:w="5740" w:type="dxa"/>
            <w:vAlign w:val="bottom"/>
          </w:tcPr>
          <w:p>
            <w:pPr>
              <w:spacing w:after="0"/>
              <w:rPr>
                <w:sz w:val="20"/>
                <w:szCs w:val="20"/>
                <w:color w:val="auto"/>
              </w:rPr>
            </w:pPr>
            <w:r>
              <w:rPr>
                <w:rFonts w:ascii="Arial" w:cs="Arial" w:eastAsia="Arial" w:hAnsi="Arial"/>
                <w:sz w:val="18"/>
                <w:szCs w:val="18"/>
                <w:color w:val="auto"/>
              </w:rPr>
              <w:t>GM Vehicle Deliveries by Marketing Division</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57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5740" w:type="dxa"/>
            <w:vAlign w:val="bottom"/>
            <w:tcBorders>
              <w:left w:val="single" w:sz="8" w:color="auto"/>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right"/>
              <w:ind w:right="17"/>
              <w:spacing w:after="0" w:line="115" w:lineRule="exact"/>
              <w:rPr>
                <w:sz w:val="20"/>
                <w:szCs w:val="20"/>
                <w:color w:val="auto"/>
              </w:rPr>
            </w:pPr>
            <w:r>
              <w:rPr>
                <w:rFonts w:ascii="Arial" w:cs="Arial" w:eastAsia="Arial" w:hAnsi="Arial"/>
                <w:sz w:val="12"/>
                <w:szCs w:val="12"/>
                <w:color w:val="auto"/>
              </w:rPr>
              <w:t>%Chg</w:t>
            </w:r>
          </w:p>
        </w:tc>
        <w:tc>
          <w:tcPr>
            <w:tcW w:w="760" w:type="dxa"/>
            <w:vAlign w:val="bottom"/>
            <w:tcBorders>
              <w:right w:val="single" w:sz="8" w:color="auto"/>
            </w:tcBorders>
          </w:tcPr>
          <w:p>
            <w:pPr>
              <w:jc w:val="right"/>
              <w:ind w:right="17"/>
              <w:spacing w:after="0" w:line="115" w:lineRule="exact"/>
              <w:rPr>
                <w:sz w:val="20"/>
                <w:szCs w:val="20"/>
                <w:color w:val="auto"/>
              </w:rPr>
            </w:pPr>
            <w:r>
              <w:rPr>
                <w:rFonts w:ascii="Arial" w:cs="Arial" w:eastAsia="Arial" w:hAnsi="Arial"/>
                <w:sz w:val="12"/>
                <w:szCs w:val="12"/>
                <w:color w:val="auto"/>
              </w:rPr>
              <w:t>%Chg per</w:t>
            </w:r>
          </w:p>
        </w:tc>
        <w:tc>
          <w:tcPr>
            <w:tcW w:w="10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Borders>
              <w:right w:val="single" w:sz="8" w:color="auto"/>
            </w:tcBorders>
          </w:tcPr>
          <w:p>
            <w:pPr>
              <w:jc w:val="right"/>
              <w:ind w:right="37"/>
              <w:spacing w:after="0" w:line="115" w:lineRule="exact"/>
              <w:rPr>
                <w:sz w:val="20"/>
                <w:szCs w:val="20"/>
                <w:color w:val="auto"/>
              </w:rPr>
            </w:pPr>
            <w:r>
              <w:rPr>
                <w:rFonts w:ascii="Arial" w:cs="Arial" w:eastAsia="Arial" w:hAnsi="Arial"/>
                <w:sz w:val="12"/>
                <w:szCs w:val="12"/>
                <w:color w:val="auto"/>
              </w:rPr>
              <w:t>%Chg</w:t>
            </w:r>
          </w:p>
        </w:tc>
        <w:tc>
          <w:tcPr>
            <w:tcW w:w="0" w:type="dxa"/>
            <w:vAlign w:val="bottom"/>
          </w:tcPr>
          <w:p>
            <w:pPr>
              <w:spacing w:after="0"/>
              <w:rPr>
                <w:sz w:val="1"/>
                <w:szCs w:val="1"/>
                <w:color w:val="auto"/>
              </w:rPr>
            </w:pPr>
          </w:p>
        </w:tc>
      </w:tr>
      <w:tr>
        <w:trPr>
          <w:trHeight w:val="181"/>
        </w:trPr>
        <w:tc>
          <w:tcPr>
            <w:tcW w:w="574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jc w:val="right"/>
              <w:ind w:right="35"/>
              <w:spacing w:after="0" w:line="156" w:lineRule="exact"/>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15"/>
              <w:spacing w:after="0" w:line="156"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jc w:val="right"/>
              <w:ind w:right="17"/>
              <w:spacing w:after="0" w:line="156" w:lineRule="exact"/>
              <w:rPr>
                <w:sz w:val="20"/>
                <w:szCs w:val="20"/>
                <w:color w:val="auto"/>
              </w:rPr>
            </w:pPr>
            <w:r>
              <w:rPr>
                <w:rFonts w:ascii="Arial" w:cs="Arial" w:eastAsia="Arial" w:hAnsi="Arial"/>
                <w:sz w:val="14"/>
                <w:szCs w:val="14"/>
                <w:color w:val="auto"/>
              </w:rPr>
              <w:t>Volume</w:t>
            </w:r>
          </w:p>
        </w:tc>
        <w:tc>
          <w:tcPr>
            <w:tcW w:w="760" w:type="dxa"/>
            <w:vAlign w:val="bottom"/>
            <w:tcBorders>
              <w:bottom w:val="single" w:sz="8" w:color="auto"/>
              <w:right w:val="single" w:sz="8" w:color="auto"/>
            </w:tcBorders>
          </w:tcPr>
          <w:p>
            <w:pPr>
              <w:jc w:val="right"/>
              <w:ind w:right="17"/>
              <w:spacing w:after="0" w:line="156" w:lineRule="exact"/>
              <w:rPr>
                <w:sz w:val="20"/>
                <w:szCs w:val="20"/>
                <w:color w:val="auto"/>
              </w:rPr>
            </w:pPr>
            <w:r>
              <w:rPr>
                <w:rFonts w:ascii="Arial" w:cs="Arial" w:eastAsia="Arial" w:hAnsi="Arial"/>
                <w:sz w:val="14"/>
                <w:szCs w:val="14"/>
                <w:color w:val="auto"/>
              </w:rPr>
              <w:t>S/D</w:t>
            </w:r>
          </w:p>
        </w:tc>
        <w:tc>
          <w:tcPr>
            <w:tcW w:w="1040" w:type="dxa"/>
            <w:vAlign w:val="bottom"/>
            <w:tcBorders>
              <w:bottom w:val="single" w:sz="8" w:color="auto"/>
            </w:tcBorders>
          </w:tcPr>
          <w:p>
            <w:pPr>
              <w:jc w:val="right"/>
              <w:ind w:right="36"/>
              <w:spacing w:after="0" w:line="156" w:lineRule="exact"/>
              <w:rPr>
                <w:sz w:val="20"/>
                <w:szCs w:val="20"/>
                <w:color w:val="auto"/>
              </w:rPr>
            </w:pPr>
            <w:r>
              <w:rPr>
                <w:rFonts w:ascii="Arial" w:cs="Arial" w:eastAsia="Arial" w:hAnsi="Arial"/>
                <w:sz w:val="14"/>
                <w:szCs w:val="14"/>
                <w:color w:val="auto"/>
              </w:rPr>
              <w:t>2009</w:t>
            </w:r>
          </w:p>
        </w:tc>
        <w:tc>
          <w:tcPr>
            <w:tcW w:w="1000" w:type="dxa"/>
            <w:vAlign w:val="bottom"/>
            <w:tcBorders>
              <w:bottom w:val="single" w:sz="8" w:color="auto"/>
            </w:tcBorders>
          </w:tcPr>
          <w:p>
            <w:pPr>
              <w:jc w:val="right"/>
              <w:ind w:right="95"/>
              <w:spacing w:after="0" w:line="156" w:lineRule="exact"/>
              <w:rPr>
                <w:sz w:val="20"/>
                <w:szCs w:val="20"/>
                <w:color w:val="auto"/>
              </w:rPr>
            </w:pPr>
            <w:r>
              <w:rPr>
                <w:rFonts w:ascii="Arial" w:cs="Arial" w:eastAsia="Arial" w:hAnsi="Arial"/>
                <w:sz w:val="14"/>
                <w:szCs w:val="14"/>
                <w:color w:val="auto"/>
              </w:rPr>
              <w:t>2008</w:t>
            </w:r>
          </w:p>
        </w:tc>
        <w:tc>
          <w:tcPr>
            <w:tcW w:w="580" w:type="dxa"/>
            <w:vAlign w:val="bottom"/>
            <w:tcBorders>
              <w:bottom w:val="single" w:sz="8" w:color="auto"/>
              <w:right w:val="single" w:sz="8" w:color="auto"/>
            </w:tcBorders>
          </w:tcPr>
          <w:p>
            <w:pPr>
              <w:jc w:val="right"/>
              <w:ind w:right="37"/>
              <w:spacing w:after="0" w:line="156"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193"/>
        </w:trPr>
        <w:tc>
          <w:tcPr>
            <w:tcW w:w="5740" w:type="dxa"/>
            <w:vAlign w:val="bottom"/>
            <w:tcBorders>
              <w:top w:val="single" w:sz="8" w:color="auto"/>
              <w:left w:val="single" w:sz="8" w:color="auto"/>
              <w:right w:val="single" w:sz="8" w:color="auto"/>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Buick Total</w:t>
            </w:r>
          </w:p>
        </w:tc>
        <w:tc>
          <w:tcPr>
            <w:tcW w:w="880" w:type="dxa"/>
            <w:vAlign w:val="bottom"/>
            <w:tcBorders>
              <w:top w:val="single" w:sz="8" w:color="CCEEFF"/>
            </w:tcBorders>
            <w:shd w:val="clear" w:color="auto" w:fill="CCEEFF"/>
          </w:tcPr>
          <w:p>
            <w:pPr>
              <w:jc w:val="right"/>
              <w:ind w:right="35"/>
              <w:spacing w:after="0" w:line="193" w:lineRule="exact"/>
              <w:rPr>
                <w:sz w:val="20"/>
                <w:szCs w:val="20"/>
                <w:color w:val="auto"/>
              </w:rPr>
            </w:pPr>
            <w:r>
              <w:rPr>
                <w:rFonts w:ascii="Arial" w:cs="Arial" w:eastAsia="Arial" w:hAnsi="Arial"/>
                <w:sz w:val="18"/>
                <w:szCs w:val="18"/>
                <w:color w:val="auto"/>
              </w:rPr>
              <w:t>9,455</w:t>
            </w:r>
          </w:p>
        </w:tc>
        <w:tc>
          <w:tcPr>
            <w:tcW w:w="780" w:type="dxa"/>
            <w:vAlign w:val="bottom"/>
            <w:tcBorders>
              <w:top w:val="single" w:sz="8" w:color="CCEEFF"/>
            </w:tcBorders>
            <w:shd w:val="clear" w:color="auto" w:fill="CCEEFF"/>
          </w:tcPr>
          <w:p>
            <w:pPr>
              <w:jc w:val="right"/>
              <w:ind w:right="15"/>
              <w:spacing w:after="0" w:line="193" w:lineRule="exact"/>
              <w:rPr>
                <w:sz w:val="20"/>
                <w:szCs w:val="20"/>
                <w:color w:val="auto"/>
              </w:rPr>
            </w:pPr>
            <w:r>
              <w:rPr>
                <w:rFonts w:ascii="Arial" w:cs="Arial" w:eastAsia="Arial" w:hAnsi="Arial"/>
                <w:sz w:val="18"/>
                <w:szCs w:val="18"/>
                <w:color w:val="auto"/>
              </w:rPr>
              <w:t>14,121</w:t>
            </w:r>
          </w:p>
        </w:tc>
        <w:tc>
          <w:tcPr>
            <w:tcW w:w="640" w:type="dxa"/>
            <w:vAlign w:val="bottom"/>
            <w:tcBorders>
              <w:top w:val="single" w:sz="8" w:color="CCEEFF"/>
            </w:tcBorders>
            <w:shd w:val="clear" w:color="auto" w:fill="CCEEFF"/>
          </w:tcPr>
          <w:p>
            <w:pPr>
              <w:jc w:val="right"/>
              <w:ind w:right="17"/>
              <w:spacing w:after="0" w:line="193" w:lineRule="exact"/>
              <w:rPr>
                <w:sz w:val="20"/>
                <w:szCs w:val="20"/>
                <w:color w:val="auto"/>
              </w:rPr>
            </w:pPr>
            <w:r>
              <w:rPr>
                <w:rFonts w:ascii="Arial" w:cs="Arial" w:eastAsia="Arial" w:hAnsi="Arial"/>
                <w:sz w:val="18"/>
                <w:szCs w:val="18"/>
                <w:color w:val="auto"/>
              </w:rPr>
              <w:t>-33.0</w:t>
            </w:r>
          </w:p>
        </w:tc>
        <w:tc>
          <w:tcPr>
            <w:tcW w:w="760" w:type="dxa"/>
            <w:vAlign w:val="bottom"/>
            <w:tcBorders>
              <w:top w:val="single" w:sz="8" w:color="CCEEFF"/>
              <w:right w:val="single" w:sz="8" w:color="auto"/>
            </w:tcBorders>
            <w:shd w:val="clear" w:color="auto" w:fill="CCEEFF"/>
          </w:tcPr>
          <w:p>
            <w:pPr>
              <w:jc w:val="right"/>
              <w:ind w:right="37"/>
              <w:spacing w:after="0" w:line="193" w:lineRule="exact"/>
              <w:rPr>
                <w:sz w:val="20"/>
                <w:szCs w:val="20"/>
                <w:color w:val="auto"/>
              </w:rPr>
            </w:pPr>
            <w:r>
              <w:rPr>
                <w:rFonts w:ascii="Arial" w:cs="Arial" w:eastAsia="Arial" w:hAnsi="Arial"/>
                <w:sz w:val="18"/>
                <w:szCs w:val="18"/>
                <w:color w:val="auto"/>
              </w:rPr>
              <w:t>-35.7</w:t>
            </w:r>
          </w:p>
        </w:tc>
        <w:tc>
          <w:tcPr>
            <w:tcW w:w="1040" w:type="dxa"/>
            <w:vAlign w:val="bottom"/>
            <w:tcBorders>
              <w:top w:val="single" w:sz="8" w:color="CCEEFF"/>
            </w:tcBorders>
            <w:shd w:val="clear" w:color="auto" w:fill="CCEEFF"/>
          </w:tcPr>
          <w:p>
            <w:pPr>
              <w:jc w:val="right"/>
              <w:ind w:right="36"/>
              <w:spacing w:after="0" w:line="193" w:lineRule="exact"/>
              <w:rPr>
                <w:sz w:val="20"/>
                <w:szCs w:val="20"/>
                <w:color w:val="auto"/>
              </w:rPr>
            </w:pPr>
            <w:r>
              <w:rPr>
                <w:rFonts w:ascii="Arial" w:cs="Arial" w:eastAsia="Arial" w:hAnsi="Arial"/>
                <w:sz w:val="18"/>
                <w:szCs w:val="18"/>
                <w:color w:val="auto"/>
              </w:rPr>
              <w:t>72,389</w:t>
            </w:r>
          </w:p>
        </w:tc>
        <w:tc>
          <w:tcPr>
            <w:tcW w:w="1000" w:type="dxa"/>
            <w:vAlign w:val="bottom"/>
            <w:tcBorders>
              <w:top w:val="single" w:sz="8" w:color="CCEEFF"/>
            </w:tcBorders>
            <w:shd w:val="clear" w:color="auto" w:fill="CCEEFF"/>
          </w:tcPr>
          <w:p>
            <w:pPr>
              <w:jc w:val="right"/>
              <w:ind w:right="95"/>
              <w:spacing w:after="0" w:line="193" w:lineRule="exact"/>
              <w:rPr>
                <w:sz w:val="20"/>
                <w:szCs w:val="20"/>
                <w:color w:val="auto"/>
              </w:rPr>
            </w:pPr>
            <w:r>
              <w:rPr>
                <w:rFonts w:ascii="Arial" w:cs="Arial" w:eastAsia="Arial" w:hAnsi="Arial"/>
                <w:sz w:val="18"/>
                <w:szCs w:val="18"/>
                <w:color w:val="auto"/>
              </w:rPr>
              <w:t>113,130</w:t>
            </w:r>
          </w:p>
        </w:tc>
        <w:tc>
          <w:tcPr>
            <w:tcW w:w="580" w:type="dxa"/>
            <w:vAlign w:val="bottom"/>
            <w:tcBorders>
              <w:top w:val="single" w:sz="8" w:color="CCEEFF"/>
              <w:right w:val="single" w:sz="8" w:color="auto"/>
            </w:tcBorders>
            <w:shd w:val="clear" w:color="auto" w:fill="CCEEFF"/>
          </w:tcPr>
          <w:p>
            <w:pPr>
              <w:jc w:val="right"/>
              <w:ind w:right="37"/>
              <w:spacing w:after="0" w:line="193"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11,339</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12,432</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-8.8</w:t>
            </w:r>
          </w:p>
        </w:tc>
        <w:tc>
          <w:tcPr>
            <w:tcW w:w="7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-12.4</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73,024</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129,568</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102,538</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172,803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-40.7</w:t>
            </w:r>
          </w:p>
        </w:tc>
        <w:tc>
          <w:tcPr>
            <w:tcW w:w="7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-43.0</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992,548</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1,460,371</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Total</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18,359</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39,029</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-53.0</w:t>
            </w:r>
          </w:p>
        </w:tc>
        <w:tc>
          <w:tcPr>
            <w:tcW w:w="7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-54.8</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181,835</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305,890</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HUMMER Total</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426</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2,298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-81.5</w:t>
            </w:r>
          </w:p>
        </w:tc>
        <w:tc>
          <w:tcPr>
            <w:tcW w:w="7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-82.2</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8,193</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22,493</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Pontiac Total</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11,079</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23,324</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-52.5</w:t>
            </w:r>
          </w:p>
        </w:tc>
        <w:tc>
          <w:tcPr>
            <w:tcW w:w="7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-54.4</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151,818</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225,708</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Saab Total</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484</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1,765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-72.6</w:t>
            </w:r>
          </w:p>
        </w:tc>
        <w:tc>
          <w:tcPr>
            <w:tcW w:w="7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-73.7</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6,928</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17,362</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8"/>
        </w:trPr>
        <w:tc>
          <w:tcPr>
            <w:tcW w:w="57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Saturn Total</w:t>
            </w: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2,993</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18,528</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-83.8</w:t>
            </w:r>
          </w:p>
        </w:tc>
        <w:tc>
          <w:tcPr>
            <w:tcW w:w="7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-84.5</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60,216</w:t>
            </w: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158,721</w:t>
            </w:r>
          </w:p>
        </w:tc>
        <w:tc>
          <w:tcPr>
            <w:tcW w:w="5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190"/>
        </w:trPr>
        <w:tc>
          <w:tcPr>
            <w:tcW w:w="5740" w:type="dxa"/>
            <w:vAlign w:val="bottom"/>
            <w:tcBorders>
              <w:top w:val="single" w:sz="8" w:color="auto"/>
              <w:left w:val="single" w:sz="8" w:color="auto"/>
              <w:bottom w:val="single" w:sz="8" w:color="auto"/>
              <w:right w:val="single" w:sz="8" w:color="auto"/>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GM Vehicle Total</w:t>
            </w:r>
          </w:p>
        </w:tc>
        <w:tc>
          <w:tcPr>
            <w:tcW w:w="880" w:type="dxa"/>
            <w:vAlign w:val="bottom"/>
            <w:tcBorders>
              <w:top w:val="single" w:sz="8" w:color="CCEEFF"/>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8"/>
                <w:szCs w:val="18"/>
                <w:color w:val="auto"/>
              </w:rPr>
              <w:t>156,673</w:t>
            </w:r>
          </w:p>
        </w:tc>
        <w:tc>
          <w:tcPr>
            <w:tcW w:w="780" w:type="dxa"/>
            <w:vAlign w:val="bottom"/>
            <w:tcBorders>
              <w:top w:val="single" w:sz="8" w:color="CCEEFF"/>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8"/>
                <w:szCs w:val="18"/>
                <w:color w:val="auto"/>
              </w:rPr>
              <w:t>284,300</w:t>
            </w:r>
          </w:p>
        </w:tc>
        <w:tc>
          <w:tcPr>
            <w:tcW w:w="640" w:type="dxa"/>
            <w:vAlign w:val="bottom"/>
            <w:tcBorders>
              <w:top w:val="single" w:sz="8" w:color="CCEEFF"/>
              <w:bottom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8"/>
                <w:szCs w:val="18"/>
                <w:color w:val="auto"/>
              </w:rPr>
              <w:t>-44.9</w:t>
            </w:r>
          </w:p>
        </w:tc>
        <w:tc>
          <w:tcPr>
            <w:tcW w:w="760" w:type="dxa"/>
            <w:vAlign w:val="bottom"/>
            <w:tcBorders>
              <w:top w:val="single" w:sz="8" w:color="CCEEFF"/>
              <w:bottom w:val="single" w:sz="8" w:color="auto"/>
              <w:right w:val="single" w:sz="8" w:color="auto"/>
            </w:tcBorders>
            <w:shd w:val="clear" w:color="auto" w:fill="CCEEFF"/>
          </w:tcPr>
          <w:p>
            <w:pPr>
              <w:jc w:val="right"/>
              <w:ind w:right="37"/>
              <w:spacing w:after="0" w:line="189" w:lineRule="exact"/>
              <w:rPr>
                <w:sz w:val="20"/>
                <w:szCs w:val="20"/>
                <w:color w:val="auto"/>
              </w:rPr>
            </w:pPr>
            <w:r>
              <w:rPr>
                <w:rFonts w:ascii="Arial" w:cs="Arial" w:eastAsia="Arial" w:hAnsi="Arial"/>
                <w:sz w:val="18"/>
                <w:szCs w:val="18"/>
                <w:color w:val="auto"/>
              </w:rPr>
              <w:t>-47.1</w:t>
            </w:r>
          </w:p>
        </w:tc>
        <w:tc>
          <w:tcPr>
            <w:tcW w:w="1040" w:type="dxa"/>
            <w:vAlign w:val="bottom"/>
            <w:tcBorders>
              <w:top w:val="single" w:sz="8" w:color="CCEEFF"/>
              <w:bottom w:val="single" w:sz="8" w:color="auto"/>
            </w:tcBorders>
            <w:shd w:val="clear" w:color="auto" w:fill="CCEEFF"/>
          </w:tcPr>
          <w:p>
            <w:pPr>
              <w:jc w:val="right"/>
              <w:ind w:right="36"/>
              <w:spacing w:after="0" w:line="189" w:lineRule="exact"/>
              <w:rPr>
                <w:sz w:val="20"/>
                <w:szCs w:val="20"/>
                <w:color w:val="auto"/>
              </w:rPr>
            </w:pPr>
            <w:r>
              <w:rPr>
                <w:rFonts w:ascii="Arial" w:cs="Arial" w:eastAsia="Arial" w:hAnsi="Arial"/>
                <w:sz w:val="18"/>
                <w:szCs w:val="18"/>
                <w:color w:val="auto"/>
              </w:rPr>
              <w:t>1,546,951</w:t>
            </w:r>
          </w:p>
        </w:tc>
        <w:tc>
          <w:tcPr>
            <w:tcW w:w="1000" w:type="dxa"/>
            <w:vAlign w:val="bottom"/>
            <w:tcBorders>
              <w:top w:val="single" w:sz="8" w:color="CCEEFF"/>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8"/>
                <w:szCs w:val="18"/>
                <w:color w:val="auto"/>
                <w:w w:val="99"/>
              </w:rPr>
              <w:t>2,433,243</w:t>
            </w:r>
          </w:p>
        </w:tc>
        <w:tc>
          <w:tcPr>
            <w:tcW w:w="580" w:type="dxa"/>
            <w:vAlign w:val="bottom"/>
            <w:tcBorders>
              <w:top w:val="single" w:sz="8" w:color="CCEEFF"/>
              <w:bottom w:val="single" w:sz="8" w:color="auto"/>
              <w:right w:val="single" w:sz="8" w:color="auto"/>
            </w:tcBorders>
            <w:shd w:val="clear" w:color="auto" w:fill="CCEEFF"/>
          </w:tcPr>
          <w:p>
            <w:pPr>
              <w:jc w:val="right"/>
              <w:ind w:right="37"/>
              <w:spacing w:after="0" w:line="189"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8"/>
        </w:trPr>
        <w:tc>
          <w:tcPr>
            <w:tcW w:w="5740" w:type="dxa"/>
            <w:vAlign w:val="bottom"/>
          </w:tcPr>
          <w:p>
            <w:pPr>
              <w:spacing w:after="0"/>
              <w:rPr>
                <w:sz w:val="20"/>
                <w:szCs w:val="20"/>
                <w:color w:val="auto"/>
              </w:rPr>
            </w:pPr>
            <w:r>
              <w:rPr>
                <w:rFonts w:ascii="Arial" w:cs="Arial" w:eastAsia="Arial" w:hAnsi="Arial"/>
                <w:sz w:val="18"/>
                <w:szCs w:val="18"/>
                <w:color w:val="auto"/>
              </w:rPr>
              <w:t>GM Car Deliveries by Marketing Division</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57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5740" w:type="dxa"/>
            <w:vAlign w:val="bottom"/>
            <w:tcBorders>
              <w:left w:val="single" w:sz="8" w:color="auto"/>
              <w:right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jc w:val="right"/>
              <w:ind w:right="17"/>
              <w:spacing w:after="0" w:line="115" w:lineRule="exact"/>
              <w:rPr>
                <w:sz w:val="20"/>
                <w:szCs w:val="20"/>
                <w:color w:val="auto"/>
              </w:rPr>
            </w:pPr>
            <w:r>
              <w:rPr>
                <w:rFonts w:ascii="Arial" w:cs="Arial" w:eastAsia="Arial" w:hAnsi="Arial"/>
                <w:sz w:val="12"/>
                <w:szCs w:val="12"/>
                <w:color w:val="auto"/>
              </w:rPr>
              <w:t>%Chg</w:t>
            </w:r>
          </w:p>
        </w:tc>
        <w:tc>
          <w:tcPr>
            <w:tcW w:w="760" w:type="dxa"/>
            <w:vAlign w:val="bottom"/>
            <w:tcBorders>
              <w:right w:val="single" w:sz="8" w:color="auto"/>
            </w:tcBorders>
          </w:tcPr>
          <w:p>
            <w:pPr>
              <w:jc w:val="right"/>
              <w:ind w:right="17"/>
              <w:spacing w:after="0" w:line="115" w:lineRule="exact"/>
              <w:rPr>
                <w:sz w:val="20"/>
                <w:szCs w:val="20"/>
                <w:color w:val="auto"/>
              </w:rPr>
            </w:pPr>
            <w:r>
              <w:rPr>
                <w:rFonts w:ascii="Arial" w:cs="Arial" w:eastAsia="Arial" w:hAnsi="Arial"/>
                <w:sz w:val="12"/>
                <w:szCs w:val="12"/>
                <w:color w:val="auto"/>
              </w:rPr>
              <w:t>%Chg per</w:t>
            </w:r>
          </w:p>
        </w:tc>
        <w:tc>
          <w:tcPr>
            <w:tcW w:w="10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Borders>
              <w:right w:val="single" w:sz="8" w:color="auto"/>
            </w:tcBorders>
          </w:tcPr>
          <w:p>
            <w:pPr>
              <w:jc w:val="right"/>
              <w:ind w:right="37"/>
              <w:spacing w:after="0" w:line="115" w:lineRule="exact"/>
              <w:rPr>
                <w:sz w:val="20"/>
                <w:szCs w:val="20"/>
                <w:color w:val="auto"/>
              </w:rPr>
            </w:pPr>
            <w:r>
              <w:rPr>
                <w:rFonts w:ascii="Arial" w:cs="Arial" w:eastAsia="Arial" w:hAnsi="Arial"/>
                <w:sz w:val="12"/>
                <w:szCs w:val="12"/>
                <w:color w:val="auto"/>
              </w:rPr>
              <w:t>%Chg</w:t>
            </w:r>
          </w:p>
        </w:tc>
        <w:tc>
          <w:tcPr>
            <w:tcW w:w="0" w:type="dxa"/>
            <w:vAlign w:val="bottom"/>
          </w:tcPr>
          <w:p>
            <w:pPr>
              <w:spacing w:after="0"/>
              <w:rPr>
                <w:sz w:val="1"/>
                <w:szCs w:val="1"/>
                <w:color w:val="auto"/>
              </w:rPr>
            </w:pPr>
          </w:p>
        </w:tc>
      </w:tr>
      <w:tr>
        <w:trPr>
          <w:trHeight w:val="181"/>
        </w:trPr>
        <w:tc>
          <w:tcPr>
            <w:tcW w:w="574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tcBorders>
          </w:tcPr>
          <w:p>
            <w:pPr>
              <w:jc w:val="right"/>
              <w:ind w:right="35"/>
              <w:spacing w:after="0" w:line="156" w:lineRule="exact"/>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15"/>
              <w:spacing w:after="0" w:line="156"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jc w:val="right"/>
              <w:ind w:right="17"/>
              <w:spacing w:after="0" w:line="156" w:lineRule="exact"/>
              <w:rPr>
                <w:sz w:val="20"/>
                <w:szCs w:val="20"/>
                <w:color w:val="auto"/>
              </w:rPr>
            </w:pPr>
            <w:r>
              <w:rPr>
                <w:rFonts w:ascii="Arial" w:cs="Arial" w:eastAsia="Arial" w:hAnsi="Arial"/>
                <w:sz w:val="14"/>
                <w:szCs w:val="14"/>
                <w:color w:val="auto"/>
              </w:rPr>
              <w:t>Volume</w:t>
            </w:r>
          </w:p>
        </w:tc>
        <w:tc>
          <w:tcPr>
            <w:tcW w:w="760" w:type="dxa"/>
            <w:vAlign w:val="bottom"/>
            <w:tcBorders>
              <w:bottom w:val="single" w:sz="8" w:color="auto"/>
              <w:right w:val="single" w:sz="8" w:color="auto"/>
            </w:tcBorders>
          </w:tcPr>
          <w:p>
            <w:pPr>
              <w:jc w:val="right"/>
              <w:ind w:right="17"/>
              <w:spacing w:after="0" w:line="156" w:lineRule="exact"/>
              <w:rPr>
                <w:sz w:val="20"/>
                <w:szCs w:val="20"/>
                <w:color w:val="auto"/>
              </w:rPr>
            </w:pPr>
            <w:r>
              <w:rPr>
                <w:rFonts w:ascii="Arial" w:cs="Arial" w:eastAsia="Arial" w:hAnsi="Arial"/>
                <w:sz w:val="14"/>
                <w:szCs w:val="14"/>
                <w:color w:val="auto"/>
              </w:rPr>
              <w:t>S/D</w:t>
            </w:r>
          </w:p>
        </w:tc>
        <w:tc>
          <w:tcPr>
            <w:tcW w:w="1040" w:type="dxa"/>
            <w:vAlign w:val="bottom"/>
            <w:tcBorders>
              <w:bottom w:val="single" w:sz="8" w:color="auto"/>
            </w:tcBorders>
          </w:tcPr>
          <w:p>
            <w:pPr>
              <w:jc w:val="right"/>
              <w:ind w:right="36"/>
              <w:spacing w:after="0" w:line="156" w:lineRule="exact"/>
              <w:rPr>
                <w:sz w:val="20"/>
                <w:szCs w:val="20"/>
                <w:color w:val="auto"/>
              </w:rPr>
            </w:pPr>
            <w:r>
              <w:rPr>
                <w:rFonts w:ascii="Arial" w:cs="Arial" w:eastAsia="Arial" w:hAnsi="Arial"/>
                <w:sz w:val="14"/>
                <w:szCs w:val="14"/>
                <w:color w:val="auto"/>
              </w:rPr>
              <w:t>2009</w:t>
            </w:r>
          </w:p>
        </w:tc>
        <w:tc>
          <w:tcPr>
            <w:tcW w:w="1000" w:type="dxa"/>
            <w:vAlign w:val="bottom"/>
            <w:tcBorders>
              <w:bottom w:val="single" w:sz="8" w:color="auto"/>
            </w:tcBorders>
          </w:tcPr>
          <w:p>
            <w:pPr>
              <w:jc w:val="right"/>
              <w:ind w:right="95"/>
              <w:spacing w:after="0" w:line="156" w:lineRule="exact"/>
              <w:rPr>
                <w:sz w:val="20"/>
                <w:szCs w:val="20"/>
                <w:color w:val="auto"/>
              </w:rPr>
            </w:pPr>
            <w:r>
              <w:rPr>
                <w:rFonts w:ascii="Arial" w:cs="Arial" w:eastAsia="Arial" w:hAnsi="Arial"/>
                <w:sz w:val="14"/>
                <w:szCs w:val="14"/>
                <w:color w:val="auto"/>
              </w:rPr>
              <w:t>2008</w:t>
            </w:r>
          </w:p>
        </w:tc>
        <w:tc>
          <w:tcPr>
            <w:tcW w:w="580" w:type="dxa"/>
            <w:vAlign w:val="bottom"/>
            <w:tcBorders>
              <w:bottom w:val="single" w:sz="8" w:color="auto"/>
              <w:right w:val="single" w:sz="8" w:color="auto"/>
            </w:tcBorders>
          </w:tcPr>
          <w:p>
            <w:pPr>
              <w:jc w:val="right"/>
              <w:ind w:right="37"/>
              <w:spacing w:after="0" w:line="156"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193"/>
        </w:trPr>
        <w:tc>
          <w:tcPr>
            <w:tcW w:w="5740" w:type="dxa"/>
            <w:vAlign w:val="bottom"/>
            <w:tcBorders>
              <w:top w:val="single" w:sz="8" w:color="auto"/>
              <w:left w:val="single" w:sz="8" w:color="auto"/>
              <w:right w:val="single" w:sz="8" w:color="auto"/>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Buick Total</w:t>
            </w:r>
          </w:p>
        </w:tc>
        <w:tc>
          <w:tcPr>
            <w:tcW w:w="880" w:type="dxa"/>
            <w:vAlign w:val="bottom"/>
            <w:tcBorders>
              <w:top w:val="single" w:sz="8" w:color="CCEEFF"/>
            </w:tcBorders>
            <w:shd w:val="clear" w:color="auto" w:fill="CCEEFF"/>
          </w:tcPr>
          <w:p>
            <w:pPr>
              <w:jc w:val="right"/>
              <w:ind w:right="35"/>
              <w:spacing w:after="0" w:line="193" w:lineRule="exact"/>
              <w:rPr>
                <w:sz w:val="20"/>
                <w:szCs w:val="20"/>
                <w:color w:val="auto"/>
              </w:rPr>
            </w:pPr>
            <w:r>
              <w:rPr>
                <w:rFonts w:ascii="Arial" w:cs="Arial" w:eastAsia="Arial" w:hAnsi="Arial"/>
                <w:sz w:val="18"/>
                <w:szCs w:val="18"/>
                <w:color w:val="auto"/>
              </w:rPr>
              <w:t>6,707</w:t>
            </w:r>
          </w:p>
        </w:tc>
        <w:tc>
          <w:tcPr>
            <w:tcW w:w="780" w:type="dxa"/>
            <w:vAlign w:val="bottom"/>
            <w:tcBorders>
              <w:top w:val="single" w:sz="8" w:color="CCEEFF"/>
            </w:tcBorders>
            <w:shd w:val="clear" w:color="auto" w:fill="CCEEFF"/>
          </w:tcPr>
          <w:p>
            <w:pPr>
              <w:jc w:val="right"/>
              <w:ind w:right="15"/>
              <w:spacing w:after="0" w:line="193" w:lineRule="exact"/>
              <w:rPr>
                <w:sz w:val="20"/>
                <w:szCs w:val="20"/>
                <w:color w:val="auto"/>
              </w:rPr>
            </w:pPr>
            <w:r>
              <w:rPr>
                <w:rFonts w:ascii="Arial" w:cs="Arial" w:eastAsia="Arial" w:hAnsi="Arial"/>
                <w:sz w:val="18"/>
                <w:szCs w:val="18"/>
                <w:color w:val="auto"/>
              </w:rPr>
              <w:t>8,938</w:t>
            </w:r>
          </w:p>
        </w:tc>
        <w:tc>
          <w:tcPr>
            <w:tcW w:w="640" w:type="dxa"/>
            <w:vAlign w:val="bottom"/>
            <w:tcBorders>
              <w:top w:val="single" w:sz="8" w:color="CCEEFF"/>
            </w:tcBorders>
            <w:shd w:val="clear" w:color="auto" w:fill="CCEEFF"/>
          </w:tcPr>
          <w:p>
            <w:pPr>
              <w:jc w:val="right"/>
              <w:ind w:right="17"/>
              <w:spacing w:after="0" w:line="193" w:lineRule="exact"/>
              <w:rPr>
                <w:sz w:val="20"/>
                <w:szCs w:val="20"/>
                <w:color w:val="auto"/>
              </w:rPr>
            </w:pPr>
            <w:r>
              <w:rPr>
                <w:rFonts w:ascii="Arial" w:cs="Arial" w:eastAsia="Arial" w:hAnsi="Arial"/>
                <w:sz w:val="18"/>
                <w:szCs w:val="18"/>
                <w:color w:val="auto"/>
              </w:rPr>
              <w:t>-25.0</w:t>
            </w:r>
          </w:p>
        </w:tc>
        <w:tc>
          <w:tcPr>
            <w:tcW w:w="760" w:type="dxa"/>
            <w:vAlign w:val="bottom"/>
            <w:tcBorders>
              <w:top w:val="single" w:sz="8" w:color="CCEEFF"/>
              <w:right w:val="single" w:sz="8" w:color="auto"/>
            </w:tcBorders>
            <w:shd w:val="clear" w:color="auto" w:fill="CCEEFF"/>
          </w:tcPr>
          <w:p>
            <w:pPr>
              <w:jc w:val="right"/>
              <w:ind w:right="37"/>
              <w:spacing w:after="0" w:line="193" w:lineRule="exact"/>
              <w:rPr>
                <w:sz w:val="20"/>
                <w:szCs w:val="20"/>
                <w:color w:val="auto"/>
              </w:rPr>
            </w:pPr>
            <w:r>
              <w:rPr>
                <w:rFonts w:ascii="Arial" w:cs="Arial" w:eastAsia="Arial" w:hAnsi="Arial"/>
                <w:sz w:val="18"/>
                <w:szCs w:val="18"/>
                <w:color w:val="auto"/>
              </w:rPr>
              <w:t>-28.0</w:t>
            </w:r>
          </w:p>
        </w:tc>
        <w:tc>
          <w:tcPr>
            <w:tcW w:w="1040" w:type="dxa"/>
            <w:vAlign w:val="bottom"/>
            <w:tcBorders>
              <w:top w:val="single" w:sz="8" w:color="CCEEFF"/>
            </w:tcBorders>
            <w:shd w:val="clear" w:color="auto" w:fill="CCEEFF"/>
          </w:tcPr>
          <w:p>
            <w:pPr>
              <w:jc w:val="right"/>
              <w:ind w:right="36"/>
              <w:spacing w:after="0" w:line="193" w:lineRule="exact"/>
              <w:rPr>
                <w:sz w:val="20"/>
                <w:szCs w:val="20"/>
                <w:color w:val="auto"/>
              </w:rPr>
            </w:pPr>
            <w:r>
              <w:rPr>
                <w:rFonts w:ascii="Arial" w:cs="Arial" w:eastAsia="Arial" w:hAnsi="Arial"/>
                <w:sz w:val="18"/>
                <w:szCs w:val="18"/>
                <w:color w:val="auto"/>
              </w:rPr>
              <w:t>40,771</w:t>
            </w:r>
          </w:p>
        </w:tc>
        <w:tc>
          <w:tcPr>
            <w:tcW w:w="1000" w:type="dxa"/>
            <w:vAlign w:val="bottom"/>
            <w:tcBorders>
              <w:top w:val="single" w:sz="8" w:color="CCEEFF"/>
            </w:tcBorders>
            <w:shd w:val="clear" w:color="auto" w:fill="CCEEFF"/>
          </w:tcPr>
          <w:p>
            <w:pPr>
              <w:jc w:val="right"/>
              <w:ind w:right="95"/>
              <w:spacing w:after="0" w:line="193" w:lineRule="exact"/>
              <w:rPr>
                <w:sz w:val="20"/>
                <w:szCs w:val="20"/>
                <w:color w:val="auto"/>
              </w:rPr>
            </w:pPr>
            <w:r>
              <w:rPr>
                <w:rFonts w:ascii="Arial" w:cs="Arial" w:eastAsia="Arial" w:hAnsi="Arial"/>
                <w:sz w:val="18"/>
                <w:szCs w:val="18"/>
                <w:color w:val="auto"/>
              </w:rPr>
              <w:t>75,583</w:t>
            </w:r>
          </w:p>
        </w:tc>
        <w:tc>
          <w:tcPr>
            <w:tcW w:w="580" w:type="dxa"/>
            <w:vAlign w:val="bottom"/>
            <w:tcBorders>
              <w:top w:val="single" w:sz="8" w:color="CCEEFF"/>
              <w:right w:val="single" w:sz="8" w:color="auto"/>
            </w:tcBorders>
            <w:shd w:val="clear" w:color="auto" w:fill="CCEEFF"/>
          </w:tcPr>
          <w:p>
            <w:pPr>
              <w:jc w:val="right"/>
              <w:ind w:right="37"/>
              <w:spacing w:after="0" w:line="193" w:lineRule="exact"/>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6,261</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8,680</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-27.9</w:t>
            </w:r>
          </w:p>
        </w:tc>
        <w:tc>
          <w:tcPr>
            <w:tcW w:w="7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-30.8</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46,819</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86,929</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42,359</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69,720</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-39.2</w:t>
            </w:r>
          </w:p>
        </w:tc>
        <w:tc>
          <w:tcPr>
            <w:tcW w:w="7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-41.7</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413,174</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583,476</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Pontiac Total</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10,869</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21,838</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-50.2</w:t>
            </w:r>
          </w:p>
        </w:tc>
        <w:tc>
          <w:tcPr>
            <w:tcW w:w="7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-52.2</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142,723</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208,790</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Saab Total</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346</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1,457</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-76.3</w:t>
            </w:r>
          </w:p>
        </w:tc>
        <w:tc>
          <w:tcPr>
            <w:tcW w:w="7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-77.2</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5,084</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14,528</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Saturn Total</w:t>
            </w: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1,690</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7,807</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-78.4</w:t>
            </w:r>
          </w:p>
        </w:tc>
        <w:tc>
          <w:tcPr>
            <w:tcW w:w="7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-79.2</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24,311</w:t>
            </w: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68,417</w:t>
            </w:r>
          </w:p>
        </w:tc>
        <w:tc>
          <w:tcPr>
            <w:tcW w:w="5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0"/>
        </w:trPr>
        <w:tc>
          <w:tcPr>
            <w:tcW w:w="5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Car Total</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68,232</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118,440</w:t>
            </w: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-42.4</w:t>
            </w:r>
          </w:p>
        </w:tc>
        <w:tc>
          <w:tcPr>
            <w:tcW w:w="7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-44.7</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672,882</w:t>
            </w: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1,037,723</w:t>
            </w:r>
          </w:p>
        </w:tc>
        <w:tc>
          <w:tcPr>
            <w:tcW w:w="5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5"/>
        </w:trPr>
        <w:tc>
          <w:tcPr>
            <w:tcW w:w="5740" w:type="dxa"/>
            <w:vAlign w:val="bottom"/>
          </w:tcPr>
          <w:p>
            <w:pPr>
              <w:spacing w:after="0"/>
              <w:rPr>
                <w:sz w:val="20"/>
                <w:szCs w:val="20"/>
                <w:color w:val="auto"/>
              </w:rPr>
            </w:pPr>
            <w:r>
              <w:rPr>
                <w:rFonts w:ascii="Arial" w:cs="Arial" w:eastAsia="Arial" w:hAnsi="Arial"/>
                <w:sz w:val="18"/>
                <w:szCs w:val="18"/>
                <w:color w:val="auto"/>
              </w:rPr>
              <w:t>GM Light Truck Deliveries by Marketing Division</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57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5740" w:type="dxa"/>
            <w:vAlign w:val="bottom"/>
            <w:tcBorders>
              <w:left w:val="single" w:sz="8" w:color="auto"/>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right"/>
              <w:ind w:right="17"/>
              <w:spacing w:after="0" w:line="131" w:lineRule="exact"/>
              <w:rPr>
                <w:sz w:val="20"/>
                <w:szCs w:val="20"/>
                <w:color w:val="auto"/>
              </w:rPr>
            </w:pPr>
            <w:r>
              <w:rPr>
                <w:rFonts w:ascii="Arial" w:cs="Arial" w:eastAsia="Arial" w:hAnsi="Arial"/>
                <w:sz w:val="14"/>
                <w:szCs w:val="14"/>
                <w:color w:val="auto"/>
              </w:rPr>
              <w:t>%Chg</w:t>
            </w:r>
          </w:p>
        </w:tc>
        <w:tc>
          <w:tcPr>
            <w:tcW w:w="760" w:type="dxa"/>
            <w:vAlign w:val="bottom"/>
            <w:tcBorders>
              <w:right w:val="single" w:sz="8" w:color="auto"/>
            </w:tcBorders>
          </w:tcPr>
          <w:p>
            <w:pPr>
              <w:jc w:val="right"/>
              <w:ind w:right="17"/>
              <w:spacing w:after="0" w:line="131" w:lineRule="exact"/>
              <w:rPr>
                <w:sz w:val="20"/>
                <w:szCs w:val="20"/>
                <w:color w:val="auto"/>
              </w:rPr>
            </w:pPr>
            <w:r>
              <w:rPr>
                <w:rFonts w:ascii="Arial" w:cs="Arial" w:eastAsia="Arial" w:hAnsi="Arial"/>
                <w:sz w:val="14"/>
                <w:szCs w:val="14"/>
                <w:color w:val="auto"/>
              </w:rPr>
              <w:t>%Chg per</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Borders>
              <w:right w:val="single" w:sz="8" w:color="auto"/>
            </w:tcBorders>
          </w:tcPr>
          <w:p>
            <w:pPr>
              <w:jc w:val="right"/>
              <w:ind w:right="37"/>
              <w:spacing w:after="0" w:line="131" w:lineRule="exact"/>
              <w:rPr>
                <w:sz w:val="20"/>
                <w:szCs w:val="20"/>
                <w:color w:val="auto"/>
              </w:rPr>
            </w:pPr>
            <w:r>
              <w:rPr>
                <w:rFonts w:ascii="Arial" w:cs="Arial" w:eastAsia="Arial" w:hAnsi="Arial"/>
                <w:sz w:val="14"/>
                <w:szCs w:val="14"/>
                <w:color w:val="auto"/>
              </w:rPr>
              <w:t>%Chg</w:t>
            </w:r>
          </w:p>
        </w:tc>
        <w:tc>
          <w:tcPr>
            <w:tcW w:w="0" w:type="dxa"/>
            <w:vAlign w:val="bottom"/>
          </w:tcPr>
          <w:p>
            <w:pPr>
              <w:spacing w:after="0"/>
              <w:rPr>
                <w:sz w:val="1"/>
                <w:szCs w:val="1"/>
                <w:color w:val="auto"/>
              </w:rPr>
            </w:pPr>
          </w:p>
        </w:tc>
      </w:tr>
      <w:tr>
        <w:trPr>
          <w:trHeight w:val="159"/>
        </w:trPr>
        <w:tc>
          <w:tcPr>
            <w:tcW w:w="5740" w:type="dxa"/>
            <w:vAlign w:val="bottom"/>
            <w:tcBorders>
              <w:left w:val="single" w:sz="8" w:color="auto"/>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jc w:val="right"/>
              <w:ind w:right="35"/>
              <w:spacing w:after="0" w:line="159" w:lineRule="exact"/>
              <w:rPr>
                <w:sz w:val="20"/>
                <w:szCs w:val="20"/>
                <w:color w:val="auto"/>
              </w:rPr>
            </w:pPr>
            <w:r>
              <w:rPr>
                <w:rFonts w:ascii="Arial" w:cs="Arial" w:eastAsia="Arial" w:hAnsi="Arial"/>
                <w:sz w:val="14"/>
                <w:szCs w:val="14"/>
                <w:color w:val="auto"/>
              </w:rPr>
              <w:t>2009</w:t>
            </w:r>
          </w:p>
        </w:tc>
        <w:tc>
          <w:tcPr>
            <w:tcW w:w="78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tcBorders>
          </w:tcPr>
          <w:p>
            <w:pPr>
              <w:jc w:val="right"/>
              <w:ind w:right="17"/>
              <w:spacing w:after="0" w:line="159" w:lineRule="exact"/>
              <w:rPr>
                <w:sz w:val="20"/>
                <w:szCs w:val="20"/>
                <w:color w:val="auto"/>
              </w:rPr>
            </w:pPr>
            <w:r>
              <w:rPr>
                <w:rFonts w:ascii="Arial" w:cs="Arial" w:eastAsia="Arial" w:hAnsi="Arial"/>
                <w:sz w:val="14"/>
                <w:szCs w:val="14"/>
                <w:color w:val="auto"/>
              </w:rPr>
              <w:t>Volume</w:t>
            </w:r>
          </w:p>
        </w:tc>
        <w:tc>
          <w:tcPr>
            <w:tcW w:w="760" w:type="dxa"/>
            <w:vAlign w:val="bottom"/>
            <w:tcBorders>
              <w:bottom w:val="single" w:sz="8" w:color="auto"/>
              <w:right w:val="single" w:sz="8" w:color="auto"/>
            </w:tcBorders>
          </w:tcPr>
          <w:p>
            <w:pPr>
              <w:jc w:val="right"/>
              <w:ind w:right="17"/>
              <w:spacing w:after="0" w:line="159" w:lineRule="exact"/>
              <w:rPr>
                <w:sz w:val="20"/>
                <w:szCs w:val="20"/>
                <w:color w:val="auto"/>
              </w:rPr>
            </w:pPr>
            <w:r>
              <w:rPr>
                <w:rFonts w:ascii="Arial" w:cs="Arial" w:eastAsia="Arial" w:hAnsi="Arial"/>
                <w:sz w:val="14"/>
                <w:szCs w:val="14"/>
                <w:color w:val="auto"/>
              </w:rPr>
              <w:t>S/D</w:t>
            </w:r>
          </w:p>
        </w:tc>
        <w:tc>
          <w:tcPr>
            <w:tcW w:w="1040" w:type="dxa"/>
            <w:vAlign w:val="bottom"/>
            <w:tcBorders>
              <w:bottom w:val="single" w:sz="8" w:color="auto"/>
            </w:tcBorders>
          </w:tcPr>
          <w:p>
            <w:pPr>
              <w:jc w:val="right"/>
              <w:ind w:right="36"/>
              <w:spacing w:after="0" w:line="159" w:lineRule="exact"/>
              <w:rPr>
                <w:sz w:val="20"/>
                <w:szCs w:val="20"/>
                <w:color w:val="auto"/>
              </w:rPr>
            </w:pPr>
            <w:r>
              <w:rPr>
                <w:rFonts w:ascii="Arial" w:cs="Arial" w:eastAsia="Arial" w:hAnsi="Arial"/>
                <w:sz w:val="14"/>
                <w:szCs w:val="14"/>
                <w:color w:val="auto"/>
              </w:rPr>
              <w:t>2009</w:t>
            </w:r>
          </w:p>
        </w:tc>
        <w:tc>
          <w:tcPr>
            <w:tcW w:w="1000" w:type="dxa"/>
            <w:vAlign w:val="bottom"/>
            <w:tcBorders>
              <w:bottom w:val="single" w:sz="8" w:color="auto"/>
            </w:tcBorders>
          </w:tcPr>
          <w:p>
            <w:pPr>
              <w:jc w:val="right"/>
              <w:ind w:right="95"/>
              <w:spacing w:after="0" w:line="159" w:lineRule="exact"/>
              <w:rPr>
                <w:sz w:val="20"/>
                <w:szCs w:val="20"/>
                <w:color w:val="auto"/>
              </w:rPr>
            </w:pPr>
            <w:r>
              <w:rPr>
                <w:rFonts w:ascii="Arial" w:cs="Arial" w:eastAsia="Arial" w:hAnsi="Arial"/>
                <w:sz w:val="14"/>
                <w:szCs w:val="14"/>
                <w:color w:val="auto"/>
              </w:rPr>
              <w:t>2008</w:t>
            </w:r>
          </w:p>
        </w:tc>
        <w:tc>
          <w:tcPr>
            <w:tcW w:w="580" w:type="dxa"/>
            <w:vAlign w:val="bottom"/>
            <w:tcBorders>
              <w:bottom w:val="single" w:sz="8" w:color="auto"/>
              <w:right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210"/>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Buick Total</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2,748</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5,183</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-47.0</w:t>
            </w:r>
          </w:p>
        </w:tc>
        <w:tc>
          <w:tcPr>
            <w:tcW w:w="7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-49.1</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31,618</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37,547</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5,078</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3,752</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35.3</w:t>
            </w:r>
          </w:p>
        </w:tc>
        <w:tc>
          <w:tcPr>
            <w:tcW w:w="7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29.9</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26,205</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42,639</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59,693</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102,448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-41.7</w:t>
            </w:r>
          </w:p>
        </w:tc>
        <w:tc>
          <w:tcPr>
            <w:tcW w:w="7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-44.1</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574,738</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868,734</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Total</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17,851</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38,170</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-53.2</w:t>
            </w:r>
          </w:p>
        </w:tc>
        <w:tc>
          <w:tcPr>
            <w:tcW w:w="7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-55.1</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176,423</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293,474</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HUMMER Total</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426</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2,298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-81.5</w:t>
            </w:r>
          </w:p>
        </w:tc>
        <w:tc>
          <w:tcPr>
            <w:tcW w:w="7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-82.2</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8,193</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22,493</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Pontiac Total</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210</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1,486</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-85.9</w:t>
            </w:r>
          </w:p>
        </w:tc>
        <w:tc>
          <w:tcPr>
            <w:tcW w:w="76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-86.4</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9,095</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16,918</w:t>
            </w:r>
          </w:p>
        </w:tc>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Saab Total</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138</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-55.2</w:t>
            </w:r>
          </w:p>
        </w:tc>
        <w:tc>
          <w:tcPr>
            <w:tcW w:w="76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-57.0</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1,844</w:t>
            </w: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2,834</w:t>
            </w:r>
          </w:p>
        </w:tc>
        <w:tc>
          <w:tcPr>
            <w:tcW w:w="58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57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Saturn Total</w:t>
            </w: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1,303</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10,721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-87.8</w:t>
            </w:r>
          </w:p>
        </w:tc>
        <w:tc>
          <w:tcPr>
            <w:tcW w:w="76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-88.3</w:t>
            </w: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35,905</w:t>
            </w: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90,304</w:t>
            </w:r>
          </w:p>
        </w:tc>
        <w:tc>
          <w:tcPr>
            <w:tcW w:w="580" w:type="dxa"/>
            <w:vAlign w:val="bottom"/>
            <w:tcBorders>
              <w:bottom w:val="single" w:sz="8" w:color="auto"/>
              <w:right w:val="single" w:sz="8" w:color="auto"/>
            </w:tcBorders>
          </w:tcPr>
          <w:p>
            <w:pPr>
              <w:jc w:val="right"/>
              <w:ind w:right="37"/>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6"/>
        </w:trPr>
        <w:tc>
          <w:tcPr>
            <w:tcW w:w="57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Light Truck Total</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87,447</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164,366</w:t>
            </w: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-46.8</w:t>
            </w:r>
          </w:p>
        </w:tc>
        <w:tc>
          <w:tcPr>
            <w:tcW w:w="76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-48.9</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864,021</w:t>
            </w: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1,374,943</w:t>
            </w:r>
          </w:p>
        </w:tc>
        <w:tc>
          <w:tcPr>
            <w:tcW w:w="58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774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774065"/>
                    </a:xfrm>
                    <a:prstGeom prst="rect">
                      <a:avLst/>
                    </a:prstGeom>
                    <a:noFill/>
                  </pic:spPr>
                </pic:pic>
              </a:graphicData>
            </a:graphic>
          </wp:anchor>
        </w:drawing>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Twenty-five selling days (S/D) for the September period this year and twenty-four for last year.</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**EffectiveAugust 2007, GM includes GMC &amp; Chevrolet dealer deliveries of commercial vehicles distributed by American Isuzu Motors,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Car Deliveries -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2009</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4800" w:type="dxa"/>
            <w:vAlign w:val="bottom"/>
            <w:tcBorders>
              <w:top w:val="single" w:sz="8" w:color="auto"/>
              <w:left w:val="single" w:sz="8" w:color="auto"/>
              <w:right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vMerge w:val="restart"/>
          </w:tcPr>
          <w:p>
            <w:pPr>
              <w:jc w:val="right"/>
              <w:ind w:right="473"/>
              <w:spacing w:after="0"/>
              <w:rPr>
                <w:sz w:val="20"/>
                <w:szCs w:val="20"/>
                <w:color w:val="auto"/>
              </w:rPr>
            </w:pPr>
            <w:r>
              <w:rPr>
                <w:rFonts w:ascii="Arial" w:cs="Arial" w:eastAsia="Arial" w:hAnsi="Arial"/>
                <w:sz w:val="14"/>
                <w:szCs w:val="14"/>
                <w:color w:val="auto"/>
              </w:rPr>
              <w:t>Septembr</w:t>
            </w:r>
          </w:p>
        </w:tc>
        <w:tc>
          <w:tcPr>
            <w:tcW w:w="840" w:type="dxa"/>
            <w:vAlign w:val="bottom"/>
            <w:tcBorders>
              <w:top w:val="single" w:sz="8" w:color="auto"/>
              <w:right w:val="single" w:sz="8" w:color="auto"/>
            </w:tcBorders>
          </w:tcPr>
          <w:p>
            <w:pPr>
              <w:spacing w:after="0"/>
              <w:rPr>
                <w:sz w:val="13"/>
                <w:szCs w:val="13"/>
                <w:color w:val="auto"/>
              </w:rPr>
            </w:pPr>
          </w:p>
        </w:tc>
        <w:tc>
          <w:tcPr>
            <w:tcW w:w="2360" w:type="dxa"/>
            <w:vAlign w:val="bottom"/>
            <w:tcBorders>
              <w:top w:val="single" w:sz="8" w:color="auto"/>
            </w:tcBorders>
            <w:gridSpan w:val="2"/>
          </w:tcPr>
          <w:p>
            <w:pPr>
              <w:jc w:val="right"/>
              <w:ind w:right="13"/>
              <w:spacing w:after="0" w:line="151" w:lineRule="exact"/>
              <w:rPr>
                <w:sz w:val="20"/>
                <w:szCs w:val="20"/>
                <w:color w:val="auto"/>
              </w:rPr>
            </w:pPr>
            <w:r>
              <w:rPr>
                <w:rFonts w:ascii="Arial" w:cs="Arial" w:eastAsia="Arial" w:hAnsi="Arial"/>
                <w:sz w:val="14"/>
                <w:szCs w:val="14"/>
                <w:color w:val="auto"/>
              </w:rPr>
              <w:t>(Calendar Year-to-Date)</w:t>
            </w:r>
          </w:p>
        </w:tc>
        <w:tc>
          <w:tcPr>
            <w:tcW w:w="6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800" w:type="dxa"/>
            <w:vAlign w:val="bottom"/>
            <w:tcBorders>
              <w:left w:val="single" w:sz="8" w:color="auto"/>
              <w:right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vMerge w:val="restart"/>
          </w:tcPr>
          <w:p>
            <w:pPr>
              <w:jc w:val="right"/>
              <w:ind w:right="113"/>
              <w:spacing w:after="0"/>
              <w:rPr>
                <w:sz w:val="20"/>
                <w:szCs w:val="20"/>
                <w:color w:val="auto"/>
              </w:rPr>
            </w:pPr>
            <w:r>
              <w:rPr>
                <w:rFonts w:ascii="Arial" w:cs="Arial" w:eastAsia="Arial" w:hAnsi="Arial"/>
                <w:sz w:val="14"/>
                <w:szCs w:val="14"/>
                <w:color w:val="auto"/>
                <w:w w:val="87"/>
              </w:rPr>
              <w:t>January - September</w:t>
            </w: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800" w:type="dxa"/>
            <w:vAlign w:val="bottom"/>
            <w:tcBorders>
              <w:left w:val="single" w:sz="8" w:color="auto"/>
              <w:right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4800" w:type="dxa"/>
            <w:vAlign w:val="bottom"/>
            <w:tcBorders>
              <w:left w:val="single" w:sz="8" w:color="auto"/>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jc w:val="right"/>
              <w:ind w:right="113"/>
              <w:spacing w:after="0" w:line="132" w:lineRule="exact"/>
              <w:rPr>
                <w:sz w:val="20"/>
                <w:szCs w:val="20"/>
                <w:color w:val="auto"/>
              </w:rPr>
            </w:pPr>
            <w:r>
              <w:rPr>
                <w:rFonts w:ascii="Arial" w:cs="Arial" w:eastAsia="Arial" w:hAnsi="Arial"/>
                <w:sz w:val="14"/>
                <w:szCs w:val="14"/>
                <w:color w:val="auto"/>
              </w:rPr>
              <w:t>% Chg</w:t>
            </w:r>
          </w:p>
        </w:tc>
        <w:tc>
          <w:tcPr>
            <w:tcW w:w="840" w:type="dxa"/>
            <w:vAlign w:val="bottom"/>
            <w:tcBorders>
              <w:right w:val="single" w:sz="8" w:color="auto"/>
            </w:tcBorders>
          </w:tcPr>
          <w:p>
            <w:pPr>
              <w:jc w:val="right"/>
              <w:ind w:right="13"/>
              <w:spacing w:after="0" w:line="132" w:lineRule="exact"/>
              <w:rPr>
                <w:sz w:val="20"/>
                <w:szCs w:val="20"/>
                <w:color w:val="auto"/>
              </w:rPr>
            </w:pPr>
            <w:r>
              <w:rPr>
                <w:rFonts w:ascii="Arial" w:cs="Arial" w:eastAsia="Arial" w:hAnsi="Arial"/>
                <w:sz w:val="14"/>
                <w:szCs w:val="14"/>
                <w:color w:val="auto"/>
              </w:rPr>
              <w:t>%Chg per</w:t>
            </w:r>
          </w:p>
        </w:tc>
        <w:tc>
          <w:tcPr>
            <w:tcW w:w="10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40" w:type="dxa"/>
            <w:vAlign w:val="bottom"/>
            <w:tcBorders>
              <w:right w:val="single" w:sz="8" w:color="auto"/>
            </w:tcBorders>
          </w:tcPr>
          <w:p>
            <w:pPr>
              <w:jc w:val="right"/>
              <w:ind w:right="33"/>
              <w:spacing w:after="0" w:line="132" w:lineRule="exact"/>
              <w:rPr>
                <w:sz w:val="20"/>
                <w:szCs w:val="20"/>
                <w:color w:val="auto"/>
              </w:rPr>
            </w:pPr>
            <w:r>
              <w:rPr>
                <w:rFonts w:ascii="Arial" w:cs="Arial" w:eastAsia="Arial" w:hAnsi="Arial"/>
                <w:sz w:val="14"/>
                <w:szCs w:val="14"/>
                <w:color w:val="auto"/>
              </w:rPr>
              <w:t>%Chg</w:t>
            </w:r>
          </w:p>
        </w:tc>
        <w:tc>
          <w:tcPr>
            <w:tcW w:w="0" w:type="dxa"/>
            <w:vAlign w:val="bottom"/>
          </w:tcPr>
          <w:p>
            <w:pPr>
              <w:spacing w:after="0"/>
              <w:rPr>
                <w:sz w:val="1"/>
                <w:szCs w:val="1"/>
                <w:color w:val="auto"/>
              </w:rPr>
            </w:pPr>
          </w:p>
        </w:tc>
      </w:tr>
      <w:tr>
        <w:trPr>
          <w:trHeight w:val="173"/>
        </w:trPr>
        <w:tc>
          <w:tcPr>
            <w:tcW w:w="4800" w:type="dxa"/>
            <w:vAlign w:val="bottom"/>
            <w:tcBorders>
              <w:left w:val="single" w:sz="8" w:color="auto"/>
              <w:bottom w:val="single" w:sz="8" w:color="auto"/>
              <w:right w:val="single" w:sz="8" w:color="auto"/>
            </w:tcBorders>
          </w:tcPr>
          <w:p>
            <w:pPr>
              <w:spacing w:after="0"/>
              <w:rPr>
                <w:sz w:val="15"/>
                <w:szCs w:val="15"/>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2009</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2008</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Volume</w:t>
            </w:r>
          </w:p>
        </w:tc>
        <w:tc>
          <w:tcPr>
            <w:tcW w:w="8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4"/>
                <w:szCs w:val="14"/>
                <w:color w:val="auto"/>
              </w:rPr>
              <w:t>S/D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4"/>
                <w:szCs w:val="14"/>
                <w:color w:val="auto"/>
              </w:rPr>
              <w:t>Volume</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8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24</w:t>
            </w:r>
          </w:p>
        </w:tc>
        <w:tc>
          <w:tcPr>
            <w:tcW w:w="6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LaCrosse</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2,383</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2,699</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-11.7</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-15.2</w:t>
            </w:r>
          </w:p>
        </w:tc>
        <w:tc>
          <w:tcPr>
            <w:tcW w:w="1000" w:type="dxa"/>
            <w:vAlign w:val="bottom"/>
          </w:tcPr>
          <w:p>
            <w:pPr>
              <w:jc w:val="right"/>
              <w:spacing w:after="0"/>
              <w:rPr>
                <w:sz w:val="20"/>
                <w:szCs w:val="20"/>
                <w:color w:val="auto"/>
              </w:rPr>
            </w:pPr>
            <w:r>
              <w:rPr>
                <w:rFonts w:ascii="Arial" w:cs="Arial" w:eastAsia="Arial" w:hAnsi="Arial"/>
                <w:sz w:val="18"/>
                <w:szCs w:val="18"/>
                <w:color w:val="auto"/>
              </w:rPr>
              <w:t>16,609</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31,744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Lucerne</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4,324</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6,239</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-30.7</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24,162</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43,839</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2"/>
              </w:rPr>
              <w:t>Buick Total</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6,707</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8,938</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-25.0</w:t>
            </w:r>
          </w:p>
        </w:tc>
        <w:tc>
          <w:tcPr>
            <w:tcW w:w="8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-28.0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40,771</w:t>
            </w: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75,583</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CTS</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3,485</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4,360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-20.1</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29,011</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47,479</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DTS</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2,282</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3,381</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-32.5</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-35.2</w:t>
            </w:r>
          </w:p>
        </w:tc>
        <w:tc>
          <w:tcPr>
            <w:tcW w:w="1000" w:type="dxa"/>
            <w:vAlign w:val="bottom"/>
          </w:tcPr>
          <w:p>
            <w:pPr>
              <w:jc w:val="right"/>
              <w:spacing w:after="0"/>
              <w:rPr>
                <w:sz w:val="20"/>
                <w:szCs w:val="20"/>
                <w:color w:val="auto"/>
              </w:rPr>
            </w:pPr>
            <w:r>
              <w:rPr>
                <w:rFonts w:ascii="Arial" w:cs="Arial" w:eastAsia="Arial" w:hAnsi="Arial"/>
                <w:sz w:val="18"/>
                <w:szCs w:val="18"/>
                <w:color w:val="auto"/>
              </w:rPr>
              <w:t>12,125</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25,790</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STS</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434</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856</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-49.3</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12,621</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XLR</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60</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83</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-27.7</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-30.6</w:t>
            </w:r>
          </w:p>
        </w:tc>
        <w:tc>
          <w:tcPr>
            <w:tcW w:w="1000" w:type="dxa"/>
            <w:vAlign w:val="bottom"/>
          </w:tcPr>
          <w:p>
            <w:pPr>
              <w:jc w:val="right"/>
              <w:spacing w:after="0"/>
              <w:rPr>
                <w:sz w:val="20"/>
                <w:szCs w:val="20"/>
                <w:color w:val="auto"/>
              </w:rPr>
            </w:pPr>
            <w:r>
              <w:rPr>
                <w:rFonts w:ascii="Arial" w:cs="Arial" w:eastAsia="Arial" w:hAnsi="Arial"/>
                <w:sz w:val="18"/>
                <w:szCs w:val="18"/>
                <w:color w:val="auto"/>
              </w:rPr>
              <w:t>640</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1,039</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Cadillac Total</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6,261</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8,680</w:t>
            </w: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-27.9</w:t>
            </w:r>
          </w:p>
        </w:tc>
        <w:tc>
          <w:tcPr>
            <w:tcW w:w="8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46,819</w:t>
            </w:r>
          </w:p>
        </w:tc>
        <w:tc>
          <w:tcPr>
            <w:tcW w:w="1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86,929</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Aveo</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1,906</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4,006</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-52.4</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-54.3</w:t>
            </w:r>
          </w:p>
        </w:tc>
        <w:tc>
          <w:tcPr>
            <w:tcW w:w="1000" w:type="dxa"/>
            <w:vAlign w:val="bottom"/>
          </w:tcPr>
          <w:p>
            <w:pPr>
              <w:jc w:val="right"/>
              <w:spacing w:after="0"/>
              <w:rPr>
                <w:sz w:val="20"/>
                <w:szCs w:val="20"/>
                <w:color w:val="auto"/>
              </w:rPr>
            </w:pPr>
            <w:r>
              <w:rPr>
                <w:rFonts w:ascii="Arial" w:cs="Arial" w:eastAsia="Arial" w:hAnsi="Arial"/>
                <w:sz w:val="18"/>
                <w:szCs w:val="18"/>
                <w:color w:val="auto"/>
              </w:rPr>
              <w:t>31,486</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46,620</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Camaro</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7,961</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39,151</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Cobalt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7,381</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16,521</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-55.3</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-57.1</w:t>
            </w:r>
          </w:p>
        </w:tc>
        <w:tc>
          <w:tcPr>
            <w:tcW w:w="1000" w:type="dxa"/>
            <w:vAlign w:val="bottom"/>
          </w:tcPr>
          <w:p>
            <w:pPr>
              <w:jc w:val="right"/>
              <w:spacing w:after="0"/>
              <w:rPr>
                <w:sz w:val="20"/>
                <w:szCs w:val="20"/>
                <w:color w:val="auto"/>
              </w:rPr>
            </w:pPr>
            <w:r>
              <w:rPr>
                <w:rFonts w:ascii="Arial" w:cs="Arial" w:eastAsia="Arial" w:hAnsi="Arial"/>
                <w:sz w:val="18"/>
                <w:szCs w:val="18"/>
                <w:color w:val="auto"/>
              </w:rPr>
              <w:t>85,885</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162,462</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Corvette</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1,585</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2,318</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-31.6</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23,384</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Impala</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13,047</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27,143</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-51.9</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-53.9</w:t>
            </w:r>
          </w:p>
        </w:tc>
        <w:tc>
          <w:tcPr>
            <w:tcW w:w="1000" w:type="dxa"/>
            <w:vAlign w:val="bottom"/>
          </w:tcPr>
          <w:p>
            <w:pPr>
              <w:jc w:val="right"/>
              <w:spacing w:after="0"/>
              <w:rPr>
                <w:sz w:val="20"/>
                <w:szCs w:val="20"/>
                <w:color w:val="auto"/>
              </w:rPr>
            </w:pPr>
            <w:r>
              <w:rPr>
                <w:rFonts w:ascii="Arial" w:cs="Arial" w:eastAsia="Arial" w:hAnsi="Arial"/>
                <w:sz w:val="18"/>
                <w:szCs w:val="18"/>
                <w:color w:val="auto"/>
              </w:rPr>
              <w:t>126,856</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209,734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Malibu</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10,479</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19,725</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-46.9</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118,995</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140,555</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Monte Carlo</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708</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SSR</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0"/>
              </w:rPr>
              <w:t>Chevrolet Total</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42,359</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69,720</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-39.2</w:t>
            </w:r>
          </w:p>
        </w:tc>
        <w:tc>
          <w:tcPr>
            <w:tcW w:w="8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413,174</w:t>
            </w: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583,476</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G3 Wave</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312</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G5</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363</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3,280</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-88.9</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-89.4</w:t>
            </w:r>
          </w:p>
        </w:tc>
        <w:tc>
          <w:tcPr>
            <w:tcW w:w="1000" w:type="dxa"/>
            <w:vAlign w:val="bottom"/>
          </w:tcPr>
          <w:p>
            <w:pPr>
              <w:jc w:val="right"/>
              <w:spacing w:after="0"/>
              <w:rPr>
                <w:sz w:val="20"/>
                <w:szCs w:val="20"/>
                <w:color w:val="auto"/>
              </w:rPr>
            </w:pPr>
            <w:r>
              <w:rPr>
                <w:rFonts w:ascii="Arial" w:cs="Arial" w:eastAsia="Arial" w:hAnsi="Arial"/>
                <w:sz w:val="18"/>
                <w:szCs w:val="18"/>
                <w:color w:val="auto"/>
              </w:rPr>
              <w:t>10,409</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21,080</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G6</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8,097</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10,326</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-21.6</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69,045</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119,706</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G8</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1,005</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1,651</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-39.1</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-41.6</w:t>
            </w:r>
          </w:p>
        </w:tc>
        <w:tc>
          <w:tcPr>
            <w:tcW w:w="1000" w:type="dxa"/>
            <w:vAlign w:val="bottom"/>
          </w:tcPr>
          <w:p>
            <w:pPr>
              <w:jc w:val="right"/>
              <w:spacing w:after="0"/>
              <w:rPr>
                <w:sz w:val="20"/>
                <w:szCs w:val="20"/>
                <w:color w:val="auto"/>
              </w:rPr>
            </w:pPr>
            <w:r>
              <w:rPr>
                <w:rFonts w:ascii="Arial" w:cs="Arial" w:eastAsia="Arial" w:hAnsi="Arial"/>
                <w:sz w:val="18"/>
                <w:szCs w:val="18"/>
                <w:color w:val="auto"/>
              </w:rPr>
              <w:t>20,621</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11,308</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GTO</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52</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Grand Prix</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225</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-98.7</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-98.7</w:t>
            </w:r>
          </w:p>
        </w:tc>
        <w:tc>
          <w:tcPr>
            <w:tcW w:w="1000" w:type="dxa"/>
            <w:vAlign w:val="bottom"/>
          </w:tcPr>
          <w:p>
            <w:pPr>
              <w:jc w:val="right"/>
              <w:spacing w:after="0"/>
              <w:rPr>
                <w:sz w:val="20"/>
                <w:szCs w:val="20"/>
                <w:color w:val="auto"/>
              </w:rPr>
            </w:pPr>
            <w:r>
              <w:rPr>
                <w:rFonts w:ascii="Arial" w:cs="Arial" w:eastAsia="Arial" w:hAnsi="Arial"/>
                <w:sz w:val="18"/>
                <w:szCs w:val="18"/>
                <w:color w:val="auto"/>
              </w:rPr>
              <w:t>255</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8,104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Solstice</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338</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653</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-48.2</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9,683</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Vibe</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751</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5,703</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-86.8</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-87.4</w:t>
            </w:r>
          </w:p>
        </w:tc>
        <w:tc>
          <w:tcPr>
            <w:tcW w:w="1000" w:type="dxa"/>
            <w:vAlign w:val="bottom"/>
          </w:tcPr>
          <w:p>
            <w:pPr>
              <w:jc w:val="right"/>
              <w:spacing w:after="0"/>
              <w:rPr>
                <w:sz w:val="20"/>
                <w:szCs w:val="20"/>
                <w:color w:val="auto"/>
              </w:rPr>
            </w:pPr>
            <w:r>
              <w:rPr>
                <w:rFonts w:ascii="Arial" w:cs="Arial" w:eastAsia="Arial" w:hAnsi="Arial"/>
                <w:sz w:val="18"/>
                <w:szCs w:val="18"/>
                <w:color w:val="auto"/>
              </w:rPr>
              <w:t>32,948</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38,857</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Pontiac Total</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10,869</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21,838</w:t>
            </w: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-50.2</w:t>
            </w:r>
          </w:p>
        </w:tc>
        <w:tc>
          <w:tcPr>
            <w:tcW w:w="8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142,723</w:t>
            </w:r>
          </w:p>
        </w:tc>
        <w:tc>
          <w:tcPr>
            <w:tcW w:w="1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208,790</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9-2X</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9-3</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279</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1,281</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-78.2</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12,406</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9-5</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67</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176</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-61.9</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-63.5</w:t>
            </w:r>
          </w:p>
        </w:tc>
        <w:tc>
          <w:tcPr>
            <w:tcW w:w="1000" w:type="dxa"/>
            <w:vAlign w:val="bottom"/>
          </w:tcPr>
          <w:p>
            <w:pPr>
              <w:jc w:val="right"/>
              <w:spacing w:after="0"/>
              <w:rPr>
                <w:sz w:val="20"/>
                <w:szCs w:val="20"/>
                <w:color w:val="auto"/>
              </w:rPr>
            </w:pPr>
            <w:r>
              <w:rPr>
                <w:rFonts w:ascii="Arial" w:cs="Arial" w:eastAsia="Arial" w:hAnsi="Arial"/>
                <w:sz w:val="18"/>
                <w:szCs w:val="18"/>
                <w:color w:val="auto"/>
              </w:rPr>
              <w:t>852</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2,119</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4"/>
              </w:rPr>
              <w:t>Saab Total</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346</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1,457</w:t>
            </w: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-76.3</w:t>
            </w:r>
          </w:p>
        </w:tc>
        <w:tc>
          <w:tcPr>
            <w:tcW w:w="8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-77.2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14,528</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Astra</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229</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1,250</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-81.7</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-82.4</w:t>
            </w:r>
          </w:p>
        </w:tc>
        <w:tc>
          <w:tcPr>
            <w:tcW w:w="1000" w:type="dxa"/>
            <w:vAlign w:val="bottom"/>
          </w:tcPr>
          <w:p>
            <w:pPr>
              <w:jc w:val="right"/>
              <w:spacing w:after="0"/>
              <w:rPr>
                <w:sz w:val="20"/>
                <w:szCs w:val="20"/>
                <w:color w:val="auto"/>
              </w:rPr>
            </w:pPr>
            <w:r>
              <w:rPr>
                <w:rFonts w:ascii="Arial" w:cs="Arial" w:eastAsia="Arial" w:hAnsi="Arial"/>
                <w:sz w:val="18"/>
                <w:szCs w:val="18"/>
                <w:color w:val="auto"/>
              </w:rPr>
              <w:t>6,053</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9,164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Aura</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1,270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5,831</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-78.2</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50,642</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ION</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314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Sky</w:t>
            </w: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191</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724</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-73.6</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8,297</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7"/>
              </w:rPr>
              <w:t>Saturn Total</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1,690</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7,807</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-78.4</w:t>
            </w:r>
          </w:p>
        </w:tc>
        <w:tc>
          <w:tcPr>
            <w:tcW w:w="8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-79.2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24,311</w:t>
            </w: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68,417</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0"/>
              </w:rPr>
              <w:t>GM Car Total</w:t>
            </w: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68,232</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118,440</w:t>
            </w: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-42.4</w:t>
            </w:r>
          </w:p>
        </w:tc>
        <w:tc>
          <w:tcPr>
            <w:tcW w:w="8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672,882</w:t>
            </w:r>
          </w:p>
        </w:tc>
        <w:tc>
          <w:tcPr>
            <w:tcW w:w="1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1,037,723</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Truck Deliveries -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2009</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4800" w:type="dxa"/>
            <w:vAlign w:val="bottom"/>
            <w:tcBorders>
              <w:top w:val="single" w:sz="8" w:color="auto"/>
              <w:left w:val="single" w:sz="8" w:color="auto"/>
              <w:right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vMerge w:val="restart"/>
          </w:tcPr>
          <w:p>
            <w:pPr>
              <w:jc w:val="right"/>
              <w:ind w:right="453"/>
              <w:spacing w:after="0"/>
              <w:rPr>
                <w:sz w:val="20"/>
                <w:szCs w:val="20"/>
                <w:color w:val="auto"/>
              </w:rPr>
            </w:pPr>
            <w:r>
              <w:rPr>
                <w:rFonts w:ascii="Arial" w:cs="Arial" w:eastAsia="Arial" w:hAnsi="Arial"/>
                <w:sz w:val="14"/>
                <w:szCs w:val="14"/>
                <w:color w:val="auto"/>
              </w:rPr>
              <w:t>September</w:t>
            </w:r>
          </w:p>
        </w:tc>
        <w:tc>
          <w:tcPr>
            <w:tcW w:w="840" w:type="dxa"/>
            <w:vAlign w:val="bottom"/>
            <w:tcBorders>
              <w:top w:val="single" w:sz="8" w:color="auto"/>
              <w:right w:val="single" w:sz="8" w:color="auto"/>
            </w:tcBorders>
          </w:tcPr>
          <w:p>
            <w:pPr>
              <w:spacing w:after="0"/>
              <w:rPr>
                <w:sz w:val="13"/>
                <w:szCs w:val="13"/>
                <w:color w:val="auto"/>
              </w:rPr>
            </w:pPr>
          </w:p>
        </w:tc>
        <w:tc>
          <w:tcPr>
            <w:tcW w:w="2360" w:type="dxa"/>
            <w:vAlign w:val="bottom"/>
            <w:tcBorders>
              <w:top w:val="single" w:sz="8" w:color="auto"/>
            </w:tcBorders>
            <w:gridSpan w:val="2"/>
          </w:tcPr>
          <w:p>
            <w:pPr>
              <w:jc w:val="right"/>
              <w:ind w:right="13"/>
              <w:spacing w:after="0" w:line="151" w:lineRule="exact"/>
              <w:rPr>
                <w:sz w:val="20"/>
                <w:szCs w:val="20"/>
                <w:color w:val="auto"/>
              </w:rPr>
            </w:pPr>
            <w:r>
              <w:rPr>
                <w:rFonts w:ascii="Arial" w:cs="Arial" w:eastAsia="Arial" w:hAnsi="Arial"/>
                <w:sz w:val="14"/>
                <w:szCs w:val="14"/>
                <w:color w:val="auto"/>
              </w:rPr>
              <w:t>(Calendar Year-to-Date)</w:t>
            </w:r>
          </w:p>
        </w:tc>
        <w:tc>
          <w:tcPr>
            <w:tcW w:w="6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4800" w:type="dxa"/>
            <w:vAlign w:val="bottom"/>
            <w:tcBorders>
              <w:left w:val="single" w:sz="8" w:color="auto"/>
              <w:right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vMerge w:val="restart"/>
          </w:tcPr>
          <w:p>
            <w:pPr>
              <w:jc w:val="right"/>
              <w:ind w:right="113"/>
              <w:spacing w:after="0"/>
              <w:rPr>
                <w:sz w:val="20"/>
                <w:szCs w:val="20"/>
                <w:color w:val="auto"/>
              </w:rPr>
            </w:pPr>
            <w:r>
              <w:rPr>
                <w:rFonts w:ascii="Arial" w:cs="Arial" w:eastAsia="Arial" w:hAnsi="Arial"/>
                <w:sz w:val="14"/>
                <w:szCs w:val="14"/>
                <w:color w:val="auto"/>
                <w:w w:val="87"/>
              </w:rPr>
              <w:t>January - September</w:t>
            </w: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800" w:type="dxa"/>
            <w:vAlign w:val="bottom"/>
            <w:tcBorders>
              <w:left w:val="single" w:sz="8" w:color="auto"/>
              <w:right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4800" w:type="dxa"/>
            <w:vAlign w:val="bottom"/>
            <w:tcBorders>
              <w:left w:val="single" w:sz="8" w:color="auto"/>
              <w:right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jc w:val="right"/>
              <w:ind w:right="113"/>
              <w:spacing w:after="0" w:line="132" w:lineRule="exact"/>
              <w:rPr>
                <w:sz w:val="20"/>
                <w:szCs w:val="20"/>
                <w:color w:val="auto"/>
              </w:rPr>
            </w:pPr>
            <w:r>
              <w:rPr>
                <w:rFonts w:ascii="Arial" w:cs="Arial" w:eastAsia="Arial" w:hAnsi="Arial"/>
                <w:sz w:val="14"/>
                <w:szCs w:val="14"/>
                <w:color w:val="auto"/>
              </w:rPr>
              <w:t>% Chg</w:t>
            </w:r>
          </w:p>
        </w:tc>
        <w:tc>
          <w:tcPr>
            <w:tcW w:w="840" w:type="dxa"/>
            <w:vAlign w:val="bottom"/>
            <w:tcBorders>
              <w:right w:val="single" w:sz="8" w:color="auto"/>
            </w:tcBorders>
          </w:tcPr>
          <w:p>
            <w:pPr>
              <w:jc w:val="right"/>
              <w:ind w:right="13"/>
              <w:spacing w:after="0" w:line="132" w:lineRule="exact"/>
              <w:rPr>
                <w:sz w:val="20"/>
                <w:szCs w:val="20"/>
                <w:color w:val="auto"/>
              </w:rPr>
            </w:pPr>
            <w:r>
              <w:rPr>
                <w:rFonts w:ascii="Arial" w:cs="Arial" w:eastAsia="Arial" w:hAnsi="Arial"/>
                <w:sz w:val="14"/>
                <w:szCs w:val="14"/>
                <w:color w:val="auto"/>
              </w:rPr>
              <w:t>%Chg per</w:t>
            </w:r>
          </w:p>
        </w:tc>
        <w:tc>
          <w:tcPr>
            <w:tcW w:w="10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40" w:type="dxa"/>
            <w:vAlign w:val="bottom"/>
            <w:tcBorders>
              <w:right w:val="single" w:sz="8" w:color="auto"/>
            </w:tcBorders>
          </w:tcPr>
          <w:p>
            <w:pPr>
              <w:jc w:val="right"/>
              <w:ind w:right="33"/>
              <w:spacing w:after="0" w:line="132" w:lineRule="exact"/>
              <w:rPr>
                <w:sz w:val="20"/>
                <w:szCs w:val="20"/>
                <w:color w:val="auto"/>
              </w:rPr>
            </w:pPr>
            <w:r>
              <w:rPr>
                <w:rFonts w:ascii="Arial" w:cs="Arial" w:eastAsia="Arial" w:hAnsi="Arial"/>
                <w:sz w:val="14"/>
                <w:szCs w:val="14"/>
                <w:color w:val="auto"/>
              </w:rPr>
              <w:t>%Chg</w:t>
            </w:r>
          </w:p>
        </w:tc>
        <w:tc>
          <w:tcPr>
            <w:tcW w:w="0" w:type="dxa"/>
            <w:vAlign w:val="bottom"/>
          </w:tcPr>
          <w:p>
            <w:pPr>
              <w:spacing w:after="0"/>
              <w:rPr>
                <w:sz w:val="1"/>
                <w:szCs w:val="1"/>
                <w:color w:val="auto"/>
              </w:rPr>
            </w:pPr>
          </w:p>
        </w:tc>
      </w:tr>
      <w:tr>
        <w:trPr>
          <w:trHeight w:val="159"/>
        </w:trPr>
        <w:tc>
          <w:tcPr>
            <w:tcW w:w="4800" w:type="dxa"/>
            <w:vAlign w:val="bottom"/>
            <w:tcBorders>
              <w:left w:val="single" w:sz="8" w:color="auto"/>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jc w:val="right"/>
              <w:ind w:right="113"/>
              <w:spacing w:after="0" w:line="159" w:lineRule="exact"/>
              <w:rPr>
                <w:sz w:val="20"/>
                <w:szCs w:val="20"/>
                <w:color w:val="auto"/>
              </w:rPr>
            </w:pPr>
            <w:r>
              <w:rPr>
                <w:rFonts w:ascii="Arial" w:cs="Arial" w:eastAsia="Arial" w:hAnsi="Arial"/>
                <w:sz w:val="14"/>
                <w:szCs w:val="14"/>
                <w:color w:val="auto"/>
              </w:rPr>
              <w:t>2009</w:t>
            </w:r>
          </w:p>
        </w:tc>
        <w:tc>
          <w:tcPr>
            <w:tcW w:w="94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2008</w:t>
            </w:r>
          </w:p>
        </w:tc>
        <w:tc>
          <w:tcPr>
            <w:tcW w:w="800" w:type="dxa"/>
            <w:vAlign w:val="bottom"/>
            <w:tcBorders>
              <w:bottom w:val="single" w:sz="8" w:color="auto"/>
            </w:tcBorders>
          </w:tcPr>
          <w:p>
            <w:pPr>
              <w:jc w:val="right"/>
              <w:ind w:right="113"/>
              <w:spacing w:after="0" w:line="159" w:lineRule="exact"/>
              <w:rPr>
                <w:sz w:val="20"/>
                <w:szCs w:val="20"/>
                <w:color w:val="auto"/>
              </w:rPr>
            </w:pPr>
            <w:r>
              <w:rPr>
                <w:rFonts w:ascii="Arial" w:cs="Arial" w:eastAsia="Arial" w:hAnsi="Arial"/>
                <w:sz w:val="14"/>
                <w:szCs w:val="14"/>
                <w:color w:val="auto"/>
              </w:rPr>
              <w:t>Volume</w:t>
            </w:r>
          </w:p>
        </w:tc>
        <w:tc>
          <w:tcPr>
            <w:tcW w:w="840" w:type="dxa"/>
            <w:vAlign w:val="bottom"/>
            <w:tcBorders>
              <w:bottom w:val="single" w:sz="8" w:color="auto"/>
              <w:right w:val="single" w:sz="8" w:color="auto"/>
            </w:tcBorders>
          </w:tcPr>
          <w:p>
            <w:pPr>
              <w:jc w:val="right"/>
              <w:ind w:right="13"/>
              <w:spacing w:after="0" w:line="159" w:lineRule="exact"/>
              <w:rPr>
                <w:sz w:val="20"/>
                <w:szCs w:val="20"/>
                <w:color w:val="auto"/>
              </w:rPr>
            </w:pPr>
            <w:r>
              <w:rPr>
                <w:rFonts w:ascii="Arial" w:cs="Arial" w:eastAsia="Arial" w:hAnsi="Arial"/>
                <w:sz w:val="14"/>
                <w:szCs w:val="14"/>
                <w:color w:val="auto"/>
              </w:rPr>
              <w:t>S/D</w:t>
            </w:r>
          </w:p>
        </w:tc>
        <w:tc>
          <w:tcPr>
            <w:tcW w:w="10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1360" w:type="dxa"/>
            <w:vAlign w:val="bottom"/>
            <w:tcBorders>
              <w:bottom w:val="single" w:sz="8" w:color="auto"/>
            </w:tcBorders>
          </w:tcPr>
          <w:p>
            <w:pPr>
              <w:jc w:val="right"/>
              <w:ind w:right="213"/>
              <w:spacing w:after="0" w:line="159" w:lineRule="exact"/>
              <w:rPr>
                <w:sz w:val="20"/>
                <w:szCs w:val="20"/>
                <w:color w:val="auto"/>
              </w:rPr>
            </w:pPr>
            <w:r>
              <w:rPr>
                <w:rFonts w:ascii="Arial" w:cs="Arial" w:eastAsia="Arial" w:hAnsi="Arial"/>
                <w:sz w:val="14"/>
                <w:szCs w:val="14"/>
                <w:color w:val="auto"/>
              </w:rPr>
              <w:t>2008</w:t>
            </w:r>
          </w:p>
        </w:tc>
        <w:tc>
          <w:tcPr>
            <w:tcW w:w="640" w:type="dxa"/>
            <w:vAlign w:val="bottom"/>
            <w:tcBorders>
              <w:bottom w:val="single" w:sz="8" w:color="auto"/>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rPr>
              <w:t>Volume</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25</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8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24</w:t>
            </w:r>
          </w:p>
        </w:tc>
        <w:tc>
          <w:tcPr>
            <w:tcW w:w="6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Enclave</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2,748</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5,171</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-46.9</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-49.0</w:t>
            </w:r>
          </w:p>
        </w:tc>
        <w:tc>
          <w:tcPr>
            <w:tcW w:w="1000" w:type="dxa"/>
            <w:vAlign w:val="bottom"/>
          </w:tcPr>
          <w:p>
            <w:pPr>
              <w:jc w:val="right"/>
              <w:spacing w:after="0"/>
              <w:rPr>
                <w:sz w:val="20"/>
                <w:szCs w:val="20"/>
                <w:color w:val="auto"/>
              </w:rPr>
            </w:pPr>
            <w:r>
              <w:rPr>
                <w:rFonts w:ascii="Arial" w:cs="Arial" w:eastAsia="Arial" w:hAnsi="Arial"/>
                <w:sz w:val="18"/>
                <w:szCs w:val="18"/>
                <w:color w:val="auto"/>
              </w:rPr>
              <w:t>31,572</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36,900</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Rainier</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111</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Rendezvous</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23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Terraza</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513</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2"/>
              </w:rPr>
              <w:t>Buick Total</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2,748</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5,183</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-47.0</w:t>
            </w:r>
          </w:p>
        </w:tc>
        <w:tc>
          <w:tcPr>
            <w:tcW w:w="8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-49.1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31,618</w:t>
            </w: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37,547</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1,343</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1,644</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-18.3</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10,991</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17,719</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 ESV</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628</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906</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-30.7</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-33.5</w:t>
            </w:r>
          </w:p>
        </w:tc>
        <w:tc>
          <w:tcPr>
            <w:tcW w:w="1000" w:type="dxa"/>
            <w:vAlign w:val="bottom"/>
          </w:tcPr>
          <w:p>
            <w:pPr>
              <w:jc w:val="right"/>
              <w:spacing w:after="0"/>
              <w:rPr>
                <w:sz w:val="20"/>
                <w:szCs w:val="20"/>
                <w:color w:val="auto"/>
              </w:rPr>
            </w:pPr>
            <w:r>
              <w:rPr>
                <w:rFonts w:ascii="Arial" w:cs="Arial" w:eastAsia="Arial" w:hAnsi="Arial"/>
                <w:sz w:val="18"/>
                <w:szCs w:val="18"/>
                <w:color w:val="auto"/>
              </w:rPr>
              <w:t>4,607</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8,543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 EXT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241</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354</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-31.9</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3,514</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SRX</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2,866</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848</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238.0</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224.5</w:t>
            </w:r>
          </w:p>
        </w:tc>
        <w:tc>
          <w:tcPr>
            <w:tcW w:w="1000" w:type="dxa"/>
            <w:vAlign w:val="bottom"/>
          </w:tcPr>
          <w:p>
            <w:pPr>
              <w:jc w:val="right"/>
              <w:spacing w:after="0"/>
              <w:rPr>
                <w:sz w:val="20"/>
                <w:szCs w:val="20"/>
                <w:color w:val="auto"/>
              </w:rPr>
            </w:pPr>
            <w:r>
              <w:rPr>
                <w:rFonts w:ascii="Arial" w:cs="Arial" w:eastAsia="Arial" w:hAnsi="Arial"/>
                <w:sz w:val="18"/>
                <w:szCs w:val="18"/>
                <w:color w:val="auto"/>
              </w:rPr>
              <w:t>8,770</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12,863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Cadillac Total</w:t>
            </w: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5,078</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3,752</w:t>
            </w: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35.3</w:t>
            </w:r>
          </w:p>
        </w:tc>
        <w:tc>
          <w:tcPr>
            <w:tcW w:w="8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26,205</w:t>
            </w:r>
          </w:p>
        </w:tc>
        <w:tc>
          <w:tcPr>
            <w:tcW w:w="1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42,639</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Chevy C/T Series</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46</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-97.8</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-97.9</w:t>
            </w: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259</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Chevy W Series</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48</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81</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-40.7</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1,303</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Colorado</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2,094</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3,359</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-37.7</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-40.2</w:t>
            </w:r>
          </w:p>
        </w:tc>
        <w:tc>
          <w:tcPr>
            <w:tcW w:w="1000" w:type="dxa"/>
            <w:vAlign w:val="bottom"/>
          </w:tcPr>
          <w:p>
            <w:pPr>
              <w:jc w:val="right"/>
              <w:spacing w:after="0"/>
              <w:rPr>
                <w:sz w:val="20"/>
                <w:szCs w:val="20"/>
                <w:color w:val="auto"/>
              </w:rPr>
            </w:pPr>
            <w:r>
              <w:rPr>
                <w:rFonts w:ascii="Arial" w:cs="Arial" w:eastAsia="Arial" w:hAnsi="Arial"/>
                <w:sz w:val="18"/>
                <w:szCs w:val="18"/>
                <w:color w:val="auto"/>
              </w:rPr>
              <w:t>27,566</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44,844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Equinox</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6,840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3,532</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93.7</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55,982</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56,289</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Express</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4,559</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10,606</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-57.0</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-58.7</w:t>
            </w:r>
          </w:p>
        </w:tc>
        <w:tc>
          <w:tcPr>
            <w:tcW w:w="1000" w:type="dxa"/>
            <w:vAlign w:val="bottom"/>
          </w:tcPr>
          <w:p>
            <w:pPr>
              <w:jc w:val="right"/>
              <w:spacing w:after="0"/>
              <w:rPr>
                <w:sz w:val="20"/>
                <w:szCs w:val="20"/>
                <w:color w:val="auto"/>
              </w:rPr>
            </w:pPr>
            <w:r>
              <w:rPr>
                <w:rFonts w:ascii="Arial" w:cs="Arial" w:eastAsia="Arial" w:hAnsi="Arial"/>
                <w:sz w:val="18"/>
                <w:szCs w:val="18"/>
                <w:color w:val="auto"/>
              </w:rPr>
              <w:t>41,496</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65,266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HHR</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5,804</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9,386</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-38.2</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56,001</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80,498</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Kodiak 4/5 Series</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398</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402</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-5.0</w:t>
            </w:r>
          </w:p>
        </w:tc>
        <w:tc>
          <w:tcPr>
            <w:tcW w:w="1000" w:type="dxa"/>
            <w:vAlign w:val="bottom"/>
          </w:tcPr>
          <w:p>
            <w:pPr>
              <w:jc w:val="right"/>
              <w:spacing w:after="0"/>
              <w:rPr>
                <w:sz w:val="20"/>
                <w:szCs w:val="20"/>
                <w:color w:val="auto"/>
              </w:rPr>
            </w:pPr>
            <w:r>
              <w:rPr>
                <w:rFonts w:ascii="Arial" w:cs="Arial" w:eastAsia="Arial" w:hAnsi="Arial"/>
                <w:sz w:val="18"/>
                <w:szCs w:val="18"/>
                <w:color w:val="auto"/>
              </w:rPr>
              <w:t>3,196</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5,371</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Kodiak 6/7/8 Series</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106</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-63.2</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1,228</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Suburban (Chevy)</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5,338</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4,339</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23.0</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18.1</w:t>
            </w:r>
          </w:p>
        </w:tc>
        <w:tc>
          <w:tcPr>
            <w:tcW w:w="1000" w:type="dxa"/>
            <w:vAlign w:val="bottom"/>
          </w:tcPr>
          <w:p>
            <w:pPr>
              <w:jc w:val="right"/>
              <w:spacing w:after="0"/>
              <w:rPr>
                <w:sz w:val="20"/>
                <w:szCs w:val="20"/>
                <w:color w:val="auto"/>
              </w:rPr>
            </w:pPr>
            <w:r>
              <w:rPr>
                <w:rFonts w:ascii="Arial" w:cs="Arial" w:eastAsia="Arial" w:hAnsi="Arial"/>
                <w:sz w:val="18"/>
                <w:szCs w:val="18"/>
                <w:color w:val="auto"/>
              </w:rPr>
              <w:t>27,441</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41,657</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Tahoe</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7,304</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7,374</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-0.9</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49,705</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77,338</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TrailBlazer</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250</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8,773</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-97.2</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-97.3</w:t>
            </w:r>
          </w:p>
        </w:tc>
        <w:tc>
          <w:tcPr>
            <w:tcW w:w="1000" w:type="dxa"/>
            <w:vAlign w:val="bottom"/>
          </w:tcPr>
          <w:p>
            <w:pPr>
              <w:jc w:val="right"/>
              <w:spacing w:after="0"/>
              <w:rPr>
                <w:sz w:val="20"/>
                <w:szCs w:val="20"/>
                <w:color w:val="auto"/>
              </w:rPr>
            </w:pPr>
            <w:r>
              <w:rPr>
                <w:rFonts w:ascii="Arial" w:cs="Arial" w:eastAsia="Arial" w:hAnsi="Arial"/>
                <w:sz w:val="18"/>
                <w:szCs w:val="18"/>
                <w:color w:val="auto"/>
              </w:rPr>
              <w:t>8,340</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65,281</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Traverse</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6,863</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226</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65,697</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226</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Uplander</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49</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1,081</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-95.5</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-95.6</w:t>
            </w:r>
          </w:p>
        </w:tc>
        <w:tc>
          <w:tcPr>
            <w:tcW w:w="1000" w:type="dxa"/>
            <w:vAlign w:val="bottom"/>
          </w:tcPr>
          <w:p>
            <w:pPr>
              <w:jc w:val="right"/>
              <w:spacing w:after="0"/>
              <w:rPr>
                <w:sz w:val="20"/>
                <w:szCs w:val="20"/>
                <w:color w:val="auto"/>
              </w:rPr>
            </w:pPr>
            <w:r>
              <w:rPr>
                <w:rFonts w:ascii="Arial" w:cs="Arial" w:eastAsia="Arial" w:hAnsi="Arial"/>
                <w:sz w:val="18"/>
                <w:szCs w:val="18"/>
                <w:color w:val="auto"/>
              </w:rPr>
              <w:t>1,644</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38,623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0"/>
        </w:trPr>
        <w:tc>
          <w:tcPr>
            <w:tcW w:w="4800" w:type="dxa"/>
            <w:vAlign w:val="bottom"/>
            <w:tcBorders>
              <w:left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Avalanche</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1,191</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3,344</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-64.4</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28,210</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Silverado-C/K Pickup</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19,401</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50,428</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-61.5</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-63.1</w:t>
            </w:r>
          </w:p>
        </w:tc>
        <w:tc>
          <w:tcPr>
            <w:tcW w:w="1000" w:type="dxa"/>
            <w:vAlign w:val="bottom"/>
          </w:tcPr>
          <w:p>
            <w:pPr>
              <w:jc w:val="right"/>
              <w:spacing w:after="0"/>
              <w:rPr>
                <w:sz w:val="20"/>
                <w:szCs w:val="20"/>
                <w:color w:val="auto"/>
              </w:rPr>
            </w:pPr>
            <w:r>
              <w:rPr>
                <w:rFonts w:ascii="Arial" w:cs="Arial" w:eastAsia="Arial" w:hAnsi="Arial"/>
                <w:sz w:val="18"/>
                <w:szCs w:val="18"/>
                <w:color w:val="auto"/>
              </w:rPr>
              <w:t>229,388</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370,502</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Chevrolet Fullsize Pickups</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u w:val="single" w:color="auto"/>
                <w:color w:val="auto"/>
              </w:rPr>
              <w:t>20,592</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53,772</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-61.7</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rPr>
              <w:t>240,866</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398,712</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0"/>
              </w:rPr>
              <w:t>Chevrolet Total</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60,179</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103,083</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-41.6</w:t>
            </w:r>
          </w:p>
        </w:tc>
        <w:tc>
          <w:tcPr>
            <w:tcW w:w="8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-44.0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579,374</w:t>
            </w: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876,895</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Acadia</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2,844</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6,015</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-52.7</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40,675</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57,018</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Canyon</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499</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975</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-48.8</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-50.9</w:t>
            </w:r>
          </w:p>
        </w:tc>
        <w:tc>
          <w:tcPr>
            <w:tcW w:w="1000" w:type="dxa"/>
            <w:vAlign w:val="bottom"/>
          </w:tcPr>
          <w:p>
            <w:pPr>
              <w:jc w:val="right"/>
              <w:spacing w:after="0"/>
              <w:rPr>
                <w:sz w:val="20"/>
                <w:szCs w:val="20"/>
                <w:color w:val="auto"/>
              </w:rPr>
            </w:pPr>
            <w:r>
              <w:rPr>
                <w:rFonts w:ascii="Arial" w:cs="Arial" w:eastAsia="Arial" w:hAnsi="Arial"/>
                <w:sz w:val="18"/>
                <w:szCs w:val="18"/>
                <w:color w:val="auto"/>
              </w:rPr>
              <w:t>8,575</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12,255</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Envoy</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163</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3,394</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-95.2</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20,977</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C/T Series</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30</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-30.2</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-33.0</w:t>
            </w:r>
          </w:p>
        </w:tc>
        <w:tc>
          <w:tcPr>
            <w:tcW w:w="1000" w:type="dxa"/>
            <w:vAlign w:val="bottom"/>
          </w:tcPr>
          <w:p>
            <w:pPr>
              <w:jc w:val="right"/>
              <w:spacing w:after="0"/>
              <w:rPr>
                <w:sz w:val="20"/>
                <w:szCs w:val="20"/>
                <w:color w:val="auto"/>
              </w:rPr>
            </w:pPr>
            <w:r>
              <w:rPr>
                <w:rFonts w:ascii="Arial" w:cs="Arial" w:eastAsia="Arial" w:hAnsi="Arial"/>
                <w:sz w:val="18"/>
                <w:szCs w:val="18"/>
                <w:color w:val="auto"/>
              </w:rPr>
              <w:t>374</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396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GMC W Series</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123</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148</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-16.9</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2,052</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Savana</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616</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3,315</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-81.4</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-82.2</w:t>
            </w:r>
          </w:p>
        </w:tc>
        <w:tc>
          <w:tcPr>
            <w:tcW w:w="1000" w:type="dxa"/>
            <w:vAlign w:val="bottom"/>
          </w:tcPr>
          <w:p>
            <w:pPr>
              <w:jc w:val="right"/>
              <w:spacing w:after="0"/>
              <w:rPr>
                <w:sz w:val="20"/>
                <w:szCs w:val="20"/>
                <w:color w:val="auto"/>
              </w:rPr>
            </w:pPr>
            <w:r>
              <w:rPr>
                <w:rFonts w:ascii="Arial" w:cs="Arial" w:eastAsia="Arial" w:hAnsi="Arial"/>
                <w:sz w:val="18"/>
                <w:szCs w:val="18"/>
                <w:color w:val="auto"/>
              </w:rPr>
              <w:t>9,704</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19,273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Sierra</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7,244</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18,744</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-61.4</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79,433</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133,811</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Terrain</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1,334</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1,809</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0</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Topkick 4/5 Series</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216</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258</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-16.3</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6,765</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Topkick 6/7/8 Series</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139</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410</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-66.1</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-67.5</w:t>
            </w:r>
          </w:p>
        </w:tc>
        <w:tc>
          <w:tcPr>
            <w:tcW w:w="1000" w:type="dxa"/>
            <w:vAlign w:val="bottom"/>
          </w:tcPr>
          <w:p>
            <w:pPr>
              <w:jc w:val="right"/>
              <w:spacing w:after="0"/>
              <w:rPr>
                <w:sz w:val="20"/>
                <w:szCs w:val="20"/>
                <w:color w:val="auto"/>
              </w:rPr>
            </w:pPr>
            <w:r>
              <w:rPr>
                <w:rFonts w:ascii="Arial" w:cs="Arial" w:eastAsia="Arial" w:hAnsi="Arial"/>
                <w:sz w:val="18"/>
                <w:szCs w:val="18"/>
                <w:color w:val="auto"/>
              </w:rPr>
              <w:t>1,482</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3,203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Yukon</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3,150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3,557</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-11.4</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20,432</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30,576</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Yukon XL</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2,001</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2,170</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-7.8</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-11.5</w:t>
            </w:r>
          </w:p>
        </w:tc>
        <w:tc>
          <w:tcPr>
            <w:tcW w:w="1000" w:type="dxa"/>
            <w:vAlign w:val="bottom"/>
          </w:tcPr>
          <w:p>
            <w:pPr>
              <w:jc w:val="right"/>
              <w:spacing w:after="0"/>
              <w:rPr>
                <w:sz w:val="20"/>
                <w:szCs w:val="20"/>
                <w:color w:val="auto"/>
              </w:rPr>
            </w:pPr>
            <w:r>
              <w:rPr>
                <w:rFonts w:ascii="Arial" w:cs="Arial" w:eastAsia="Arial" w:hAnsi="Arial"/>
                <w:sz w:val="18"/>
                <w:szCs w:val="18"/>
                <w:color w:val="auto"/>
              </w:rPr>
              <w:t>11,286</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19,564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91"/>
              </w:rPr>
              <w:t>GMC Total</w:t>
            </w: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18,359</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39,029</w:t>
            </w: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-53.0</w:t>
            </w:r>
          </w:p>
        </w:tc>
        <w:tc>
          <w:tcPr>
            <w:tcW w:w="8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181,835</w:t>
            </w:r>
          </w:p>
        </w:tc>
        <w:tc>
          <w:tcPr>
            <w:tcW w:w="1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305,890</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H1</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17</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HUMMER H2</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473</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-81.0</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5,228</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H3</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224</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1,824</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-87.7</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-88.2</w:t>
            </w:r>
          </w:p>
        </w:tc>
        <w:tc>
          <w:tcPr>
            <w:tcW w:w="1000" w:type="dxa"/>
            <w:vAlign w:val="bottom"/>
          </w:tcPr>
          <w:p>
            <w:pPr>
              <w:jc w:val="right"/>
              <w:spacing w:after="0"/>
              <w:rPr>
                <w:sz w:val="20"/>
                <w:szCs w:val="20"/>
                <w:color w:val="auto"/>
              </w:rPr>
            </w:pPr>
            <w:r>
              <w:rPr>
                <w:rFonts w:ascii="Arial" w:cs="Arial" w:eastAsia="Arial" w:hAnsi="Arial"/>
                <w:sz w:val="18"/>
                <w:szCs w:val="18"/>
                <w:color w:val="auto"/>
              </w:rPr>
              <w:t>5,008</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17,247</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HUMMER H3T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112</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3"/>
              </w:rPr>
              <w:t>HUMMER Total</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426</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2,298</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-81.5</w:t>
            </w:r>
          </w:p>
        </w:tc>
        <w:tc>
          <w:tcPr>
            <w:tcW w:w="8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-82.2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22,493</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Montana SV6</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64</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Torrent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210</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1,486</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-85.9</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-86.4</w:t>
            </w:r>
          </w:p>
        </w:tc>
        <w:tc>
          <w:tcPr>
            <w:tcW w:w="1000" w:type="dxa"/>
            <w:vAlign w:val="bottom"/>
          </w:tcPr>
          <w:p>
            <w:pPr>
              <w:jc w:val="right"/>
              <w:spacing w:after="0"/>
              <w:rPr>
                <w:sz w:val="20"/>
                <w:szCs w:val="20"/>
                <w:color w:val="auto"/>
              </w:rPr>
            </w:pPr>
            <w:r>
              <w:rPr>
                <w:rFonts w:ascii="Arial" w:cs="Arial" w:eastAsia="Arial" w:hAnsi="Arial"/>
                <w:sz w:val="18"/>
                <w:szCs w:val="18"/>
                <w:color w:val="auto"/>
              </w:rPr>
              <w:t>9,095</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16,854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Pontiac Total</w:t>
            </w: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210</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1,486</w:t>
            </w: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-85.9</w:t>
            </w:r>
          </w:p>
        </w:tc>
        <w:tc>
          <w:tcPr>
            <w:tcW w:w="8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16,918</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9-7X</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138</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308</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-55.2</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-57.0</w:t>
            </w:r>
          </w:p>
        </w:tc>
        <w:tc>
          <w:tcPr>
            <w:tcW w:w="1000" w:type="dxa"/>
            <w:vAlign w:val="bottom"/>
          </w:tcPr>
          <w:p>
            <w:pPr>
              <w:jc w:val="right"/>
              <w:spacing w:after="0"/>
              <w:rPr>
                <w:sz w:val="20"/>
                <w:szCs w:val="20"/>
                <w:color w:val="auto"/>
              </w:rPr>
            </w:pPr>
            <w:r>
              <w:rPr>
                <w:rFonts w:ascii="Arial" w:cs="Arial" w:eastAsia="Arial" w:hAnsi="Arial"/>
                <w:sz w:val="18"/>
                <w:szCs w:val="18"/>
                <w:color w:val="auto"/>
              </w:rPr>
              <w:t>1,844</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2,834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4"/>
              </w:rPr>
              <w:t>Saab Total</w:t>
            </w: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138</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308</w:t>
            </w: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-55.2</w:t>
            </w:r>
          </w:p>
        </w:tc>
        <w:tc>
          <w:tcPr>
            <w:tcW w:w="8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2,834</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Outlook</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405</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2,803</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-85.6</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-86.1</w:t>
            </w:r>
          </w:p>
        </w:tc>
        <w:tc>
          <w:tcPr>
            <w:tcW w:w="1000" w:type="dxa"/>
            <w:vAlign w:val="bottom"/>
          </w:tcPr>
          <w:p>
            <w:pPr>
              <w:jc w:val="right"/>
              <w:spacing w:after="0"/>
              <w:rPr>
                <w:sz w:val="20"/>
                <w:szCs w:val="20"/>
                <w:color w:val="auto"/>
              </w:rPr>
            </w:pPr>
            <w:r>
              <w:rPr>
                <w:rFonts w:ascii="Arial" w:cs="Arial" w:eastAsia="Arial" w:hAnsi="Arial"/>
                <w:sz w:val="18"/>
                <w:szCs w:val="18"/>
                <w:color w:val="auto"/>
              </w:rPr>
              <w:t>10,580</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21,403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Relay</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3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157</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VUE</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898</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7,917</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-88.7</w:t>
            </w: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-89.1</w:t>
            </w:r>
          </w:p>
        </w:tc>
        <w:tc>
          <w:tcPr>
            <w:tcW w:w="1000" w:type="dxa"/>
            <w:vAlign w:val="bottom"/>
          </w:tcPr>
          <w:p>
            <w:pPr>
              <w:jc w:val="right"/>
              <w:spacing w:after="0"/>
              <w:rPr>
                <w:sz w:val="20"/>
                <w:szCs w:val="20"/>
                <w:color w:val="auto"/>
              </w:rPr>
            </w:pPr>
            <w:r>
              <w:rPr>
                <w:rFonts w:ascii="Arial" w:cs="Arial" w:eastAsia="Arial" w:hAnsi="Arial"/>
                <w:sz w:val="18"/>
                <w:szCs w:val="18"/>
                <w:color w:val="auto"/>
              </w:rPr>
              <w:t>25,313</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68,744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48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7"/>
              </w:rPr>
              <w:t>Saturn Total</w:t>
            </w: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1,303</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10,721</w:t>
            </w:r>
          </w:p>
        </w:tc>
        <w:tc>
          <w:tcPr>
            <w:tcW w:w="8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-87.8</w:t>
            </w:r>
          </w:p>
        </w:tc>
        <w:tc>
          <w:tcPr>
            <w:tcW w:w="8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35,905</w:t>
            </w:r>
          </w:p>
        </w:tc>
        <w:tc>
          <w:tcPr>
            <w:tcW w:w="1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90,304</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0"/>
        </w:trPr>
        <w:tc>
          <w:tcPr>
            <w:tcW w:w="48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1"/>
              </w:rPr>
              <w:t>GM Truck Total</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88,441</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165,860</w:t>
            </w: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-46.7</w:t>
            </w:r>
          </w:p>
        </w:tc>
        <w:tc>
          <w:tcPr>
            <w:tcW w:w="8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-48.8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874,069</w:t>
            </w: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1,395,520</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-4479925</wp:posOffset>
            </wp:positionV>
            <wp:extent cx="7259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-4059555</wp:posOffset>
            </wp:positionV>
            <wp:extent cx="7259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120"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Production Schedule - 010/01/09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w w:val="89"/>
              </w:rPr>
              <w:t>Memo: Joint Venture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GMNA</w:t>
            </w:r>
          </w:p>
        </w:tc>
        <w:tc>
          <w:tcPr>
            <w:tcW w:w="940" w:type="dxa"/>
            <w:vAlign w:val="bottom"/>
            <w:tcBorders>
              <w:bottom w:val="single" w:sz="8" w:color="auto"/>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34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jc w:val="center"/>
              <w:ind w:left="112"/>
              <w:spacing w:after="0"/>
              <w:rPr>
                <w:sz w:val="20"/>
                <w:szCs w:val="20"/>
                <w:color w:val="auto"/>
              </w:rPr>
            </w:pPr>
            <w:r>
              <w:rPr>
                <w:rFonts w:ascii="Arial" w:cs="Arial" w:eastAsia="Arial" w:hAnsi="Arial"/>
                <w:sz w:val="14"/>
                <w:szCs w:val="14"/>
                <w:b w:val="1"/>
                <w:bCs w:val="1"/>
                <w:color w:val="auto"/>
                <w:w w:val="89"/>
              </w:rPr>
              <w:t>Total</w:t>
            </w:r>
          </w:p>
        </w:tc>
        <w:tc>
          <w:tcPr>
            <w:tcW w:w="72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GMNA</w:t>
            </w:r>
          </w:p>
        </w:tc>
        <w:tc>
          <w:tcPr>
            <w:tcW w:w="840" w:type="dxa"/>
            <w:vAlign w:val="bottom"/>
          </w:tcPr>
          <w:p>
            <w:pPr>
              <w:ind w:left="240"/>
              <w:spacing w:after="0" w:line="229" w:lineRule="exact"/>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42"/>
        </w:trPr>
        <w:tc>
          <w:tcPr>
            <w:tcW w:w="2520" w:type="dxa"/>
            <w:vAlign w:val="bottom"/>
            <w:tcBorders>
              <w:right w:val="single" w:sz="8" w:color="auto"/>
            </w:tcBorders>
            <w:gridSpan w:val="2"/>
          </w:tcPr>
          <w:p>
            <w:pPr>
              <w:ind w:left="800"/>
              <w:spacing w:after="0" w:line="142" w:lineRule="exact"/>
              <w:rPr>
                <w:sz w:val="20"/>
                <w:szCs w:val="20"/>
                <w:color w:val="auto"/>
              </w:rPr>
            </w:pPr>
            <w:r>
              <w:rPr>
                <w:rFonts w:ascii="Arial" w:cs="Arial" w:eastAsia="Arial" w:hAnsi="Arial"/>
                <w:sz w:val="14"/>
                <w:szCs w:val="14"/>
                <w:color w:val="auto"/>
              </w:rPr>
              <w:t>Units 000s</w:t>
            </w:r>
          </w:p>
        </w:tc>
        <w:tc>
          <w:tcPr>
            <w:tcW w:w="1000" w:type="dxa"/>
            <w:vAlign w:val="bottom"/>
          </w:tcPr>
          <w:p>
            <w:pPr>
              <w:ind w:left="38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900" w:type="dxa"/>
            <w:vAlign w:val="bottom"/>
            <w:tcBorders>
              <w:right w:val="single" w:sz="8" w:color="auto"/>
            </w:tcBorders>
          </w:tcPr>
          <w:p>
            <w:pPr>
              <w:jc w:val="right"/>
              <w:ind w:right="120"/>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940" w:type="dxa"/>
            <w:vAlign w:val="bottom"/>
            <w:tcBorders>
              <w:right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ind w:left="132"/>
              <w:spacing w:after="0" w:line="142" w:lineRule="exact"/>
              <w:rPr>
                <w:sz w:val="20"/>
                <w:szCs w:val="20"/>
                <w:color w:val="auto"/>
              </w:rPr>
            </w:pPr>
            <w:r>
              <w:rPr>
                <w:rFonts w:ascii="Arial" w:cs="Arial" w:eastAsia="Arial" w:hAnsi="Arial"/>
                <w:sz w:val="14"/>
                <w:szCs w:val="14"/>
                <w:b w:val="1"/>
                <w:bCs w:val="1"/>
                <w:color w:val="auto"/>
                <w:w w:val="90"/>
              </w:rPr>
              <w:t>Worldwide</w:t>
            </w:r>
          </w:p>
        </w:tc>
        <w:tc>
          <w:tcPr>
            <w:tcW w:w="720" w:type="dxa"/>
            <w:vAlign w:val="bottom"/>
          </w:tcPr>
          <w:p>
            <w:pPr>
              <w:ind w:left="30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340" w:type="dxa"/>
            <w:vAlign w:val="bottom"/>
          </w:tcPr>
          <w:p>
            <w:pPr>
              <w:spacing w:after="0"/>
              <w:rPr>
                <w:sz w:val="12"/>
                <w:szCs w:val="12"/>
                <w:color w:val="auto"/>
              </w:rPr>
            </w:pPr>
          </w:p>
        </w:tc>
        <w:tc>
          <w:tcPr>
            <w:tcW w:w="1300" w:type="dxa"/>
            <w:vAlign w:val="bottom"/>
          </w:tcPr>
          <w:p>
            <w:pPr>
              <w:ind w:left="300"/>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spacing w:after="0"/>
              <w:rPr>
                <w:sz w:val="12"/>
                <w:szCs w:val="12"/>
                <w:color w:val="auto"/>
              </w:rPr>
            </w:pPr>
          </w:p>
        </w:tc>
        <w:tc>
          <w:tcPr>
            <w:tcW w:w="940" w:type="dxa"/>
            <w:vAlign w:val="bottom"/>
            <w:tcBorders>
              <w:top w:val="single" w:sz="8" w:color="auto"/>
              <w:right w:val="single" w:sz="8" w:color="CCEEFF"/>
            </w:tcBorders>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top w:val="single" w:sz="8" w:color="auto"/>
              <w:right w:val="single" w:sz="8" w:color="CCEEFF"/>
            </w:tcBorders>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1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2009 Q3 #</w:t>
            </w:r>
          </w:p>
        </w:tc>
        <w:tc>
          <w:tcPr>
            <w:tcW w:w="340" w:type="dxa"/>
            <w:vAlign w:val="bottom"/>
            <w:tcBorders>
              <w:right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207</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326</w:t>
            </w:r>
          </w:p>
        </w:tc>
        <w:tc>
          <w:tcPr>
            <w:tcW w:w="940" w:type="dxa"/>
            <w:vAlign w:val="bottom"/>
            <w:tcBorders>
              <w:top w:val="single" w:sz="8" w:color="auto"/>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533</w:t>
            </w:r>
          </w:p>
        </w:tc>
        <w:tc>
          <w:tcPr>
            <w:tcW w:w="340" w:type="dxa"/>
            <w:vAlign w:val="bottom"/>
            <w:tcBorders>
              <w:right w:val="single" w:sz="8" w:color="auto"/>
            </w:tcBorders>
          </w:tcPr>
          <w:p>
            <w:pPr>
              <w:spacing w:after="0"/>
              <w:rPr>
                <w:sz w:val="18"/>
                <w:szCs w:val="18"/>
                <w:color w:val="auto"/>
              </w:rPr>
            </w:pPr>
          </w:p>
        </w:tc>
        <w:tc>
          <w:tcPr>
            <w:tcW w:w="102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1,160</w:t>
            </w:r>
          </w:p>
        </w:tc>
        <w:tc>
          <w:tcPr>
            <w:tcW w:w="340" w:type="dxa"/>
            <w:vAlign w:val="bottom"/>
            <w:tcBorders>
              <w:right w:val="single" w:sz="8" w:color="auto"/>
            </w:tcBorders>
          </w:tcPr>
          <w:p>
            <w:pPr>
              <w:spacing w:after="0"/>
              <w:rPr>
                <w:sz w:val="18"/>
                <w:szCs w:val="18"/>
                <w:color w:val="auto"/>
              </w:rPr>
            </w:pPr>
          </w:p>
        </w:tc>
        <w:tc>
          <w:tcPr>
            <w:tcW w:w="116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1,693</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7</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auto"/>
              <w:bottom w:val="single" w:sz="8" w:color="auto"/>
              <w:right w:val="single" w:sz="8" w:color="auto"/>
            </w:tcBorders>
            <w:shd w:val="clear" w:color="auto" w:fill="CCEEFF"/>
          </w:tcPr>
          <w:p>
            <w:pPr>
              <w:ind w:left="540"/>
              <w:spacing w:after="0"/>
              <w:rPr>
                <w:sz w:val="20"/>
                <w:szCs w:val="20"/>
                <w:color w:val="auto"/>
              </w:rPr>
            </w:pPr>
            <w:r>
              <w:rPr>
                <w:rFonts w:ascii="Arial" w:cs="Arial" w:eastAsia="Arial" w:hAnsi="Arial"/>
                <w:sz w:val="18"/>
                <w:szCs w:val="18"/>
                <w:i w:val="1"/>
                <w:iCs w:val="1"/>
                <w:color w:val="auto"/>
              </w:rPr>
              <w:t>O/(U) prior forecast</w:t>
            </w:r>
          </w:p>
        </w:tc>
        <w:tc>
          <w:tcPr>
            <w:tcW w:w="340" w:type="dxa"/>
            <w:vAlign w:val="bottom"/>
            <w:tcBorders>
              <w:bottom w:val="single" w:sz="8" w:color="CCEEFF"/>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(3)</w:t>
            </w:r>
          </w:p>
        </w:tc>
        <w:tc>
          <w:tcPr>
            <w:tcW w:w="9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940" w:type="dxa"/>
            <w:vAlign w:val="bottom"/>
            <w:tcBorders>
              <w:left w:val="single" w:sz="8" w:color="auto"/>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340" w:type="dxa"/>
            <w:vAlign w:val="bottom"/>
            <w:tcBorders>
              <w:bottom w:val="single" w:sz="8" w:color="CCEEFF"/>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46</w:t>
            </w:r>
          </w:p>
        </w:tc>
        <w:tc>
          <w:tcPr>
            <w:tcW w:w="340" w:type="dxa"/>
            <w:vAlign w:val="bottom"/>
            <w:tcBorders>
              <w:bottom w:val="single" w:sz="8" w:color="CCEEFF"/>
              <w:right w:val="single" w:sz="8" w:color="auto"/>
            </w:tcBorders>
            <w:shd w:val="clear" w:color="auto" w:fill="CCEEFF"/>
          </w:tcPr>
          <w:p>
            <w:pPr>
              <w:spacing w:after="0"/>
              <w:rPr>
                <w:sz w:val="18"/>
                <w:szCs w:val="18"/>
                <w:color w:val="auto"/>
              </w:rPr>
            </w:pPr>
          </w:p>
        </w:tc>
        <w:tc>
          <w:tcPr>
            <w:tcW w:w="116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44</w:t>
            </w:r>
          </w:p>
        </w:tc>
        <w:tc>
          <w:tcPr>
            <w:tcW w:w="1320" w:type="dxa"/>
            <w:vAlign w:val="bottom"/>
            <w:tcBorders>
              <w:bottom w:val="single" w:sz="8" w:color="CCEEFF"/>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left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2009 Q4 # *</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262</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940" w:type="dxa"/>
            <w:vAlign w:val="bottom"/>
            <w:tcBorders>
              <w:left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i w:val="1"/>
                <w:iCs w:val="1"/>
                <w:color w:val="auto"/>
              </w:rPr>
              <w:t>O/(U) prior forecast</w:t>
            </w:r>
          </w:p>
        </w:tc>
        <w:tc>
          <w:tcPr>
            <w:tcW w:w="340" w:type="dxa"/>
            <w:vAlign w:val="bottom"/>
            <w:tcBorders>
              <w:right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8"/>
                <w:szCs w:val="18"/>
                <w:i w:val="1"/>
                <w:iCs w:val="1"/>
                <w:color w:val="auto"/>
              </w:rPr>
              <w:t>0</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0</w:t>
            </w:r>
          </w:p>
        </w:tc>
        <w:tc>
          <w:tcPr>
            <w:tcW w:w="940" w:type="dxa"/>
            <w:vAlign w:val="bottom"/>
            <w:tcBorders>
              <w:left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i w:val="1"/>
                <w:iCs w:val="1"/>
                <w:color w:val="auto"/>
              </w:rPr>
              <w:t>0</w:t>
            </w:r>
          </w:p>
        </w:tc>
        <w:tc>
          <w:tcPr>
            <w:tcW w:w="340" w:type="dxa"/>
            <w:vAlign w:val="bottom"/>
            <w:tcBorders>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340" w:type="dxa"/>
            <w:vAlign w:val="bottom"/>
            <w:tcBorders>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0</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tcBorders>
              <w:left w:val="single" w:sz="8" w:color="CCEEFF"/>
              <w:bottom w:val="single" w:sz="8" w:color="auto"/>
              <w:right w:val="single" w:sz="8" w:color="CCEEFF"/>
            </w:tcBorders>
            <w:shd w:val="clear" w:color="auto" w:fill="CCEEFF"/>
          </w:tcPr>
          <w:p>
            <w:pPr>
              <w:spacing w:after="0"/>
              <w:rPr>
                <w:sz w:val="21"/>
                <w:szCs w:val="21"/>
                <w:color w:val="auto"/>
              </w:rPr>
            </w:pPr>
          </w:p>
        </w:tc>
        <w:tc>
          <w:tcPr>
            <w:tcW w:w="340" w:type="dxa"/>
            <w:vAlign w:val="bottom"/>
            <w:tcBorders>
              <w:bottom w:val="single" w:sz="8" w:color="auto"/>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CCEEFF"/>
            </w:tcBorders>
            <w:shd w:val="clear" w:color="auto" w:fill="CCEEFF"/>
          </w:tcPr>
          <w:p>
            <w:pPr>
              <w:spacing w:after="0"/>
              <w:rPr>
                <w:sz w:val="21"/>
                <w:szCs w:val="21"/>
                <w:color w:val="auto"/>
              </w:rPr>
            </w:pPr>
          </w:p>
        </w:tc>
        <w:tc>
          <w:tcPr>
            <w:tcW w:w="200" w:type="dxa"/>
            <w:vAlign w:val="bottom"/>
            <w:tcBorders>
              <w:left w:val="single" w:sz="8" w:color="CCEEFF"/>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CCEEFF"/>
            </w:tcBorders>
            <w:shd w:val="clear" w:color="auto" w:fill="CCEEFF"/>
          </w:tcPr>
          <w:p>
            <w:pPr>
              <w:spacing w:after="0"/>
              <w:rPr>
                <w:sz w:val="21"/>
                <w:szCs w:val="21"/>
                <w:color w:val="auto"/>
              </w:rPr>
            </w:pPr>
          </w:p>
        </w:tc>
        <w:tc>
          <w:tcPr>
            <w:tcW w:w="340" w:type="dxa"/>
            <w:vAlign w:val="bottom"/>
            <w:tcBorders>
              <w:bottom w:val="single" w:sz="8" w:color="auto"/>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right w:val="single" w:sz="8" w:color="CCEEFF"/>
            </w:tcBorders>
            <w:shd w:val="clear" w:color="auto" w:fill="CCEEFF"/>
          </w:tcPr>
          <w:p>
            <w:pPr>
              <w:spacing w:after="0"/>
              <w:rPr>
                <w:sz w:val="21"/>
                <w:szCs w:val="21"/>
                <w:color w:val="auto"/>
              </w:rPr>
            </w:pPr>
          </w:p>
        </w:tc>
        <w:tc>
          <w:tcPr>
            <w:tcW w:w="340" w:type="dxa"/>
            <w:vAlign w:val="bottom"/>
            <w:tcBorders>
              <w:bottom w:val="single" w:sz="8" w:color="auto"/>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right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left w:val="single" w:sz="8" w:color="CCEEFF"/>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GMNA</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right w:val="single" w:sz="8" w:color="auto"/>
            </w:tcBorders>
            <w:vMerge w:val="restart"/>
          </w:tcPr>
          <w:p>
            <w:pPr>
              <w:jc w:val="right"/>
              <w:ind w:right="134"/>
              <w:spacing w:after="0"/>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right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GMNA</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jc w:val="right"/>
              <w:ind w:right="34"/>
              <w:spacing w:after="0" w:line="223" w:lineRule="exact"/>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jc w:val="center"/>
              <w:spacing w:after="0" w:line="142" w:lineRule="exact"/>
              <w:rPr>
                <w:sz w:val="20"/>
                <w:szCs w:val="20"/>
                <w:color w:val="auto"/>
              </w:rPr>
            </w:pPr>
            <w:r>
              <w:rPr>
                <w:rFonts w:ascii="Arial" w:cs="Arial" w:eastAsia="Arial" w:hAnsi="Arial"/>
                <w:sz w:val="14"/>
                <w:szCs w:val="14"/>
                <w:color w:val="auto"/>
                <w:w w:val="87"/>
              </w:rPr>
              <w:t>Units 000s</w:t>
            </w:r>
          </w:p>
        </w:tc>
        <w:tc>
          <w:tcPr>
            <w:tcW w:w="34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138"/>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Borders>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Worldwide</w:t>
            </w:r>
          </w:p>
        </w:tc>
        <w:tc>
          <w:tcPr>
            <w:tcW w:w="220" w:type="dxa"/>
            <w:vAlign w:val="bottom"/>
          </w:tcPr>
          <w:p>
            <w:pPr>
              <w:spacing w:after="0"/>
              <w:rPr>
                <w:sz w:val="12"/>
                <w:szCs w:val="12"/>
                <w:color w:val="auto"/>
              </w:rPr>
            </w:pPr>
          </w:p>
        </w:tc>
        <w:tc>
          <w:tcPr>
            <w:tcW w:w="1100" w:type="dxa"/>
            <w:vAlign w:val="bottom"/>
            <w:gridSpan w:val="2"/>
          </w:tcPr>
          <w:p>
            <w:pPr>
              <w:jc w:val="right"/>
              <w:ind w:right="652"/>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580" w:type="dxa"/>
            <w:vAlign w:val="bottom"/>
          </w:tcPr>
          <w:p>
            <w:pPr>
              <w:jc w:val="right"/>
              <w:ind w:right="13"/>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2003</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591</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860</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1,451</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695</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2,146</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19</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543</w:t>
            </w:r>
          </w:p>
        </w:tc>
        <w:tc>
          <w:tcPr>
            <w:tcW w:w="98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837</w:t>
            </w:r>
          </w:p>
        </w:tc>
        <w:tc>
          <w:tcPr>
            <w:tcW w:w="940" w:type="dxa"/>
            <w:vAlign w:val="bottom"/>
            <w:tcBorders>
              <w:left w:val="single" w:sz="8" w:color="CCEEFF"/>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1,380</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706</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2,086</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492</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753</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1,245</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648</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1,893</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20</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558</w:t>
            </w:r>
          </w:p>
        </w:tc>
        <w:tc>
          <w:tcPr>
            <w:tcW w:w="98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827</w:t>
            </w:r>
          </w:p>
        </w:tc>
        <w:tc>
          <w:tcPr>
            <w:tcW w:w="940" w:type="dxa"/>
            <w:vAlign w:val="bottom"/>
            <w:tcBorders>
              <w:left w:val="single" w:sz="8" w:color="CCEEFF"/>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1,385</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736</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2,121</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2,184</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3,277</w:t>
            </w: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5,461</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2,785</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8,246</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6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5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2004</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525</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820</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1,345</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928</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2,273</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19</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543</w:t>
            </w:r>
          </w:p>
        </w:tc>
        <w:tc>
          <w:tcPr>
            <w:tcW w:w="98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846</w:t>
            </w:r>
          </w:p>
        </w:tc>
        <w:tc>
          <w:tcPr>
            <w:tcW w:w="940" w:type="dxa"/>
            <w:vAlign w:val="bottom"/>
            <w:tcBorders>
              <w:left w:val="single" w:sz="8" w:color="CCEEFF"/>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1,389</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1,012</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2,401</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463</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746</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1,209</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910</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2,119</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16</w:t>
            </w: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466</w:t>
            </w:r>
          </w:p>
        </w:tc>
        <w:tc>
          <w:tcPr>
            <w:tcW w:w="98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811</w:t>
            </w:r>
          </w:p>
        </w:tc>
        <w:tc>
          <w:tcPr>
            <w:tcW w:w="940" w:type="dxa"/>
            <w:vAlign w:val="bottom"/>
            <w:tcBorders>
              <w:left w:val="single" w:sz="8" w:color="CCEEFF"/>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1,277</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1,028</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2,305</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1,997</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3,223</w:t>
            </w: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5,220</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3,878</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9,098</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6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5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1,116</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2005</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470</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712</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1,182</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1,022</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2,204</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16</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458</w:t>
            </w:r>
          </w:p>
        </w:tc>
        <w:tc>
          <w:tcPr>
            <w:tcW w:w="98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789</w:t>
            </w:r>
          </w:p>
        </w:tc>
        <w:tc>
          <w:tcPr>
            <w:tcW w:w="940" w:type="dxa"/>
            <w:vAlign w:val="bottom"/>
            <w:tcBorders>
              <w:left w:val="single" w:sz="8" w:color="CCEEFF"/>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1,247</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1,094</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2,341</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423</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723</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1,146</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1,028</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2,174</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15</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483</w:t>
            </w:r>
          </w:p>
        </w:tc>
        <w:tc>
          <w:tcPr>
            <w:tcW w:w="98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798</w:t>
            </w:r>
          </w:p>
        </w:tc>
        <w:tc>
          <w:tcPr>
            <w:tcW w:w="940" w:type="dxa"/>
            <w:vAlign w:val="bottom"/>
            <w:tcBorders>
              <w:left w:val="single" w:sz="8" w:color="CCEEFF"/>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1,281</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1,051</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2,332</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1,834</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3,022</w:t>
            </w: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4,856</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4,195</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9,051</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6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5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1,019</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2006</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496</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759</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1,255</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1,160</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2,415</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18</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462</w:t>
            </w:r>
          </w:p>
        </w:tc>
        <w:tc>
          <w:tcPr>
            <w:tcW w:w="98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775</w:t>
            </w:r>
          </w:p>
        </w:tc>
        <w:tc>
          <w:tcPr>
            <w:tcW w:w="940" w:type="dxa"/>
            <w:vAlign w:val="bottom"/>
            <w:tcBorders>
              <w:left w:val="single" w:sz="8" w:color="CCEEFF"/>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1,237</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1,183</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2,420</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417</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633</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1,050</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1,022</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2,072</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12</w:t>
            </w: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446</w:t>
            </w:r>
          </w:p>
        </w:tc>
        <w:tc>
          <w:tcPr>
            <w:tcW w:w="98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661</w:t>
            </w:r>
          </w:p>
        </w:tc>
        <w:tc>
          <w:tcPr>
            <w:tcW w:w="940" w:type="dxa"/>
            <w:vAlign w:val="bottom"/>
            <w:tcBorders>
              <w:left w:val="single" w:sz="8" w:color="CCEEFF"/>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1,107</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1,167</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2,274</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1,821</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2,828</w:t>
            </w: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4,649</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4,532</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9,181</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6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5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966</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2007</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399</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664</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1,063</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1,277</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2,340</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15</w:t>
            </w: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402</w:t>
            </w:r>
          </w:p>
        </w:tc>
        <w:tc>
          <w:tcPr>
            <w:tcW w:w="98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740</w:t>
            </w:r>
          </w:p>
        </w:tc>
        <w:tc>
          <w:tcPr>
            <w:tcW w:w="940" w:type="dxa"/>
            <w:vAlign w:val="bottom"/>
            <w:tcBorders>
              <w:left w:val="single" w:sz="8" w:color="CCEEFF"/>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1,142</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1,268</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2,410</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367</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653</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1,020</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1,136</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2,156</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11</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358</w:t>
            </w:r>
          </w:p>
        </w:tc>
        <w:tc>
          <w:tcPr>
            <w:tcW w:w="98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684</w:t>
            </w:r>
          </w:p>
        </w:tc>
        <w:tc>
          <w:tcPr>
            <w:tcW w:w="940" w:type="dxa"/>
            <w:vAlign w:val="bottom"/>
            <w:tcBorders>
              <w:left w:val="single" w:sz="8" w:color="CCEEFF"/>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1,042</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1,337</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2,380</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1,526</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2,741</w:t>
            </w: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4,267</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5,019</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9,286</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6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5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1,126</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2008</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360</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525</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885</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1,348</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2,233</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12</w:t>
            </w: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382</w:t>
            </w:r>
          </w:p>
        </w:tc>
        <w:tc>
          <w:tcPr>
            <w:tcW w:w="98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452</w:t>
            </w:r>
          </w:p>
        </w:tc>
        <w:tc>
          <w:tcPr>
            <w:tcW w:w="940" w:type="dxa"/>
            <w:vAlign w:val="bottom"/>
            <w:tcBorders>
              <w:left w:val="single" w:sz="8" w:color="CCEEFF"/>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834</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1,390</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2,224</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436</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479</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915</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1,124</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2,039</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21</w:t>
            </w: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365</w:t>
            </w:r>
          </w:p>
        </w:tc>
        <w:tc>
          <w:tcPr>
            <w:tcW w:w="98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450</w:t>
            </w:r>
          </w:p>
        </w:tc>
        <w:tc>
          <w:tcPr>
            <w:tcW w:w="940" w:type="dxa"/>
            <w:vAlign w:val="bottom"/>
            <w:tcBorders>
              <w:left w:val="single" w:sz="8" w:color="CCEEFF"/>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815</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833</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1,648</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1,543</w:t>
            </w:r>
          </w:p>
        </w:tc>
        <w:tc>
          <w:tcPr>
            <w:tcW w:w="200" w:type="dxa"/>
            <w:vAlign w:val="bottom"/>
          </w:tcPr>
          <w:p>
            <w:pPr>
              <w:spacing w:after="0"/>
              <w:rPr>
                <w:sz w:val="19"/>
                <w:szCs w:val="19"/>
                <w:color w:val="auto"/>
              </w:rPr>
            </w:pPr>
          </w:p>
        </w:tc>
        <w:tc>
          <w:tcPr>
            <w:tcW w:w="780" w:type="dxa"/>
            <w:vAlign w:val="bottom"/>
            <w:tcBorders>
              <w:top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1,906</w:t>
            </w:r>
          </w:p>
        </w:tc>
        <w:tc>
          <w:tcPr>
            <w:tcW w:w="200" w:type="dxa"/>
            <w:vAlign w:val="bottom"/>
          </w:tcPr>
          <w:p>
            <w:pPr>
              <w:spacing w:after="0"/>
              <w:rPr>
                <w:sz w:val="19"/>
                <w:szCs w:val="19"/>
                <w:color w:val="auto"/>
              </w:rPr>
            </w:pPr>
          </w:p>
        </w:tc>
        <w:tc>
          <w:tcPr>
            <w:tcW w:w="74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3,449</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4,695</w:t>
            </w:r>
          </w:p>
        </w:tc>
        <w:tc>
          <w:tcPr>
            <w:tcW w:w="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8,144</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6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5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1,182</w:t>
            </w: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2009</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116</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255</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371</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959</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1,330</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11</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170</w:t>
            </w:r>
          </w:p>
        </w:tc>
        <w:tc>
          <w:tcPr>
            <w:tcW w:w="980" w:type="dxa"/>
            <w:vAlign w:val="bottom"/>
            <w:tcBorders>
              <w:right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225</w:t>
            </w:r>
          </w:p>
        </w:tc>
        <w:tc>
          <w:tcPr>
            <w:tcW w:w="940" w:type="dxa"/>
            <w:vAlign w:val="bottom"/>
            <w:tcBorders>
              <w:left w:val="single" w:sz="8" w:color="CCEEFF"/>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395</w:t>
            </w:r>
          </w:p>
        </w:tc>
        <w:tc>
          <w:tcPr>
            <w:tcW w:w="340" w:type="dxa"/>
            <w:vAlign w:val="bottom"/>
            <w:tcBorders>
              <w:right w:val="single" w:sz="8" w:color="auto"/>
            </w:tcBorders>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1,143</w:t>
            </w:r>
          </w:p>
        </w:tc>
        <w:tc>
          <w:tcPr>
            <w:tcW w:w="340" w:type="dxa"/>
            <w:vAlign w:val="bottom"/>
            <w:tcBorders>
              <w:right w:val="single" w:sz="8" w:color="auto"/>
            </w:tcBorders>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1,538</w:t>
            </w:r>
          </w:p>
        </w:tc>
        <w:tc>
          <w:tcPr>
            <w:tcW w:w="1320" w:type="dxa"/>
            <w:vAlign w:val="bottom"/>
            <w:tcBorders>
              <w:right w:val="single" w:sz="8" w:color="CCEEFF"/>
            </w:tcBorders>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 #</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207</w:t>
            </w:r>
          </w:p>
        </w:tc>
        <w:tc>
          <w:tcPr>
            <w:tcW w:w="980" w:type="dxa"/>
            <w:vAlign w:val="bottom"/>
            <w:tcBorders>
              <w:right w:val="single" w:sz="8" w:color="auto"/>
            </w:tcBorders>
            <w:gridSpan w:val="2"/>
          </w:tcPr>
          <w:p>
            <w:pPr>
              <w:jc w:val="right"/>
              <w:ind w:right="38"/>
              <w:spacing w:after="0"/>
              <w:rPr>
                <w:sz w:val="20"/>
                <w:szCs w:val="20"/>
                <w:color w:val="auto"/>
              </w:rPr>
            </w:pPr>
            <w:r>
              <w:rPr>
                <w:rFonts w:ascii="Arial" w:cs="Arial" w:eastAsia="Arial" w:hAnsi="Arial"/>
                <w:sz w:val="18"/>
                <w:szCs w:val="18"/>
                <w:color w:val="auto"/>
              </w:rPr>
              <w:t>326</w:t>
            </w:r>
          </w:p>
        </w:tc>
        <w:tc>
          <w:tcPr>
            <w:tcW w:w="94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533</w:t>
            </w:r>
          </w:p>
        </w:tc>
        <w:tc>
          <w:tcPr>
            <w:tcW w:w="34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1,160</w:t>
            </w:r>
          </w:p>
        </w:tc>
        <w:tc>
          <w:tcPr>
            <w:tcW w:w="3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rPr>
              <w:t>1,693</w:t>
            </w:r>
          </w:p>
        </w:tc>
        <w:tc>
          <w:tcPr>
            <w:tcW w:w="1320" w:type="dxa"/>
            <w:vAlign w:val="bottom"/>
            <w:gridSpan w:val="3"/>
          </w:tcPr>
          <w:p>
            <w:pPr>
              <w:jc w:val="right"/>
              <w:ind w:right="572"/>
              <w:spacing w:after="0"/>
              <w:rPr>
                <w:sz w:val="20"/>
                <w:szCs w:val="20"/>
                <w:color w:val="auto"/>
              </w:rPr>
            </w:pPr>
            <w:r>
              <w:rPr>
                <w:rFonts w:ascii="Arial" w:cs="Arial" w:eastAsia="Arial" w:hAnsi="Arial"/>
                <w:sz w:val="18"/>
                <w:szCs w:val="18"/>
                <w:color w:val="auto"/>
              </w:rPr>
              <w:t>7</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 #</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393</w:t>
            </w: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655</w:t>
            </w: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1,000</w:t>
            </w:r>
          </w:p>
        </w:tc>
        <w:tc>
          <w:tcPr>
            <w:tcW w:w="3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1,655</w:t>
            </w: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vMerge w:val="continue"/>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755</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1,199</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1,954</w:t>
            </w:r>
          </w:p>
        </w:tc>
        <w:tc>
          <w:tcPr>
            <w:tcW w:w="34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4,262</w:t>
            </w:r>
          </w:p>
        </w:tc>
        <w:tc>
          <w:tcPr>
            <w:tcW w:w="34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6,216</w:t>
            </w:r>
          </w:p>
        </w:tc>
        <w:tc>
          <w:tcPr>
            <w:tcW w:w="220" w:type="dxa"/>
            <w:vAlign w:val="bottom"/>
          </w:tcPr>
          <w:p>
            <w:pPr>
              <w:spacing w:after="0"/>
              <w:rPr>
                <w:sz w:val="19"/>
                <w:szCs w:val="19"/>
                <w:color w:val="auto"/>
              </w:rPr>
            </w:pPr>
          </w:p>
        </w:tc>
        <w:tc>
          <w:tcPr>
            <w:tcW w:w="110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rPr>
              <w:t>29</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1,623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Variance reported only if current production estimate differs from prior production estimate by 5K units or more</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Denotes estimate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All Numbers may vary due to rounding</w:t>
      </w:r>
    </w:p>
    <w:p>
      <w:pPr>
        <w:spacing w:after="0" w:line="9" w:lineRule="exact"/>
        <w:rPr>
          <w:rFonts w:ascii="Arial" w:cs="Arial" w:eastAsia="Arial" w:hAnsi="Arial"/>
          <w:sz w:val="18"/>
          <w:szCs w:val="18"/>
          <w:color w:val="auto"/>
        </w:rPr>
      </w:pPr>
    </w:p>
    <w:p>
      <w:pPr>
        <w:ind w:right="40"/>
        <w:spacing w:after="0" w:line="250" w:lineRule="auto"/>
        <w:rPr>
          <w:rFonts w:ascii="Arial" w:cs="Arial" w:eastAsia="Arial" w:hAnsi="Arial"/>
          <w:sz w:val="18"/>
          <w:szCs w:val="18"/>
          <w:color w:val="auto"/>
        </w:rPr>
      </w:pPr>
      <w:r>
        <w:rPr>
          <w:rFonts w:ascii="Arial" w:cs="Arial" w:eastAsia="Arial" w:hAnsi="Arial"/>
          <w:sz w:val="18"/>
          <w:szCs w:val="18"/>
          <w:color w:val="auto"/>
        </w:rPr>
        <w:t>General Motors Company acquired operations from General Motors Corporation on July 10, 2009, and references to prior periods in this and other materials refer to operations of the old General Motors Corporation</w:t>
      </w:r>
    </w:p>
    <w:p>
      <w:pPr>
        <w:ind w:left="20" w:right="400" w:hanging="5"/>
        <w:spacing w:after="0" w:line="300" w:lineRule="auto"/>
        <w:rPr>
          <w:rFonts w:ascii="Arial" w:cs="Arial" w:eastAsia="Arial" w:hAnsi="Arial"/>
          <w:sz w:val="18"/>
          <w:szCs w:val="18"/>
          <w:color w:val="auto"/>
        </w:rPr>
      </w:pPr>
      <w:r>
        <w:rPr>
          <w:rFonts w:ascii="Arial" w:cs="Arial" w:eastAsia="Arial" w:hAnsi="Arial"/>
          <w:sz w:val="15"/>
          <w:szCs w:val="15"/>
          <w:color w:val="auto"/>
        </w:rPr>
        <w:t xml:space="preserve">This report is governed by the Terms and Conditions on the GM Investor Information website: http://www.gm.com/corporate/investor_information/terms.jsp </w:t>
      </w:r>
      <w:r>
        <w:rPr>
          <w:rFonts w:ascii="Arial" w:cs="Arial" w:eastAsia="Arial" w:hAnsi="Arial"/>
          <w:sz w:val="10"/>
          <w:szCs w:val="10"/>
          <w:color w:val="auto"/>
        </w:rPr>
        <w:t xml:space="preserve">1 </w:t>
      </w:r>
      <w:r>
        <w:rPr>
          <w:rFonts w:ascii="Arial" w:cs="Arial" w:eastAsia="Arial" w:hAnsi="Arial"/>
          <w:sz w:val="15"/>
          <w:szCs w:val="15"/>
          <w:color w:val="auto"/>
        </w:rPr>
        <w:t>GMNA includes joint venture production - HUMMER and CAMI units included in GMNA Truck and production historically classified as joint venture</w:t>
      </w:r>
    </w:p>
    <w:p>
      <w:pPr>
        <w:ind w:left="240"/>
        <w:spacing w:after="0"/>
        <w:rPr>
          <w:rFonts w:ascii="Arial" w:cs="Arial" w:eastAsia="Arial" w:hAnsi="Arial"/>
          <w:sz w:val="18"/>
          <w:szCs w:val="18"/>
          <w:color w:val="auto"/>
        </w:rPr>
      </w:pPr>
      <w:r>
        <w:rPr>
          <w:rFonts w:ascii="Arial" w:cs="Arial" w:eastAsia="Arial" w:hAnsi="Arial"/>
          <w:sz w:val="18"/>
          <w:szCs w:val="18"/>
          <w:color w:val="auto"/>
        </w:rPr>
        <w:t>production - NUMMI units included in GMNA car</w:t>
      </w:r>
    </w:p>
    <w:p>
      <w:pPr>
        <w:spacing w:after="0" w:line="43" w:lineRule="exact"/>
        <w:rPr>
          <w:sz w:val="20"/>
          <w:szCs w:val="20"/>
          <w:color w:val="auto"/>
        </w:rPr>
      </w:pPr>
    </w:p>
    <w:p>
      <w:pPr>
        <w:jc w:val="both"/>
        <w:ind w:left="220" w:right="60" w:hanging="212"/>
        <w:spacing w:after="0" w:line="272" w:lineRule="auto"/>
        <w:tabs>
          <w:tab w:leader="none" w:pos="22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GMIO includes GM-AvtoVAZ, SAIC-GM-Wuling and GM Daewoo Auto Technologies (GMDAT) joint venture production beginning in Q1 2004 (Starting in Q3 2005, GMIO joint venture production does not include GMDAT); and GM Egypt, Shanghai GM Norsom Motors (formerly Jinbei GM) and Shanghai GM</w:t>
      </w:r>
    </w:p>
    <w:p>
      <w:pPr>
        <w:sectPr>
          <w:pgSz w:w="11900" w:h="16838" w:orient="portrait"/>
          <w:cols w:equalWidth="0" w:num="1">
            <w:col w:w="11420"/>
          </w:cols>
          <w:pgMar w:left="240" w:top="274" w:right="239" w:bottom="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joint ventures.</w:t>
      </w:r>
    </w:p>
    <w:sectPr>
      <w:pgSz w:w="11900" w:h="16838" w:orient="portrait"/>
      <w:cols w:equalWidth="0" w:num="1">
        <w:col w:w="9999"/>
      </w:cols>
      <w:pgMar w:left="46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endash "/>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2019-12-11T04:55:45Z</dcterms:created>
  <dcterms:modified xsi:type="dcterms:W3CDTF">2019-12-11T04:55:45Z</dcterms:modified>
</cp:coreProperties>
</file>