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where</w:t>
            </w:r>
          </w:p>
        </w:tc>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333-284557</w:t>
            </w: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780" w:type="dxa"/>
            <w:vAlign w:val="bottom"/>
            <w:gridSpan w:val="4"/>
            <w:vMerge w:val="restart"/>
          </w:tcPr>
          <w:p>
            <w:pPr>
              <w:jc w:val="center"/>
              <w:ind w:right="1146"/>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MAY 5, 2025</w:t>
            </w:r>
          </w:p>
        </w:tc>
        <w:tc>
          <w:tcPr>
            <w:tcW w:w="0" w:type="dxa"/>
            <w:vAlign w:val="bottom"/>
          </w:tcPr>
          <w:p>
            <w:pPr>
              <w:spacing w:after="0"/>
              <w:rPr>
                <w:sz w:val="1"/>
                <w:szCs w:val="1"/>
                <w:color w:val="auto"/>
              </w:rPr>
            </w:pPr>
          </w:p>
        </w:tc>
      </w:tr>
      <w:tr>
        <w:trPr>
          <w:trHeight w:val="54"/>
        </w:trPr>
        <w:tc>
          <w:tcPr>
            <w:tcW w:w="300" w:type="dxa"/>
            <w:vAlign w:val="bottom"/>
            <w:vMerge w:val="restart"/>
            <w:textDirection w:val="btLr"/>
          </w:tcPr>
          <w:p>
            <w:pPr>
              <w:ind w:left="220"/>
              <w:spacing w:after="0"/>
              <w:rPr>
                <w:sz w:val="20"/>
                <w:szCs w:val="20"/>
                <w:color w:val="auto"/>
              </w:rPr>
            </w:pPr>
            <w:r>
              <w:rPr>
                <w:rFonts w:ascii="Times New Roman" w:cs="Times New Roman" w:eastAsia="Times New Roman" w:hAnsi="Times New Roman"/>
                <w:sz w:val="7"/>
                <w:szCs w:val="7"/>
                <w:b w:val="1"/>
                <w:bCs w:val="1"/>
                <w:color w:val="FF4338"/>
                <w:w w:val="75"/>
              </w:rPr>
              <w:t>supplementandthe</w:t>
            </w:r>
          </w:p>
        </w:tc>
        <w:tc>
          <w:tcPr>
            <w:tcW w:w="540" w:type="dxa"/>
            <w:vAlign w:val="bottom"/>
            <w:vMerge w:val="restart"/>
            <w:textDirection w:val="btLr"/>
          </w:tcPr>
          <w:p>
            <w:pPr>
              <w:ind w:left="168"/>
              <w:spacing w:after="0"/>
              <w:rPr>
                <w:sz w:val="20"/>
                <w:szCs w:val="20"/>
                <w:color w:val="auto"/>
              </w:rPr>
            </w:pPr>
            <w:r>
              <w:rPr>
                <w:rFonts w:ascii="Times New Roman" w:cs="Times New Roman" w:eastAsia="Times New Roman" w:hAnsi="Times New Roman"/>
                <w:sz w:val="7"/>
                <w:szCs w:val="7"/>
                <w:b w:val="1"/>
                <w:bCs w:val="1"/>
                <w:color w:val="FF4338"/>
                <w:w w:val="75"/>
              </w:rPr>
              <w:t>stateorjurisdiction</w:t>
            </w:r>
          </w:p>
        </w:tc>
        <w:tc>
          <w:tcPr>
            <w:tcW w:w="520" w:type="dxa"/>
            <w:vAlign w:val="bottom"/>
          </w:tcPr>
          <w:p>
            <w:pPr>
              <w:spacing w:after="0"/>
              <w:rPr>
                <w:sz w:val="4"/>
                <w:szCs w:val="4"/>
                <w:color w:val="auto"/>
              </w:rPr>
            </w:pPr>
          </w:p>
        </w:tc>
        <w:tc>
          <w:tcPr>
            <w:tcW w:w="9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30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40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0" w:type="dxa"/>
            <w:vAlign w:val="bottom"/>
            <w:gridSpan w:val="4"/>
            <w:vMerge w:val="continue"/>
          </w:tcPr>
          <w:p>
            <w:pPr>
              <w:spacing w:after="0"/>
              <w:rPr>
                <w:sz w:val="2"/>
                <w:szCs w:val="2"/>
                <w:color w:val="auto"/>
              </w:rPr>
            </w:pPr>
          </w:p>
        </w:tc>
        <w:tc>
          <w:tcPr>
            <w:tcW w:w="6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 Prospectus dated January 28, 2025)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92"/>
              </w:rPr>
              <w:t>Theinformationinthispreliminaryprospectussupplementisnotcompleteandmaybechanged.Thispreliminaryprospectus</w:t>
            </w:r>
          </w:p>
        </w:tc>
        <w:tc>
          <w:tcPr>
            <w:tcW w:w="540" w:type="dxa"/>
            <w:vAlign w:val="bottom"/>
            <w:vMerge w:val="restart"/>
            <w:textDirection w:val="btLr"/>
          </w:tcPr>
          <w:p>
            <w:pPr>
              <w:ind w:left="441"/>
              <w:spacing w:after="0"/>
              <w:rPr>
                <w:sz w:val="20"/>
                <w:szCs w:val="20"/>
                <w:color w:val="auto"/>
              </w:rPr>
            </w:pPr>
            <w:r>
              <w:rPr>
                <w:rFonts w:ascii="Times New Roman" w:cs="Times New Roman" w:eastAsia="Times New Roman" w:hAnsi="Times New Roman"/>
                <w:sz w:val="2"/>
                <w:szCs w:val="2"/>
                <w:b w:val="1"/>
                <w:bCs w:val="1"/>
                <w:color w:val="FF4338"/>
                <w:w w:val="91"/>
              </w:rPr>
              <w:t>accompanyingprospectusarenotanoffertosellthesesecurities,andwearenotsolicitingofferstobuythesesecurities,inanytheofferorsaleisnotpermitted.</w:t>
            </w:r>
          </w:p>
        </w:tc>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tcPr>
          <w:p>
            <w:pPr>
              <w:jc w:val="right"/>
              <w:ind w:right="5346"/>
              <w:spacing w:after="0"/>
              <w:rPr>
                <w:sz w:val="20"/>
                <w:szCs w:val="20"/>
                <w:color w:val="auto"/>
              </w:rPr>
            </w:pPr>
            <w:r>
              <w:rPr>
                <w:rFonts w:ascii="Times New Roman" w:cs="Times New Roman" w:eastAsia="Times New Roman" w:hAnsi="Times New Roman"/>
                <w:sz w:val="25"/>
                <w:szCs w:val="25"/>
                <w:b w:val="1"/>
                <w:bCs w:val="1"/>
                <w:color w:val="auto"/>
              </w:rPr>
              <w:t>$</w:t>
            </w:r>
          </w:p>
        </w:tc>
        <w:tc>
          <w:tcPr>
            <w:tcW w:w="0" w:type="dxa"/>
            <w:vAlign w:val="bottom"/>
          </w:tcPr>
          <w:p>
            <w:pPr>
              <w:spacing w:after="0"/>
              <w:rPr>
                <w:sz w:val="1"/>
                <w:szCs w:val="1"/>
                <w:color w:val="auto"/>
              </w:rPr>
            </w:pPr>
          </w:p>
        </w:tc>
      </w:tr>
      <w:tr>
        <w:trPr>
          <w:trHeight w:val="1315"/>
        </w:trPr>
        <w:tc>
          <w:tcPr>
            <w:tcW w:w="30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vMerge w:val="restart"/>
          </w:tcPr>
          <w:p>
            <w:pPr>
              <w:ind w:left="25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b w:val="1"/>
                <w:bCs w:val="1"/>
                <w:color w:val="auto"/>
              </w:rPr>
              <w:t> </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0" w:type="dxa"/>
            <w:vAlign w:val="bottom"/>
          </w:tcPr>
          <w:p>
            <w:pPr>
              <w:spacing w:after="0"/>
              <w:rPr>
                <w:sz w:val="1"/>
                <w:szCs w:val="1"/>
                <w:color w:val="auto"/>
              </w:rPr>
            </w:pPr>
          </w:p>
        </w:tc>
      </w:tr>
      <w:tr>
        <w:trPr>
          <w:trHeight w:val="39"/>
        </w:trPr>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6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tcPr>
          <w:p>
            <w:pPr>
              <w:ind w:left="25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rPr>
              <w:t> </w:t>
            </w:r>
          </w:p>
        </w:tc>
        <w:tc>
          <w:tcPr>
            <w:tcW w:w="630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tcPr>
          <w:p>
            <w:pPr>
              <w:ind w:left="256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rPr>
              <w:t> </w:t>
            </w:r>
          </w:p>
        </w:tc>
        <w:tc>
          <w:tcPr>
            <w:tcW w:w="630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166370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-1110615</wp:posOffset>
            </wp:positionV>
            <wp:extent cx="3137535" cy="402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402590"/>
                    </a:xfrm>
                    <a:prstGeom prst="rect">
                      <a:avLst/>
                    </a:prstGeom>
                    <a:noFill/>
                  </pic:spPr>
                </pic:pic>
              </a:graphicData>
            </a:graphic>
          </wp:anchor>
        </w:drawing>
      </w:r>
    </w:p>
    <w:p>
      <w:pPr>
        <w:spacing w:after="0" w:line="372"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General Motors Company is offering $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7"/>
              </w:rPr>
              <w:t>in aggregate principal amount of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8"/>
              </w:rPr>
              <w:t>% Senior Notes due 20 (the “20 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Notes”), $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5"/>
              </w:rPr>
              <w:t>   in aggregate principal amount of       % Senior Notes due 20 </w:t>
            </w: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   (the “20 Notes”) and $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aggregate</w:t>
            </w:r>
          </w:p>
        </w:tc>
      </w:tr>
      <w:tr>
        <w:trPr>
          <w:trHeight w:val="216"/>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4"/>
              </w:rPr>
              <w:t>principal amount of       % Senior Notes due 20 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(the “20 </w:t>
            </w:r>
          </w:p>
        </w:tc>
        <w:tc>
          <w:tcPr>
            <w:tcW w:w="32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xml:space="preserve">   Notes” and, collectively with the 20    </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Notes and the</w:t>
            </w:r>
          </w:p>
        </w:tc>
        <w:tc>
          <w:tcPr>
            <w:tcW w:w="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20 </w:t>
            </w:r>
          </w:p>
        </w:tc>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Notes, the “Notes”).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6"/>
        </w:trPr>
        <w:tc>
          <w:tcPr>
            <w:tcW w:w="3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5"/>
              </w:rPr>
              <w:t>The 20 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Notes will mature on 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2"/>
              </w:rPr>
              <w:t>   , 20 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3"/>
              </w:rPr>
              <w:t>, the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2"/>
              </w:rPr>
              <w:t>Notes will mature on 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20 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5"/>
              </w:rPr>
              <w:t>and the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Notes will</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mature on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 20 . Interest on the Notes will accrue from 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6"/>
              </w:rPr>
              <w:t>, 2025. We will pay interest on the Notes semi-annually on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0"/>
              </w:rPr>
              <w:t>and  </w:t>
            </w:r>
          </w:p>
        </w:tc>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3"/>
              </w:rPr>
              <w:t>   of each year, commencing on </w:t>
            </w:r>
          </w:p>
        </w:tc>
        <w:tc>
          <w:tcPr>
            <w:tcW w:w="606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 2025. The Notes will be our senior unsecured obligations and will rank equally in</w:t>
            </w:r>
          </w:p>
        </w:tc>
        <w:tc>
          <w:tcPr>
            <w:tcW w:w="280" w:type="dxa"/>
            <w:vAlign w:val="bottom"/>
          </w:tcPr>
          <w:p>
            <w:pPr>
              <w:spacing w:after="0"/>
              <w:rPr>
                <w:sz w:val="18"/>
                <w:szCs w:val="18"/>
                <w:color w:val="auto"/>
              </w:rPr>
            </w:pPr>
          </w:p>
        </w:tc>
      </w:tr>
      <w:tr>
        <w:trPr>
          <w:trHeight w:val="234"/>
        </w:trPr>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right of payment with all of our existing and future senior unsecured indebtedness.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6"/>
        </w:trPr>
        <w:tc>
          <w:tcPr>
            <w:tcW w:w="360" w:type="dxa"/>
            <w:vAlign w:val="bottom"/>
          </w:tcPr>
          <w:p>
            <w:pPr>
              <w:spacing w:after="0"/>
              <w:rPr>
                <w:sz w:val="24"/>
                <w:szCs w:val="24"/>
                <w:color w:val="auto"/>
              </w:rPr>
            </w:pPr>
          </w:p>
        </w:tc>
        <w:tc>
          <w:tcPr>
            <w:tcW w:w="4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xml:space="preserve">We may, at our option, redeem some or all of the 20    </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Notes, the 20    </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3"/>
              </w:rPr>
              <w:t>Notes and the 20 </w:t>
            </w: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Notes at any time and</w:t>
            </w:r>
          </w:p>
        </w:tc>
      </w:tr>
      <w:tr>
        <w:trPr>
          <w:trHeight w:val="234"/>
        </w:trPr>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from time to time at the applicable redemption prices described under “Description of the Notes—Optional Redemption.”</w:t>
            </w:r>
          </w:p>
        </w:tc>
        <w:tc>
          <w:tcPr>
            <w:tcW w:w="2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162560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4"/>
          <w:szCs w:val="24"/>
          <w:color w:val="auto"/>
        </w:rPr>
      </w:pPr>
    </w:p>
    <w:p>
      <w:pPr>
        <w:jc w:val="both"/>
        <w:ind w:left="980" w:right="880" w:firstLine="37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151765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3" w:lineRule="exact"/>
        <w:rPr>
          <w:sz w:val="24"/>
          <w:szCs w:val="24"/>
          <w:color w:val="auto"/>
        </w:rPr>
      </w:pPr>
    </w:p>
    <w:p>
      <w:pPr>
        <w:ind w:left="980" w:right="880" w:firstLine="371"/>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149225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48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Per 20</w:t>
            </w:r>
          </w:p>
        </w:tc>
        <w:tc>
          <w:tcPr>
            <w:tcW w:w="360" w:type="dxa"/>
            <w:vAlign w:val="bottom"/>
          </w:tcPr>
          <w:p>
            <w:pPr>
              <w:spacing w:after="0"/>
              <w:rPr>
                <w:sz w:val="13"/>
                <w:szCs w:val="13"/>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Price to Public</w:t>
            </w:r>
            <w:r>
              <w:rPr>
                <w:rFonts w:ascii="Times New Roman" w:cs="Times New Roman" w:eastAsia="Times New Roman" w:hAnsi="Times New Roman"/>
                <w:sz w:val="24"/>
                <w:szCs w:val="24"/>
                <w:color w:val="auto"/>
                <w:vertAlign w:val="superscript"/>
              </w:rPr>
              <w:t>(1)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before expenses, to us</w:t>
            </w:r>
            <w:r>
              <w:rPr>
                <w:rFonts w:ascii="Times New Roman" w:cs="Times New Roman" w:eastAsia="Times New Roman" w:hAnsi="Times New Roman"/>
                <w:sz w:val="25"/>
                <w:szCs w:val="25"/>
                <w:color w:val="auto"/>
                <w:vertAlign w:val="superscript"/>
              </w:rPr>
              <w:t>(1)</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w w:val="70"/>
              </w:rPr>
              <w:t>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auto"/>
            </w:tcBorders>
          </w:tcPr>
          <w:p>
            <w:pPr>
              <w:spacing w:after="0"/>
              <w:rPr>
                <w:sz w:val="11"/>
                <w:szCs w:val="11"/>
                <w:color w:val="auto"/>
              </w:rPr>
            </w:pPr>
          </w:p>
        </w:tc>
        <w:tc>
          <w:tcPr>
            <w:tcW w:w="2980" w:type="dxa"/>
            <w:vAlign w:val="bottom"/>
            <w:gridSpan w:val="3"/>
          </w:tcPr>
          <w:p>
            <w:pPr>
              <w:spacing w:after="0"/>
              <w:rPr>
                <w:sz w:val="11"/>
                <w:szCs w:val="11"/>
                <w:color w:val="auto"/>
              </w:rPr>
            </w:pPr>
          </w:p>
        </w:tc>
        <w:tc>
          <w:tcPr>
            <w:tcW w:w="3380" w:type="dxa"/>
            <w:vAlign w:val="bottom"/>
            <w:gridSpan w:val="12"/>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6"/>
        </w:trPr>
        <w:tc>
          <w:tcPr>
            <w:tcW w:w="4000" w:type="dxa"/>
            <w:vAlign w:val="bottom"/>
            <w:gridSpan w:val="4"/>
          </w:tcPr>
          <w:p>
            <w:pPr>
              <w:spacing w:after="0"/>
              <w:rPr>
                <w:sz w:val="20"/>
                <w:szCs w:val="20"/>
                <w:color w:val="auto"/>
              </w:rPr>
            </w:pP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18"/>
                <w:szCs w:val="18"/>
                <w:color w:val="auto"/>
                <w:w w:val="98"/>
              </w:rPr>
              <w:t xml:space="preserve">   Plus accrued interest, if any, from and including  </w:t>
            </w:r>
          </w:p>
        </w:tc>
        <w:tc>
          <w:tcPr>
            <w:tcW w:w="338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 2025 to but excluding the delivery date.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980" w:right="980"/>
        <w:spacing w:after="0" w:line="261"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and its participants, including Euroclear Bank SA/NV (“Euroclear”) and Clearstream Banking, S.A. (“Clearstream”),</w:t>
      </w:r>
    </w:p>
    <w:tbl>
      <w:tblPr>
        <w:tblLayout w:type="fixed"/>
        <w:tblInd w:w="9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 or about    </w:t>
            </w:r>
          </w:p>
        </w:tc>
        <w:tc>
          <w:tcPr>
            <w:tcW w:w="2560" w:type="dxa"/>
            <w:vAlign w:val="bottom"/>
          </w:tcPr>
          <w:p>
            <w:pPr>
              <w:jc w:val="right"/>
              <w:ind w:right="1892"/>
              <w:spacing w:after="0"/>
              <w:rPr>
                <w:sz w:val="20"/>
                <w:szCs w:val="20"/>
                <w:color w:val="auto"/>
              </w:rPr>
            </w:pPr>
            <w:r>
              <w:rPr>
                <w:rFonts w:ascii="Times New Roman" w:cs="Times New Roman" w:eastAsia="Times New Roman" w:hAnsi="Times New Roman"/>
                <w:sz w:val="18"/>
                <w:szCs w:val="18"/>
                <w:color w:val="auto"/>
              </w:rPr>
              <w:t>, 2025.</w:t>
            </w: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38"/>
        </w:trPr>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7"/>
        </w:trPr>
        <w:tc>
          <w:tcPr>
            <w:tcW w:w="1120" w:type="dxa"/>
            <w:vAlign w:val="bottom"/>
          </w:tcPr>
          <w:p>
            <w:pPr>
              <w:spacing w:after="0"/>
              <w:rPr>
                <w:sz w:val="24"/>
                <w:szCs w:val="24"/>
                <w:color w:val="auto"/>
              </w:rPr>
            </w:pPr>
          </w:p>
        </w:tc>
        <w:tc>
          <w:tcPr>
            <w:tcW w:w="5440" w:type="dxa"/>
            <w:vAlign w:val="bottom"/>
            <w:gridSpan w:val="3"/>
          </w:tcPr>
          <w:p>
            <w:pPr>
              <w:ind w:left="21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tc>
        <w:tc>
          <w:tcPr>
            <w:tcW w:w="2720" w:type="dxa"/>
            <w:vAlign w:val="bottom"/>
          </w:tcPr>
          <w:p>
            <w:pPr>
              <w:spacing w:after="0"/>
              <w:rPr>
                <w:sz w:val="24"/>
                <w:szCs w:val="24"/>
                <w:color w:val="auto"/>
              </w:rPr>
            </w:pPr>
          </w:p>
        </w:tc>
      </w:tr>
      <w:tr>
        <w:trPr>
          <w:trHeight w:val="442"/>
        </w:trPr>
        <w:tc>
          <w:tcPr>
            <w:tcW w:w="112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5440" w:type="dxa"/>
            <w:vAlign w:val="bottom"/>
            <w:gridSpan w:val="3"/>
          </w:tcPr>
          <w:p>
            <w:pPr>
              <w:ind w:left="2140"/>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2720" w:type="dxa"/>
            <w:vAlign w:val="bottom"/>
          </w:tcPr>
          <w:p>
            <w:pPr>
              <w:ind w:left="320"/>
              <w:spacing w:after="0"/>
              <w:rPr>
                <w:sz w:val="20"/>
                <w:szCs w:val="20"/>
                <w:color w:val="auto"/>
              </w:rPr>
            </w:pPr>
            <w:r>
              <w:rPr>
                <w:rFonts w:ascii="Times New Roman" w:cs="Times New Roman" w:eastAsia="Times New Roman" w:hAnsi="Times New Roman"/>
                <w:sz w:val="25"/>
                <w:szCs w:val="25"/>
                <w:b w:val="1"/>
                <w:bCs w:val="1"/>
                <w:color w:val="auto"/>
                <w:w w:val="99"/>
              </w:rPr>
              <w:t>Wells Fargo Securities</w:t>
            </w:r>
          </w:p>
        </w:tc>
      </w:tr>
    </w:tbl>
    <w:p>
      <w:pPr>
        <w:spacing w:after="0" w:line="104" w:lineRule="exact"/>
        <w:rPr>
          <w:sz w:val="24"/>
          <w:szCs w:val="24"/>
          <w:color w:val="auto"/>
        </w:rPr>
      </w:pPr>
    </w:p>
    <w:p>
      <w:pPr>
        <w:sectPr>
          <w:pgSz w:w="11900" w:h="16838" w:orient="portrait"/>
          <w:cols w:equalWidth="0" w:num="1">
            <w:col w:w="11140"/>
          </w:cols>
          <w:pgMar w:left="320" w:top="216"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May       , 2025.</w:t>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7"/>
            <w:vMerge w:val="continue"/>
          </w:tcPr>
          <w:p>
            <w:pPr>
              <w:spacing w:after="0"/>
              <w:rPr>
                <w:sz w:val="13"/>
                <w:szCs w:val="13"/>
                <w:color w:val="auto"/>
              </w:rPr>
            </w:pPr>
          </w:p>
        </w:tc>
        <w:tc>
          <w:tcPr>
            <w:tcW w:w="7120" w:type="dxa"/>
            <w:vAlign w:val="bottom"/>
            <w:gridSpan w:val="4"/>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0"/>
          </w:tcPr>
          <w:p>
            <w:pPr>
              <w:spacing w:after="0"/>
              <w:rPr>
                <w:sz w:val="17"/>
                <w:szCs w:val="17"/>
                <w:color w:val="auto"/>
              </w:rPr>
            </w:pPr>
          </w:p>
        </w:tc>
        <w:tc>
          <w:tcPr>
            <w:tcW w:w="76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TAX CONSIDERATIONS</w:t>
            </w:r>
          </w:p>
        </w:tc>
        <w:tc>
          <w:tcPr>
            <w:tcW w:w="74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500" w:type="dxa"/>
            <w:vAlign w:val="bottom"/>
            <w:gridSpan w:val="2"/>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5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MOTORS COMPANY</w:t>
            </w:r>
          </w:p>
        </w:tc>
        <w:tc>
          <w:tcPr>
            <w:tcW w:w="800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OVERVIEW OF OUR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 THAT MAY BE OFFERED</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0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400" w:type="dxa"/>
            <w:vAlign w:val="bottom"/>
            <w:tcBorders>
              <w:top w:val="single" w:sz="8" w:color="0000EE"/>
            </w:tcBorders>
            <w:gridSpan w:val="6"/>
          </w:tcPr>
          <w:p>
            <w:pPr>
              <w:spacing w:after="0"/>
              <w:rPr>
                <w:sz w:val="17"/>
                <w:szCs w:val="17"/>
                <w:color w:val="auto"/>
              </w:rPr>
            </w:pPr>
          </w:p>
        </w:tc>
        <w:tc>
          <w:tcPr>
            <w:tcW w:w="5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74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60" w:type="dxa"/>
            <w:vAlign w:val="bottom"/>
            <w:tcBorders>
              <w:top w:val="single" w:sz="8" w:color="0000EE"/>
            </w:tcBorders>
            <w:gridSpan w:val="3"/>
          </w:tcPr>
          <w:p>
            <w:pPr>
              <w:spacing w:after="0"/>
              <w:rPr>
                <w:sz w:val="17"/>
                <w:szCs w:val="17"/>
                <w:color w:val="auto"/>
              </w:rPr>
            </w:pPr>
          </w:p>
        </w:tc>
        <w:tc>
          <w:tcPr>
            <w:tcW w:w="762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87"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7"/>
          <w:szCs w:val="17"/>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w:t>
      </w:r>
    </w:p>
    <w:p>
      <w:pPr>
        <w:spacing w:after="0" w:line="11" w:lineRule="exact"/>
        <w:rPr>
          <w:sz w:val="20"/>
          <w:szCs w:val="20"/>
          <w:color w:val="auto"/>
        </w:rPr>
      </w:pPr>
    </w:p>
    <w:p>
      <w:pPr>
        <w:ind w:left="120" w:hanging="4"/>
        <w:spacing w:after="0" w:line="250" w:lineRule="auto"/>
        <w:tabs>
          <w:tab w:leader="none" w:pos="4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w:t>
      </w:r>
    </w:p>
    <w:p>
      <w:pPr>
        <w:spacing w:after="0" w:line="7" w:lineRule="exact"/>
        <w:rPr>
          <w:rFonts w:ascii="Times New Roman" w:cs="Times New Roman" w:eastAsia="Times New Roman" w:hAnsi="Times New Roman"/>
          <w:sz w:val="18"/>
          <w:szCs w:val="18"/>
          <w:color w:val="auto"/>
        </w:rPr>
      </w:pPr>
    </w:p>
    <w:p>
      <w:pPr>
        <w:ind w:left="120" w:right="560" w:hanging="4"/>
        <w:spacing w:after="0" w:line="260" w:lineRule="auto"/>
        <w:tabs>
          <w:tab w:leader="none" w:pos="4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laws, regulations and policies applicable to our operations and products, including those relating to fuel economy, emissions and AVs; (23) costs and risks associated with litigation and government investigations; (24) the costs and effect 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a further discussion of these and other risks and uncertainties, refer to our Annual Report on Form 10-K for the year ended December 31, 2024 and our Quarterly Report on Form 10-Q for the quarter ended March 31, 2025, as updated by our subsequent filings with the SEC. Consequently, all of the forward-looking statements made in this prospectus and any prospectus supplement,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General Motors Financial Company, Inc. (“GM Financial”).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(“GMNA”) and GM International (“GMI”). 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12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GM Financial is our global captive automotive finance company and our global provider of automobile finance solutions. GM Financial conducts its business in North America, South America and through joint ventures in China.</w:t>
      </w:r>
    </w:p>
    <w:p>
      <w:pPr>
        <w:spacing w:after="0" w:line="162"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and to purchase and/or finance dealership real estate. GM Financial provides lending products to commercial vehicle upfitters and advances to certain GM subsidiaries.</w:t>
      </w:r>
    </w:p>
    <w:p>
      <w:pPr>
        <w:spacing w:after="0" w:line="18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841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84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Cruise</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Cruise business was pursuing the development and robotaxi commercialization of autonomous vehicle (“AV”) technology. In December 2024, we announced plans to refocus our autonomous driving strategy on personal vehicles and no longer fund Cruise’s robotaxi development work. In February 2025, we completed the acquisition of the noncontrolling interests in Cruise and began to wind down the Cruise robotaxi operations. In the first quarter of 2025, we combined the GM and Cruise technical efforts to build on the success of Super Cruise and prioritize the development of advanced driver-assistance systems on a path to fully autonomous personal vehicles. Such ongoing activities are reflected in our Automotive segments.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w:t>
      </w:r>
    </w:p>
    <w:p>
      <w:pPr>
        <w:spacing w:after="0" w:line="27" w:lineRule="exact"/>
        <w:rPr>
          <w:sz w:val="20"/>
          <w:szCs w:val="20"/>
          <w:color w:val="auto"/>
        </w:rPr>
      </w:pPr>
    </w:p>
    <w:p>
      <w:pPr>
        <w:ind w:left="300" w:right="520" w:hanging="2"/>
        <w:spacing w:after="0" w:line="255"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6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General Motors Company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3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8"/>
              </w:rPr>
              <w:t>in aggregate principal amount of </w:t>
            </w:r>
          </w:p>
        </w:tc>
        <w:tc>
          <w:tcPr>
            <w:tcW w:w="19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8"/>
              </w:rPr>
              <w:t>% Senior Notes due 20 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920" w:type="dxa"/>
            <w:vAlign w:val="bottom"/>
          </w:tcPr>
          <w:p>
            <w:pPr>
              <w:spacing w:after="0"/>
              <w:rPr>
                <w:sz w:val="18"/>
                <w:szCs w:val="18"/>
                <w:color w:val="auto"/>
              </w:rPr>
            </w:pPr>
          </w:p>
        </w:tc>
        <w:tc>
          <w:tcPr>
            <w:tcW w:w="36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 xml:space="preserve">aggregate principal amount of     </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w w:val="92"/>
              </w:rPr>
              <w:t>% Senior Notes due 20 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7"/>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and $ </w:t>
            </w:r>
          </w:p>
        </w:tc>
        <w:tc>
          <w:tcPr>
            <w:tcW w:w="13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in aggregate</w:t>
            </w:r>
          </w:p>
        </w:tc>
      </w:tr>
      <w:tr>
        <w:trPr>
          <w:trHeight w:val="234"/>
        </w:trPr>
        <w:tc>
          <w:tcPr>
            <w:tcW w:w="2920" w:type="dxa"/>
            <w:vAlign w:val="bottom"/>
          </w:tcPr>
          <w:p>
            <w:pPr>
              <w:spacing w:after="0"/>
              <w:rPr>
                <w:sz w:val="20"/>
                <w:szCs w:val="20"/>
                <w:color w:val="auto"/>
              </w:rPr>
            </w:pPr>
          </w:p>
        </w:tc>
        <w:tc>
          <w:tcPr>
            <w:tcW w:w="272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w w:val="96"/>
              </w:rPr>
              <w:t>principal amount of  </w:t>
            </w: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1"/>
              </w:rPr>
              <w:t>   % Senior Notes due 20 </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3"/>
              </w:rPr>
              <w:t>   .</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Original Issue Date</w:t>
            </w:r>
          </w:p>
        </w:tc>
        <w:tc>
          <w:tcPr>
            <w:tcW w:w="25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         , 2025.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78"/>
              </w:rPr>
              <w:t>The 20 </w:t>
            </w: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2"/>
              </w:rPr>
              <w:t>   Notes will mature on 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1"/>
              </w:rPr>
              <w:t>, the 20 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7"/>
              </w:rPr>
              <w:t> </w:t>
            </w: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5"/>
              </w:rPr>
              <w:t>Notes will mature on    ,</w:t>
            </w:r>
          </w:p>
        </w:tc>
      </w:tr>
      <w:tr>
        <w:trPr>
          <w:trHeight w:val="234"/>
        </w:trPr>
        <w:tc>
          <w:tcPr>
            <w:tcW w:w="2920" w:type="dxa"/>
            <w:vAlign w:val="bottom"/>
          </w:tcPr>
          <w:p>
            <w:pPr>
              <w:spacing w:after="0"/>
              <w:rPr>
                <w:sz w:val="20"/>
                <w:szCs w:val="20"/>
                <w:color w:val="auto"/>
              </w:rPr>
            </w:pP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20 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5"/>
              </w:rPr>
              <w:t>and the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7"/>
              </w:rPr>
              <w:t>Notes will mature on 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4"/>
              </w:rPr>
              <w:t>   , 20      .</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1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25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w w:val="96"/>
              </w:rPr>
              <w:t>Interest on the 20 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3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6"/>
              </w:rPr>
              <w:t>Notes will accrue at a rate of  </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16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color w:val="auto"/>
                <w:w w:val="99"/>
              </w:rPr>
              <w:t>% per year, interest on the</w:t>
            </w:r>
          </w:p>
        </w:tc>
      </w:tr>
      <w:tr>
        <w:trPr>
          <w:trHeight w:val="216"/>
        </w:trPr>
        <w:tc>
          <w:tcPr>
            <w:tcW w:w="2920" w:type="dxa"/>
            <w:vAlign w:val="bottom"/>
          </w:tcPr>
          <w:p>
            <w:pPr>
              <w:spacing w:after="0"/>
              <w:rPr>
                <w:sz w:val="18"/>
                <w:szCs w:val="18"/>
                <w:color w:val="auto"/>
              </w:rPr>
            </w:pP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20 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4"/>
              </w:rPr>
              <w:t>Notes will accrue at a rate of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5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6"/>
              </w:rPr>
              <w:t>% per year and interest on the 20 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Notes</w:t>
            </w:r>
          </w:p>
        </w:tc>
      </w:tr>
      <w:tr>
        <w:trPr>
          <w:trHeight w:val="234"/>
        </w:trPr>
        <w:tc>
          <w:tcPr>
            <w:tcW w:w="2920" w:type="dxa"/>
            <w:vAlign w:val="bottom"/>
          </w:tcPr>
          <w:p>
            <w:pPr>
              <w:spacing w:after="0"/>
              <w:rPr>
                <w:sz w:val="20"/>
                <w:szCs w:val="20"/>
                <w:color w:val="auto"/>
              </w:rPr>
            </w:pPr>
          </w:p>
        </w:tc>
        <w:tc>
          <w:tcPr>
            <w:tcW w:w="412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w w:val="98"/>
              </w:rPr>
              <w:t>will accrue at a rate of          % per year.</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1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6680" w:type="dxa"/>
            <w:vAlign w:val="bottom"/>
            <w:gridSpan w:val="15"/>
          </w:tcPr>
          <w:p>
            <w:pPr>
              <w:ind w:left="1120"/>
              <w:spacing w:after="0"/>
              <w:rPr>
                <w:sz w:val="20"/>
                <w:szCs w:val="20"/>
                <w:color w:val="auto"/>
              </w:rPr>
            </w:pPr>
            <w:r>
              <w:rPr>
                <w:rFonts w:ascii="Times New Roman" w:cs="Times New Roman" w:eastAsia="Times New Roman" w:hAnsi="Times New Roman"/>
                <w:sz w:val="18"/>
                <w:szCs w:val="18"/>
                <w:color w:val="auto"/>
                <w:w w:val="98"/>
              </w:rPr>
              <w:t>Interest on each series of Notes will be paid semi-annually and in arrears on </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2"/>
              </w:rPr>
              <w:t>and </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20" w:type="dxa"/>
            <w:vAlign w:val="bottom"/>
          </w:tcPr>
          <w:p>
            <w:pPr>
              <w:spacing w:after="0"/>
              <w:rPr>
                <w:sz w:val="20"/>
                <w:szCs w:val="20"/>
                <w:color w:val="auto"/>
              </w:rPr>
            </w:pPr>
          </w:p>
        </w:tc>
        <w:tc>
          <w:tcPr>
            <w:tcW w:w="454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w w:val="93"/>
              </w:rPr>
              <w:t>commencing on   , 2025, and will accrue from 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6"/>
              </w:rPr>
              <w:t>, 2025.</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 of the Notes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p>
      <w:pPr>
        <w:spacing w:after="0" w:line="112" w:lineRule="exact"/>
        <w:rPr>
          <w:sz w:val="20"/>
          <w:szCs w:val="20"/>
          <w:color w:val="auto"/>
        </w:rPr>
      </w:pPr>
    </w:p>
    <w:p>
      <w:pPr>
        <w:ind w:left="4520" w:right="240" w:hanging="179"/>
        <w:spacing w:after="0" w:line="266" w:lineRule="auto"/>
        <w:tabs>
          <w:tab w:leader="none" w:pos="4500" w:val="left"/>
        </w:tabs>
        <w:rPr>
          <w:sz w:val="20"/>
          <w:szCs w:val="20"/>
          <w:color w:val="auto"/>
        </w:rPr>
      </w:pPr>
      <w:r>
        <w:rPr>
          <w:rFonts w:ascii="Times New Roman" w:cs="Times New Roman" w:eastAsia="Times New Roman" w:hAnsi="Times New Roman"/>
          <w:sz w:val="18"/>
          <w:szCs w:val="18"/>
          <w:color w:val="auto"/>
        </w:rPr>
        <w:t>•</w:t>
        <w:tab/>
        <w:t>equal in right of payment to all of our existing and future indebtedness and other obligations that are not, by their terms, expressly subordinated in right of payment to the Notes;</w:t>
      </w:r>
    </w:p>
    <w:p>
      <w:pPr>
        <w:spacing w:after="0" w:line="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senior in right of payment to any of our existing or future indebtedness and other</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obligations that are, by their terms, expressly subordinated in right of payment to the</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effectively subordinated to all of our secured indebtedness and other secured obligations</w:t>
            </w:r>
          </w:p>
        </w:tc>
      </w:tr>
      <w:tr>
        <w:trPr>
          <w:trHeight w:val="216"/>
        </w:trPr>
        <w:tc>
          <w:tcPr>
            <w:tcW w:w="3020" w:type="dxa"/>
            <w:vAlign w:val="bottom"/>
          </w:tcPr>
          <w:p>
            <w:pPr>
              <w:spacing w:after="0"/>
              <w:rPr>
                <w:sz w:val="18"/>
                <w:szCs w:val="18"/>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to the extent of the value of the assets securing such secured indebtedness or other</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secured obligations; and</w:t>
            </w:r>
          </w:p>
        </w:tc>
      </w:tr>
      <w:tr>
        <w:trPr>
          <w:trHeight w:val="338"/>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structurally subordinated to all indebtedness and other obligations of our subsidiaries.</w:t>
            </w:r>
          </w:p>
        </w:tc>
      </w:tr>
      <w:tr>
        <w:trPr>
          <w:trHeight w:val="319"/>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We may, at our option, redeem some or all of the 20   Notes, the 20 Notes and the 20</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Notes at any time and from time to time at the applicable redemption prices described</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under “Description of the Notes—Optional Redemption.”</w:t>
            </w:r>
          </w:p>
        </w:tc>
      </w:tr>
      <w:tr>
        <w:trPr>
          <w:trHeight w:val="33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 will limit:</w:t>
            </w:r>
          </w:p>
        </w:tc>
      </w:tr>
      <w:tr>
        <w:trPr>
          <w:trHeight w:val="333"/>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the ability of GM and certain of its subsidiaries to incur indebtedness secured by certain</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principal domestic manufacturing</w:t>
            </w:r>
          </w:p>
        </w:tc>
      </w:tr>
      <w:tr>
        <w:trPr>
          <w:trHeight w:val="172"/>
        </w:trPr>
        <w:tc>
          <w:tcPr>
            <w:tcW w:w="30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73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60" w:right="600"/>
        <w:spacing w:after="0" w:line="266" w:lineRule="auto"/>
        <w:rPr>
          <w:sz w:val="20"/>
          <w:szCs w:val="20"/>
          <w:color w:val="auto"/>
        </w:rPr>
      </w:pPr>
      <w:r>
        <w:rPr>
          <w:rFonts w:ascii="Times New Roman" w:cs="Times New Roman" w:eastAsia="Times New Roman" w:hAnsi="Times New Roman"/>
          <w:sz w:val="18"/>
          <w:szCs w:val="18"/>
          <w:color w:val="auto"/>
        </w:rPr>
        <w:t>properties or by any shares of stock or indebtedness of certain manufacturing subsidiaries and to enter into certain sale and leaseback transactions with respect to certain principal domestic manufacturing properties; and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the ability of GM to enter into certain mergers or certain conveyances, transfers or leases</w:t>
            </w:r>
          </w:p>
        </w:tc>
      </w:tr>
      <w:tr>
        <w:trPr>
          <w:trHeight w:val="234"/>
        </w:trPr>
        <w:tc>
          <w:tcPr>
            <w:tcW w:w="3140" w:type="dxa"/>
            <w:vAlign w:val="bottom"/>
          </w:tcPr>
          <w:p>
            <w:pPr>
              <w:spacing w:after="0"/>
              <w:rPr>
                <w:sz w:val="20"/>
                <w:szCs w:val="20"/>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all or substantially all of its properties and assets.</w:t>
            </w:r>
          </w:p>
        </w:tc>
      </w:tr>
      <w:tr>
        <w:trPr>
          <w:trHeight w:val="319"/>
        </w:trPr>
        <w:tc>
          <w:tcPr>
            <w:tcW w:w="3140" w:type="dxa"/>
            <w:vAlign w:val="bottom"/>
          </w:tcPr>
          <w:p>
            <w:pPr>
              <w:spacing w:after="0"/>
              <w:rPr>
                <w:sz w:val="24"/>
                <w:szCs w:val="24"/>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Notes—Certain Covenants” in this prospectus supplement and “Description of Debt</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Securities—Consolidation, Merger or Sale of Assets” in the accompanying prospectus.</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Indenture does not limit the amount of Notes that we may issue. We may issue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additional Notes of any series up to an aggregate principal amount as our board of directors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may authorize from time to time; provided that if the additional Notes are not fungible with</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of a particular series for U.S. federal income tax purposes, the additional Notes</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will have a separate CUSIP number.</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Prior Markets</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existing markets.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Notes will not be listed on any securities exchange. Although the underwriters have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advised us that they currently intend to make a market in the Notes of each series, they are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 obligated to do so and may discontinue any market-making activities at any time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without notice. Accordingly, we cannot assure you as to the liquidity of, or the trading</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markets for, the Notes.</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 global notes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without interest coupons. The global notes will be deposited with a custodian for and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registered in the name of a nominee of The Depository Trust Company (“DTC”) in New</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York, New York. Investors may elect to hold interests in the global notes through DTC and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its direct or indirect participants as described under “Description of Debt Securities—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Book-Entry; Delivery and Form; Global Securities” in the accompanying prospectus.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Notes of each series will be issued only in minimum denominations of $2,000 and integral</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multiples of $1,000 in excess thereof.</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about         , 2025, which will be the second business day following the date of pricing of</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(such settlement cycle being referred to herein as “T+2”). Under Rule 15c6-1 of</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Exchange Act, trades in the secondary market generally are required to settle in one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business day, unless the parties to any such trade expressly agree otherwise. Accordingly,</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purchasers who wish to trade the Notes on any day prior to one business day before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settlement date will be required, by virtue of the fact that the Notes initially will settle in</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T+2, to specify an alternate settlement cycle at the time of any such trade to prevent a</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failed settlement. Purchasers of the Notes who wish to trade those Notes on the date of</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pricing should consult their own advisor.</w:t>
            </w:r>
          </w:p>
        </w:tc>
      </w:tr>
      <w:tr>
        <w:trPr>
          <w:trHeight w:val="172"/>
        </w:trPr>
        <w:tc>
          <w:tcPr>
            <w:tcW w:w="314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2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333"/>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for general</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corporate purposes, including to refinance a portion of the $1.25 billion outstanding of our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6.125% senior notes maturing on October 1, 2025, and fund a portion of the $1.8 billion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five-year term loan we have agreed to make to Ultium Cells LLC, our joint venture with</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LG Energy Solution, to facilitate full voluntary prepayment of loans Ultium Cells LLC</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received under the U.S. Department of Energy’s Advanced Technology Vehicles</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Manufacturing program. See “Use of Proceeds.”</w:t>
            </w:r>
          </w:p>
        </w:tc>
      </w:tr>
      <w:tr>
        <w:trPr>
          <w:trHeight w:val="337"/>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33"/>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in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 the SEC</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 before deciding to invest in the</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Notes.</w:t>
            </w:r>
          </w:p>
        </w:tc>
      </w:tr>
      <w:tr>
        <w:trPr>
          <w:trHeight w:val="432"/>
        </w:trPr>
        <w:tc>
          <w:tcPr>
            <w:tcW w:w="280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 * * * * *</w:t>
            </w:r>
          </w:p>
        </w:tc>
      </w:tr>
      <w:tr>
        <w:trPr>
          <w:trHeight w:val="172"/>
        </w:trPr>
        <w:tc>
          <w:tcPr>
            <w:tcW w:w="2800" w:type="dxa"/>
            <w:vAlign w:val="bottom"/>
            <w:tcBorders>
              <w:left w:val="single" w:sz="8" w:color="auto"/>
              <w:bottom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2024, as updated by our subsequent filings under the Exchange Act that are incorporated by reference herein, including our Quarterly Report on Form 10-Q for the quarterly period ended March 31, 2025, and our Current Reports on Form 8-K and any amendments thereof, before investing in the Notes.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2025, we had total consolidated liabilities of approximately $215.7 billion (including consolidated indebtedness of approximately $132.7 billion), of which $14.7 billion represents the aggregate principal amount of indebtedness of General Motors Company (parent company only) under our 4.000% senior notes due 2025 (since matured), 6.125% senior notes due 2025, 4.200% senior notes due 2027, 6.800% senior notes due 2027, 5.000% senior notes due 2028, 5.400% senior notes due 2029, 5.600% senior notes due 2032, 5.000% senior notes due 2035, 6.600% senior notes due 2036, 5.150% senior notes due 2038,</w:t>
      </w:r>
    </w:p>
    <w:p>
      <w:pPr>
        <w:spacing w:after="0" w:line="10"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6.250% senior notes due 2043, 5.200% senior notes due 2045, 6.750% senior notes due 2046, 5.400% senior notes due 2048 and 5.950% senior notes due 2049 and substantially all of the remainder of which are liabilities of our subsidiaries. Furthermore, our revolving credit facilities provide for undrawn availability of up to $13.5 billion, which represents the full amount of our revolving credit facilities, less $0.6 billion of letters of credit outstanding thereunder, as of March 31, 2025.</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$14.7 billion in aggregate principal amount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 contractual restrictions on their ability to make distributions. In the event that we do not receive distributions from our subsidiaries, we may be unable to make required payments on our obligations, including the Notes.</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131" w:lineRule="exact"/>
        <w:rPr>
          <w:sz w:val="20"/>
          <w:szCs w:val="20"/>
          <w:color w:val="auto"/>
        </w:rPr>
      </w:pPr>
    </w:p>
    <w:p>
      <w:pPr>
        <w:ind w:left="1080" w:right="2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pay dividends or make other payments in respect of our equity securities or our other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Although the Notes are referred to as “senior notes,” the Notes will be unsecured and will be effectively subordinated to any of our secured debt.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or any of our subsidiaries defaults on obligations to pay indebtedness, we may not be able to make payments on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three-year, $4.1 billion revolving credit facility, our five-year, $10.0 billion revolving credit facility, our 364-day $2.0 billion revolving credit facility or any future revolving credit facility that we may enter into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currently no markets for the Notes, and we cannot assure you that active trading markets for the Notes will develop.</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 if trading markets do develop, changes in our credit ratings or the debt markets could adversely affect the market prices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and fluctuating market conditions could result in a decrease in the value of the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you purchase any of the Notes and market interest rates increase, the market values of such Notes may decline. In addition, changes in market conditions could result in a decline in the market value of the Notes. The condition of the financial markets and prevailing interest rates have fluctuated in recent years and are likely to fluctuate in the future, which may adversely affect the market value of the Notes. We cannot predict the future level of market interest rates or future market conditions.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to receive total net proceeds of approximately $  billion from the issuance of the Notes, after deducting estimated underwriting discounts and estimated offering expenses payable by us. We intend to use the net proceeds from this offering for general corporate purposes, including to refinance a portion of the $1.25 billion outstanding of our 6.125% senior notes maturing on October 1, 2025, and fund a portion of the $1.8 billion five-year term loan we have agreed to make to Ultium Cells LLC, our joint venture with LG Energy Solution, to facilitate full voluntary prepayment of loans Ultium Cells LLC received under the U.S. Department of Energy’s Advanced Technology Vehicles Manufacturing program. Our management will have broad discretion in the application of the net proceeds. Until we use the net proceeds from this offering, we intend to invest the funds in short-term investments, including marketable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Notes offered hereby will be issued as separate series of debt securities pursuant to the indenture (the “Original Indenture”) dated as of September 27, 2013 between GM and The Bank of New York Mellon, as trustee (the “Trustee”), as amended and supplemented by the seventh supplemental indenture (the “Seventh Supplemental Indenture” and together with the Original Indenture, the “Base Indenture”), dated as of August 2, 2022, and as supplemented by the eighth supplemental indenture (the “Eighth Supplemental Indenture”) to be dated on or about    , 2025 between us and the Trustee. The Base Indenture and the Eighth Supplemental Indenture, as amended and supplemented, are together referred to herein as the “Indenture.” The Indenture and the Notes are governed by, and construed in accordance with, the laws of the State of New York, United States.</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20  Notes will mature on  , 20  , the 20  Notes will mature on  , 20  and the 20  Notes will mature on  , 20  ; in each case unless we redeem such Notes prior to their respective maturity dates, as described below under “—Optional Redemption.”</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in book-entry form only through the facilities of DTC, including its participants, Euroclear and Clearstream. See “Description of Debt Securities—Book-Entry; Delivery and Form; Global Securities”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20   Notes will initially be limited to $   aggregate principal amount, the 20 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Notes will initially be limited to $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7" w:lineRule="exact"/>
        <w:rPr>
          <w:sz w:val="20"/>
          <w:szCs w:val="20"/>
          <w:color w:val="auto"/>
        </w:rPr>
      </w:pPr>
    </w:p>
    <w:p>
      <w:pPr>
        <w:sectPr>
          <w:pgSz w:w="11900" w:h="16838" w:orient="portrait"/>
          <w:cols w:equalWidth="0" w:num="3">
            <w:col w:w="6400" w:space="140"/>
            <w:col w:w="2480" w:space="140"/>
            <w:col w:w="198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and the 20   Notes will initially be limited to $   aggregate principal amount.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20   Notes will bear interest at a rate of   % per year, the 20   Notes will bear interest at a rate of   % per year and the 20   Notes will bear</w:t>
      </w:r>
    </w:p>
    <w:p>
      <w:pPr>
        <w:sectPr>
          <w:pgSz w:w="11900" w:h="16838" w:orient="portrait"/>
          <w:cols w:equalWidth="0" w:num="1">
            <w:col w:w="11140"/>
          </w:cols>
          <w:pgMar w:left="320" w:top="455" w:right="439" w:bottom="1440" w:gutter="0" w:footer="0" w:header="0"/>
          <w:type w:val="continuous"/>
        </w:sectPr>
      </w:pPr>
    </w:p>
    <w:p>
      <w:pPr>
        <w:spacing w:after="0" w:line="39" w:lineRule="exact"/>
        <w:rPr>
          <w:sz w:val="20"/>
          <w:szCs w:val="20"/>
          <w:color w:val="auto"/>
        </w:rPr>
      </w:pPr>
    </w:p>
    <w:p>
      <w:pPr>
        <w:ind w:left="120" w:right="60"/>
        <w:spacing w:after="0" w:line="186" w:lineRule="auto"/>
        <w:rPr>
          <w:sz w:val="20"/>
          <w:szCs w:val="20"/>
          <w:color w:val="auto"/>
        </w:rPr>
      </w:pPr>
      <w:r>
        <w:rPr>
          <w:rFonts w:ascii="Times New Roman" w:cs="Times New Roman" w:eastAsia="Times New Roman" w:hAnsi="Times New Roman"/>
          <w:sz w:val="12"/>
          <w:szCs w:val="12"/>
          <w:color w:val="auto"/>
        </w:rPr>
        <w:t>interest at a rate of  % per year. Each series of Notes will accrue interest, calculated on the basis of a 360-day year consisting of twelve 30-day months, from  , 2025, or, in each case, from the most recent interest payment date to which interest has been paid or duly provided for, which, in each case, will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be payable in arrears on  and  of each year, with the first payment to be made on  , 2025, to the person in whose name such Notes are registered at the close of business on the  or  , as the case may be, next preceding the relevant interest payment date.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for any series of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 Notes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Notes of each series will be issued in fully registered form only, in denominations of $2,000 and integral multiples of $1,000 in excess thereof.</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provided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Prior to (i)       , 20    (      months prior to their maturity date) in the case of the 20    Notes, (ii)       , 20    (      months prior to their maturity date) in the case of the 20    Notes and (iii)       , 20    (      months prior to their maturity date) in the case of the 20    Notes (the foregoing dates in respect of the applicable series of Notes, the “Par Call Dates”), the Company may redeem the Notes of either series at its option, in whole or in part, at any time and from time to time, at a redemption price (expressed as a percentage of principal amount and rounded to three decimal places) equal to the greater of:</w:t>
      </w:r>
    </w:p>
    <w:p>
      <w:pPr>
        <w:spacing w:after="0" w:line="75" w:lineRule="exact"/>
        <w:rPr>
          <w:sz w:val="20"/>
          <w:szCs w:val="20"/>
          <w:color w:val="auto"/>
        </w:rPr>
      </w:pPr>
    </w:p>
    <w:p>
      <w:pPr>
        <w:jc w:val="both"/>
        <w:ind w:left="560" w:right="380" w:hanging="4"/>
        <w:spacing w:after="0" w:line="276" w:lineRule="auto"/>
        <w:tabs>
          <w:tab w:leader="none" w:pos="8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their applicable Par Call Date) on a semi-annual basis (assuming a 360-day year consisting of twelve 30-day</w:t>
      </w:r>
    </w:p>
    <w:p>
      <w:pPr>
        <w:spacing w:after="0" w:line="1" w:lineRule="exact"/>
        <w:rPr>
          <w:sz w:val="20"/>
          <w:szCs w:val="20"/>
          <w:color w:val="auto"/>
        </w:rPr>
      </w:pPr>
    </w:p>
    <w:p>
      <w:pPr>
        <w:ind w:left="560"/>
        <w:spacing w:after="0" w:line="260" w:lineRule="auto"/>
        <w:rPr>
          <w:sz w:val="20"/>
          <w:szCs w:val="20"/>
          <w:color w:val="auto"/>
        </w:rPr>
      </w:pPr>
      <w:r>
        <w:rPr>
          <w:rFonts w:ascii="Times New Roman" w:cs="Times New Roman" w:eastAsia="Times New Roman" w:hAnsi="Times New Roman"/>
          <w:sz w:val="18"/>
          <w:szCs w:val="18"/>
          <w:color w:val="auto"/>
        </w:rPr>
        <w:t>months) at the Treasury Rate plus basis points with respect to the 20    Notes,    basis points with respect to the 20    Notes and     basis points with respect to the 20    Notes less (b) interest accrued to the date of redemption, and</w:t>
      </w:r>
    </w:p>
    <w:p>
      <w:pPr>
        <w:spacing w:after="0" w:line="73" w:lineRule="exact"/>
        <w:rPr>
          <w:sz w:val="20"/>
          <w:szCs w:val="20"/>
          <w:color w:val="auto"/>
        </w:rPr>
      </w:pPr>
    </w:p>
    <w:p>
      <w:pPr>
        <w:ind w:left="120" w:right="5020" w:firstLine="436"/>
        <w:spacing w:after="0" w:line="530" w:lineRule="auto"/>
        <w:tabs>
          <w:tab w:leader="none" w:pos="8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of such series to be redeemed, plus, in either case, accrued and unpaid interest thereon to the redemption date.</w:t>
      </w:r>
    </w:p>
    <w:p>
      <w:pPr>
        <w:spacing w:after="0" w:line="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the Company may redeem the Notes of the applicable series, in whole or in part, at any time and from time to time, at a redemption price equal to 100% of the principal amount of the Notes of such series being redeemed plus accrued and unpaid interest thereon to the redemption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in respect of a series of Notes means, with respect to any redemption date, the yield determined by the Company in accordance with the following two paragraphs.</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for such series of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for such series of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U.S. Treasury security maturing on, or with a maturity that is closest to, the Par Call Date for the relevant series of Notes, as applicable. If there is no U.S. Treasury security maturing on the applicable Par Call Date for such series of Notes but there are two or more U.S. Treasury securities with a maturity date equally distant from the applicable Par Call Date, one with a maturity date preceding the applicable Par Call Date and one with a maturity date following the applicable Par Call Date, the Company shall select the U.S. Treasury security with a maturity date preceding the applicable Par Call Date. If there are two or more U.S. Treasury securities maturing on the applicable Par Call Date for such series of Notes or two or more U.S. Treasury securities meeting the criteria of the preceding sentence, the Company shall select from among these two or more U.S. Treasury securities the U.S. Treasury security that is trading closest to par based upon the average of the bid and asked prices for such U.S. Treasury securities at 11:00 a.m., New York City time. In determining the Treasury Rate in accordance with the terms of this paragraph, the semi-annual yield to maturity of the applicable U.S. Treasury security shall be based upon the average of the bid and asked prices (expressed as a percentage of principal amount) at 11:00 a.m., New York City time, of such U.S.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note. For so long as the Notes of a series are held by DTC (or another depositary), the redemption of the Notes of such series shall be done in accordance with the policies and procedures of the depositary.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applicable to the covenants specified below:</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7"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on the date of determination, total assets less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“Subsidiary”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7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For the benefit of the Notes, we will not, nor will we permit any Manufacturing Subsidiary to, issue or assume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31" w:lineRule="exact"/>
        <w:rPr>
          <w:sz w:val="20"/>
          <w:szCs w:val="20"/>
          <w:color w:val="auto"/>
        </w:rPr>
      </w:pPr>
    </w:p>
    <w:p>
      <w:pPr>
        <w:ind w:left="1080" w:right="1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Limitation on Sales and Lease-Backs</w:t>
      </w:r>
      <w:r>
        <w:rPr>
          <w:rFonts w:ascii="Times New Roman" w:cs="Times New Roman" w:eastAsia="Times New Roman" w:hAnsi="Times New Roman"/>
          <w:sz w:val="18"/>
          <w:szCs w:val="18"/>
          <w:color w:val="auto"/>
        </w:rPr>
        <w:t>. For the benefit of the Notes, we will not, nor will we permit any Manufacturing Subsidiary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91" w:lineRule="exact"/>
        <w:rPr>
          <w:sz w:val="20"/>
          <w:szCs w:val="20"/>
          <w:color w:val="auto"/>
        </w:rPr>
      </w:pPr>
    </w:p>
    <w:p>
      <w:pPr>
        <w:ind w:left="1080" w:right="20" w:hanging="532"/>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 —Satisfaction, Discharge and Covenant Defeasance” in the accompanying prospectus are satisfied.</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 FEDERAL TAX CONSIDERATIONS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de minimis amount of original issue discount (“OID”) for U.S. federal income tax purposes. However, if the stated principal amount of any series of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will apply to payments of interest on, and the proceeds of the sale, redemption, exchange, retirement or other taxable disposition of, Notes held by a U.S. Holder. Backup withholding will apply to such payments and proceeds unless the U.S. Holder provides the payor with a taxpayer identification number (generally by providing an IRS Form W-9), certified under penalties of perjury, as well as certain other information or otherwise establishes an exemption from backup withholding. Backup withholding is not 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tax. Any amounts withheld under the backup withholding rules generally will be allowed as a refund or a credit against a U.S. Holder’s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liability if the required information is timely furnished to the IRS.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Disposition of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w:t>
      </w:r>
    </w:p>
    <w:p>
      <w:pPr>
        <w:spacing w:after="0" w:line="131" w:lineRule="exact"/>
        <w:rPr>
          <w:sz w:val="20"/>
          <w:szCs w:val="20"/>
          <w:color w:val="auto"/>
        </w:rPr>
      </w:pPr>
    </w:p>
    <w:p>
      <w:pPr>
        <w:ind w:left="1080" w:right="40" w:hanging="532"/>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is effectively connected with such trade or business (and, if required by an applicable tax treaty, is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Proposed Treasury regulations eliminate the 30% FATCA withholding on payments of gross proceeds. The preamble to those proposed Treasury regulations provides that taxpayers may rely on the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w:t>
      </w:r>
    </w:p>
    <w:p>
      <w:pPr>
        <w:spacing w:after="0" w:line="121" w:lineRule="exact"/>
        <w:rPr>
          <w:sz w:val="20"/>
          <w:szCs w:val="20"/>
          <w:color w:val="auto"/>
        </w:rPr>
      </w:pPr>
    </w:p>
    <w:p>
      <w:pPr>
        <w:jc w:val="both"/>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w:t>
      </w:r>
    </w:p>
    <w:p>
      <w:pPr>
        <w:spacing w:after="0" w:line="2" w:lineRule="exact"/>
        <w:rPr>
          <w:sz w:val="20"/>
          <w:szCs w:val="20"/>
          <w:color w:val="auto"/>
        </w:rPr>
      </w:pPr>
    </w:p>
    <w:p>
      <w:pPr>
        <w:ind w:left="120" w:hanging="4"/>
        <w:spacing w:after="0" w:line="260"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treated as interest earned on the Note are not effectively connected with the conduct of a trade or business in the United States by such Non-U.S. Holder.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for whom Citigroup Global Markets Inc., Goldman Sachs &amp; Co. LLC and Wells Fargo Securities, LLC are acting as representatives, have severally, and not jointly, agreed to purchase, and we have agreed to sell to each underwriter, the principal amount of the Notes set forth opposite the underwriter’s name.</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6"/>
                <w:szCs w:val="16"/>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97"/>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24"/>
                <w:szCs w:val="24"/>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97"/>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w:t>
            </w:r>
          </w:p>
        </w:tc>
        <w:tc>
          <w:tcPr>
            <w:tcW w:w="42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w:t>
            </w:r>
          </w:p>
        </w:tc>
        <w:tc>
          <w:tcPr>
            <w:tcW w:w="420" w:type="dxa"/>
            <w:vAlign w:val="bottom"/>
          </w:tcPr>
          <w:p>
            <w:pPr>
              <w:spacing w:after="0"/>
              <w:rPr>
                <w:sz w:val="24"/>
                <w:szCs w:val="24"/>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20</w:t>
            </w:r>
          </w:p>
        </w:tc>
      </w:tr>
      <w:tr>
        <w:trPr>
          <w:trHeight w:val="280"/>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2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20" w:type="dxa"/>
            <w:vAlign w:val="bottom"/>
          </w:tcPr>
          <w:p>
            <w:pPr>
              <w:spacing w:after="0"/>
              <w:rPr>
                <w:sz w:val="24"/>
                <w:szCs w:val="24"/>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09"/>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jc w:val="center"/>
              <w:ind w:left="1"/>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 amount of the 20    Notes,   % of the principal amount of the 20    Notes and   % of the principal amount of the 20    Notes. In addition, the underwriters may allow, and those selected dealers may reallow, a concession of up to   % of the principal amount of the 20    Notes,   % of the principal amount of the 20    Notes and   % of the principal amount of the 20    Notes to certain other dealers. After the initial offering, the</w:t>
      </w:r>
    </w:p>
    <w:p>
      <w:pPr>
        <w:spacing w:after="0" w:line="3"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8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 (expressed as a percentage)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90"/>
        </w:trPr>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13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 (expressed as a percentage)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90"/>
        </w:trPr>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13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 (expressed as a percentage)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5"/>
        </w:trPr>
        <w:tc>
          <w:tcPr>
            <w:tcW w:w="10820" w:type="dxa"/>
            <w:vAlign w:val="bottom"/>
            <w:gridSpan w:val="11"/>
          </w:tcPr>
          <w:p>
            <w:pPr>
              <w:ind w:left="440"/>
              <w:spacing w:after="0"/>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w:t>
            </w:r>
          </w:p>
        </w:tc>
      </w:tr>
      <w:tr>
        <w:trPr>
          <w:trHeight w:val="234"/>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reimbursements of certain expenses incurred in connection with the offering, will be $      .</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2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xml:space="preserve">It is expected that delivery of the Notes will be made against payment therefor on or about     </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7"/>
              </w:rPr>
              <w:t>   , 2025, which will be the second business day</w:t>
            </w:r>
          </w:p>
        </w:tc>
      </w:tr>
    </w:tbl>
    <w:p>
      <w:pPr>
        <w:ind w:left="120" w:right="140"/>
        <w:spacing w:after="0" w:line="253" w:lineRule="auto"/>
        <w:rPr>
          <w:sz w:val="20"/>
          <w:szCs w:val="20"/>
          <w:color w:val="auto"/>
        </w:rPr>
      </w:pPr>
      <w:r>
        <w:rPr>
          <w:rFonts w:ascii="Times New Roman" w:cs="Times New Roman" w:eastAsia="Times New Roman" w:hAnsi="Times New Roman"/>
          <w:sz w:val="18"/>
          <w:szCs w:val="18"/>
          <w:color w:val="auto"/>
        </w:rPr>
        <w:t>following the date of pricing of the Notes (such settlement cycle being referred to herein as “T+2”). Under Rule 15c6-1 of the Exchange Act, trades in the secondary market generally are required to settle in one business day, unless the parties to any such trade expressly agree otherwise. Accordingly, purchasers who wish to trade the Notes on any day prior to one business day before the settlement date will be required, by virtue of the fact that the Notes initially will settle in T+2, to specify an alternate settlement cycle at the time of any such trade to prevent a failed settlement. Purchasers of the Notes who wish to trade those Notes on the date of pricing should consult their own advisor.</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In addition, certain of the underwriters and/or their affiliates may hold a portion of our 6.125% senior notes maturing on October 1, 2025 which will be partially repaid with the net proceeds of this offering, and therefore may receive a portion of such proceeds upon such repayment.</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are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“Order”),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Instruments and Exchange Law and any other applicable laws, regulations and ministerial guidelines of Japan.</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King &amp; Spalding LLP. Certain legal matters will be passed upon for the underwriters by Davis Polk &amp; Wardwell LLP.</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800"/>
          </w:cols>
          <w:pgMar w:left="320" w:top="455"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will automatically update and supersede this information. This prospectus incorporates by reference the documents and reports listed below and any future filings that we make with the SEC under Sections 13(a), 13(c), 14 or 15(d) of the Exchange Act, prior to the termination or completion of this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120"/>
          </w:cols>
          <w:pgMar w:left="320" w:top="455" w:right="459" w:bottom="1440" w:gutter="0" w:footer="0" w:header="0"/>
        </w:sectPr>
      </w:pPr>
    </w:p>
    <w:p>
      <w:pPr>
        <w:spacing w:after="0" w:line="20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8">
        <w:r>
          <w:rPr>
            <w:rFonts w:ascii="Times New Roman" w:cs="Times New Roman" w:eastAsia="Times New Roman" w:hAnsi="Times New Roman"/>
            <w:sz w:val="18"/>
            <w:szCs w:val="18"/>
            <w:u w:val="single" w:color="auto"/>
            <w:color w:val="0000EE"/>
          </w:rPr>
          <w:t>Form 10-K</w:t>
        </w:r>
      </w:hyperlink>
    </w:p>
    <w:p>
      <w:pPr>
        <w:spacing w:after="0" w:line="325" w:lineRule="exact"/>
        <w:rPr>
          <w:sz w:val="20"/>
          <w:szCs w:val="20"/>
          <w:color w:val="auto"/>
        </w:rPr>
      </w:pPr>
    </w:p>
    <w:p>
      <w:pPr>
        <w:ind w:lef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Specifically Incorporated by Reference into our Annual Report on Form 10-K for the year ended December 31, 2024 from our Definitive Proxy Statement on </w:t>
      </w:r>
      <w:hyperlink r:id="rId49">
        <w:r>
          <w:rPr>
            <w:rFonts w:ascii="Times New Roman" w:cs="Times New Roman" w:eastAsia="Times New Roman" w:hAnsi="Times New Roman"/>
            <w:sz w:val="18"/>
            <w:szCs w:val="18"/>
            <w:u w:val="single" w:color="auto"/>
            <w:color w:val="0000EE"/>
          </w:rPr>
          <w:t>Schedule 14A</w:t>
        </w:r>
      </w:hyperlink>
    </w:p>
    <w:p>
      <w:pPr>
        <w:spacing w:after="0" w:line="68" w:lineRule="exact"/>
        <w:rPr>
          <w:sz w:val="20"/>
          <w:szCs w:val="20"/>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50">
        <w:r>
          <w:rPr>
            <w:rFonts w:ascii="Times New Roman" w:cs="Times New Roman" w:eastAsia="Times New Roman" w:hAnsi="Times New Roman"/>
            <w:sz w:val="18"/>
            <w:szCs w:val="18"/>
            <w:u w:val="single" w:color="auto"/>
            <w:color w:val="0000EE"/>
          </w:rPr>
          <w:t>Form 10-Q</w:t>
        </w:r>
      </w:hyperlink>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color w:val="auto"/>
        </w:rPr>
        <w:t>Year ended December 31, 2024 (filed with the SEC on January 28,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 2024 (filed with the SEC on April 22,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2025 (filed with the SEC on May 1, 2025)</w:t>
      </w:r>
    </w:p>
    <w:p>
      <w:pPr>
        <w:spacing w:after="0" w:line="11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Dates filed: </w:t>
      </w:r>
      <w:hyperlink r:id="rId52">
        <w:r>
          <w:rPr>
            <w:rFonts w:ascii="Times New Roman" w:cs="Times New Roman" w:eastAsia="Times New Roman" w:hAnsi="Times New Roman"/>
            <w:sz w:val="18"/>
            <w:szCs w:val="18"/>
            <w:u w:val="single" w:color="auto"/>
            <w:color w:val="0000EE"/>
          </w:rPr>
          <w:t>February 26,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March 26, 2025</w:t>
        </w:r>
      </w:hyperlink>
    </w:p>
    <w:p>
      <w:pPr>
        <w:spacing w:after="0" w:line="200" w:lineRule="exact"/>
        <w:rPr>
          <w:sz w:val="20"/>
          <w:szCs w:val="20"/>
          <w:color w:val="auto"/>
        </w:rPr>
      </w:pPr>
    </w:p>
    <w:p>
      <w:pPr>
        <w:sectPr>
          <w:pgSz w:w="11900" w:h="16838" w:orient="portrait"/>
          <w:cols w:equalWidth="0" w:num="2">
            <w:col w:w="5560" w:space="400"/>
            <w:col w:w="5160"/>
          </w:cols>
          <w:pgMar w:left="320" w:top="455" w:right="459" w:bottom="1440" w:gutter="0" w:footer="0" w:header="0"/>
          <w:type w:val="continuous"/>
        </w:sectPr>
      </w:pPr>
    </w:p>
    <w:p>
      <w:pPr>
        <w:spacing w:after="0" w:line="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a copy of the documents incorporated by reference into this prospectus supplement,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supplement. We have included our website address in this prospectus supplement solely as a textual 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173990</wp:posOffset>
            </wp:positionV>
            <wp:extent cx="3137535" cy="403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1375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18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28, 2025.</w:t>
      </w:r>
    </w:p>
    <w:p>
      <w:pPr>
        <w:sectPr>
          <w:pgSz w:w="11900" w:h="16838" w:orient="portrait"/>
          <w:cols w:equalWidth="0" w:num="1">
            <w:col w:w="11120"/>
          </w:cols>
          <w:pgMar w:left="320" w:top="455"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DOCUMENTS BY REFERENCE</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326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GENERAL MOTORS COMPANY</w:t>
            </w:r>
          </w:p>
        </w:tc>
        <w:tc>
          <w:tcPr>
            <w:tcW w:w="5920" w:type="dxa"/>
            <w:vAlign w:val="bottom"/>
            <w:gridSpan w:val="8"/>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OVERVIEW OF OUR CAPITAL STOCK</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82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53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PREFERRED STOCK</w:t>
            </w:r>
          </w:p>
        </w:tc>
        <w:tc>
          <w:tcPr>
            <w:tcW w:w="52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60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64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8">
        <w:r>
          <w:rPr>
            <w:rFonts w:ascii="Times New Roman" w:cs="Times New Roman" w:eastAsia="Times New Roman" w:hAnsi="Times New Roman"/>
            <w:sz w:val="18"/>
            <w:szCs w:val="18"/>
            <w:u w:val="single" w:color="auto"/>
            <w:color w:val="0000EE"/>
          </w:rPr>
          <w:t>Annual Report on Form 10-K for the fiscal year ended December 31, 2024;</w:t>
        </w:r>
      </w:hyperlink>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2024, that are specifically incorporated by reference into our Annual Report on Form 10-K for the year ended December 31, 2023;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2024.</w:t>
        </w:r>
      </w:hyperlink>
    </w:p>
    <w:p>
      <w:pPr>
        <w:spacing w:after="0" w:line="162"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5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Investment in any of the securities involves risk. In addition to all of the other information contained or incorporated by reference into this prospectus and any accompanying prospectus supplement, you should carefully consider the risk factors incorporated by reference from our Annual Report on Form 10-K for the year ended December 31, 2024, as updated by our subsequent filings under the Exchange Act, including Forms 10-Q and 8-K, and the risk factors contained or incorporated by reference into this prospectus and any accompanying prospectus supplement before acquiring any of the securities.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Cruise is our global segment responsible for the development of autonomous vehicle technology. We also provide automotive financing services through General Motors Financial Company, Inc. (GM Financial).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prospectus supplement of a particular offering will identify the use of proceeds for the offering.</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45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our long-term strategy is dependent on consumer adoptions of EVs;</w:t>
      </w:r>
    </w:p>
    <w:p>
      <w:pPr>
        <w:spacing w:after="0" w:line="12" w:lineRule="exact"/>
        <w:rPr>
          <w:sz w:val="20"/>
          <w:szCs w:val="20"/>
          <w:color w:val="auto"/>
        </w:rPr>
      </w:pPr>
    </w:p>
    <w:p>
      <w:pPr>
        <w:ind w:left="120" w:right="20" w:hanging="4"/>
        <w:spacing w:after="0" w:line="250"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our Annual Report on Form 10-K for the year ended December 31, 2024, as updated by our subsequent filings with the SEC.</w:t>
      </w:r>
    </w:p>
    <w:p>
      <w:pPr>
        <w:spacing w:after="0" w:line="18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January 16, 2025, 995,001,891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the Certificate of Incorporation or the Bylaws. Our Bylaws further provide that the Board of Directors shall call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special meeting upon the written request of the record holders of at least 15%,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(the “indenture”) dated as of September 27, 2013, between us and The Bank of New York Mellon, as trustee, as amended and supplemented by the seventh supplemental indenture, dated as of August 2, 2022, copies of which have been filed as exhibits to the registration statement of which this prospectus is a part and which is incorporated by reference herein, subject to such further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jc w:val="both"/>
        <w:ind w:left="1540" w:right="8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54" w:lineRule="auto"/>
        <w:rPr>
          <w:sz w:val="20"/>
          <w:szCs w:val="20"/>
          <w:color w:val="auto"/>
        </w:rPr>
      </w:pPr>
      <w:r>
        <w:rPr>
          <w:rFonts w:ascii="Times New Roman" w:cs="Times New Roman" w:eastAsia="Times New Roman" w:hAnsi="Times New Roman"/>
          <w:sz w:val="18"/>
          <w:szCs w:val="18"/>
          <w:color w:val="auto"/>
        </w:rPr>
        <w:t>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80" w:right="6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080" w:right="48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dollars (or such other currency or composite currency in which such debt securities are denominated) in an amount sufficient;</w:t>
      </w:r>
    </w:p>
    <w:p>
      <w:pPr>
        <w:spacing w:after="0" w:line="142" w:lineRule="exact"/>
        <w:rPr>
          <w:rFonts w:ascii="Times New Roman" w:cs="Times New Roman" w:eastAsia="Times New Roman" w:hAnsi="Times New Roman"/>
          <w:sz w:val="17"/>
          <w:szCs w:val="17"/>
          <w:color w:val="auto"/>
        </w:rPr>
      </w:pPr>
    </w:p>
    <w:p>
      <w:pPr>
        <w:ind w:left="1540" w:right="58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20" w:hanging="331"/>
        <w:spacing w:after="0" w:line="276" w:lineRule="auto"/>
        <w:tabs>
          <w:tab w:leader="none" w:pos="15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such cash and eligible obligations in an amount sufficient, in each case, in the opinion of a nationally recognized firm of independent certified public accountants, expressed in a written certification delivered to the trustee, to pay and discharge</w:t>
      </w:r>
    </w:p>
    <w:p>
      <w:pPr>
        <w:jc w:val="both"/>
        <w:ind w:left="15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1" w:lineRule="exact"/>
        <w:rPr>
          <w:rFonts w:ascii="Times New Roman" w:cs="Times New Roman" w:eastAsia="Times New Roman" w:hAnsi="Times New Roman"/>
          <w:sz w:val="17"/>
          <w:szCs w:val="17"/>
          <w:color w:val="auto"/>
        </w:rPr>
      </w:pPr>
    </w:p>
    <w:p>
      <w:pPr>
        <w:ind w:left="1080" w:right="2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9"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080" w:right="2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80" w:right="6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81" w:lineRule="exact"/>
        <w:rPr>
          <w:sz w:val="20"/>
          <w:szCs w:val="20"/>
          <w:color w:val="auto"/>
        </w:rPr>
      </w:pPr>
    </w:p>
    <w:p>
      <w:pPr>
        <w:ind w:left="1080" w:right="52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80" w:right="60" w:hanging="532"/>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080" w:right="2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jc w:val="both"/>
        <w:ind w:left="1080" w:right="440" w:hanging="532"/>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45" w:lineRule="exact"/>
        <w:rPr>
          <w:rFonts w:ascii="Times New Roman" w:cs="Times New Roman" w:eastAsia="Times New Roman" w:hAnsi="Times New Roman"/>
          <w:sz w:val="17"/>
          <w:szCs w:val="17"/>
          <w:color w:val="auto"/>
        </w:rPr>
      </w:pPr>
    </w:p>
    <w:p>
      <w:pPr>
        <w:ind w:left="1080" w:right="1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60" w:hanging="532"/>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6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80" w:right="4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8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 only if:</w:t>
      </w:r>
    </w:p>
    <w:p>
      <w:pPr>
        <w:spacing w:after="0" w:line="67" w:lineRule="exact"/>
        <w:rPr>
          <w:sz w:val="20"/>
          <w:szCs w:val="20"/>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16, 2025, there were no shares of preferred stock outstanding. The terms of any shares of preferred stock offered pursuant to this prospectus will be set forth in an applicable prospectus supplement.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16, 2025, 995,001,891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16, 2025, there were no shares of preferred stock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King &amp; Spalding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General Motors Company and subsidiaries appearing in General Motors Company’s Annual Report (Form 10-K) for the year ended December 31, 2024, and the effectiveness of General Motors Company and subsidiaries’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https://www.sec.gov.</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178435</wp:posOffset>
            </wp:positionV>
            <wp:extent cx="3137535" cy="402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1375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         % Senior Notes due 20</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         % Senior Notes due 20</w:t>
      </w:r>
    </w:p>
    <w:p>
      <w:pPr>
        <w:spacing w:after="0" w:line="1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         %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1957070</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May 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0"/>
    </w:lvl>
  </w:abstractNum>
  <w:abstractNum w:abstractNumId="1">
    <w:nsid w:val="62BBD95A"/>
    <w:multiLevelType w:val="hybridMultilevel"/>
    <w:lvl w:ilvl="0">
      <w:lvlJc w:val="left"/>
      <w:lvlText w:val="(%1)"/>
      <w:numFmt w:val="decimal"/>
      <w:start w:val="22"/>
    </w:lvl>
  </w:abstractNum>
  <w:abstractNum w:abstractNumId="2">
    <w:nsid w:val="436C6125"/>
    <w:multiLevelType w:val="hybridMultilevel"/>
    <w:lvl w:ilvl="0">
      <w:lvlJc w:val="left"/>
      <w:lvlText w:val="(%1)"/>
      <w:numFmt w:val="decimal"/>
      <w:start w:val="313"/>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7"/>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1"/>
    </w:lvl>
    <w:lvl w:ilvl="1">
      <w:lvlJc w:val="left"/>
      <w:lvlText w:val="•"/>
      <w:numFmt w:val="bullet"/>
      <w:start w:val="1"/>
    </w:lvl>
  </w:abstractNum>
  <w:abstractNum w:abstractNumId="23">
    <w:nsid w:val="7C3DBD3D"/>
    <w:multiLevelType w:val="hybridMultilevel"/>
    <w:lvl w:ilvl="0">
      <w:lvlJc w:val="left"/>
      <w:lvlText w:val="(%1)"/>
      <w:numFmt w:val="lowerRoman"/>
      <w:start w:val="2"/>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Roman"/>
      <w:start w:val="1"/>
    </w:lvl>
    <w:lvl w:ilvl="1">
      <w:lvlJc w:val="left"/>
      <w:lvlText w:val="•"/>
      <w:numFmt w:val="bullet"/>
      <w:start w:val="1"/>
    </w:lvl>
  </w:abstractNum>
  <w:abstractNum w:abstractNumId="26">
    <w:nsid w:val="22221A70"/>
    <w:multiLevelType w:val="hybridMultilevel"/>
    <w:lvl w:ilvl="0">
      <w:lvlJc w:val="left"/>
      <w:lvlText w:val="(%1)"/>
      <w:numFmt w:val="lowerRoman"/>
      <w:start w:val="1"/>
    </w:lvl>
    <w:lvl w:ilvl="1">
      <w:lvlJc w:val="left"/>
      <w:lvlText w:val="•"/>
      <w:numFmt w:val="bullet"/>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lowerRoman"/>
      <w:start w:val="2"/>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Roman"/>
      <w:start w:val="15"/>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e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48" Type="http://schemas.openxmlformats.org/officeDocument/2006/relationships/hyperlink" Target="http://www.sec.gov/ix?doc=/Archives/edgar/data/1467858/000146785825000032/gm-20241231.htm" TargetMode="External"/><Relationship Id="rId49" Type="http://schemas.openxmlformats.org/officeDocument/2006/relationships/hyperlink" Target="http://www.sec.gov/ix?doc=/Archives/edgar/data/1467858/000146785825000084/gm-20250422.htm" TargetMode="External"/><Relationship Id="rId50" Type="http://schemas.openxmlformats.org/officeDocument/2006/relationships/hyperlink" Target="http://www.sec.gov/ix?doc=/Archives/edgar/data/1467858/000146785825000096/gm-20250331.htm" TargetMode="External"/><Relationship Id="rId52" Type="http://schemas.openxmlformats.org/officeDocument/2006/relationships/hyperlink" Target="http://www.sec.gov/ix?doc=/Archives/edgar/data/1467858/000146785825000063/gm-20250226.htm" TargetMode="External"/><Relationship Id="rId53" Type="http://schemas.openxmlformats.org/officeDocument/2006/relationships/hyperlink" Target="http://www.sec.gov/ix?doc=/Archives/edgar/data/1467858/000119312525062882/d943807d8k.htm" TargetMode="External"/><Relationship Id="rId61" Type="http://schemas.openxmlformats.org/officeDocument/2006/relationships/hyperlink" Target="http://www.sec.gov/Archives/edgar/data/1467858/000119312524108581/d648661ddef14a.htm" TargetMode="External"/><Relationship Id="rId62" Type="http://schemas.openxmlformats.org/officeDocument/2006/relationships/hyperlink" Target="http://www.sec.gov/Archives/edgar/data/1467858/000146785825000032/ex-41x1231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2025-05-05T08:05:42Z</dcterms:created>
  <dcterms:modified xsi:type="dcterms:W3CDTF">2025-05-05T08:05:42Z</dcterms:modified>
</cp:coreProperties>
</file>