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Hatto Christopher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60"/>
        <w:spacing w:after="0" w:line="315" w:lineRule="auto"/>
        <w:rPr>
          <w:sz w:val="20"/>
          <w:szCs w:val="20"/>
          <w:color w:val="auto"/>
        </w:rPr>
      </w:pPr>
      <w:r>
        <w:rPr>
          <w:rFonts w:ascii="Arial" w:cs="Arial" w:eastAsia="Arial" w:hAnsi="Arial"/>
          <w:sz w:val="17"/>
          <w:szCs w:val="17"/>
          <w:color w:val="0000FF"/>
        </w:rPr>
        <w:t>300 RENAISSANCE CENTER M/C: 482-C23-A68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Vice President &amp; CAO</w:t>
      </w:r>
    </w:p>
    <w:p>
      <w:pPr>
        <w:spacing w:after="0" w:line="45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center"/>
              <w:ind w:left="61"/>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240" w:type="dxa"/>
            <w:vAlign w:val="bottom"/>
          </w:tcPr>
          <w:p>
            <w:pPr>
              <w:spacing w:after="0"/>
              <w:rPr>
                <w:sz w:val="11"/>
                <w:szCs w:val="11"/>
                <w:color w:val="auto"/>
              </w:rPr>
            </w:pPr>
          </w:p>
        </w:tc>
        <w:tc>
          <w:tcPr>
            <w:tcW w:w="3520" w:type="dxa"/>
            <w:vAlign w:val="bottom"/>
            <w:gridSpan w:val="10"/>
          </w:tcPr>
          <w:p>
            <w:pPr>
              <w:ind w:left="18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6"/>
                <w:szCs w:val="6"/>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0"/>
              </w:rPr>
              <w:t>Common Stock</w:t>
            </w:r>
            <w:r>
              <w:rPr>
                <w:rFonts w:ascii="Arial" w:cs="Arial" w:eastAsia="Arial" w:hAnsi="Arial"/>
                <w:sz w:val="22"/>
                <w:szCs w:val="22"/>
                <w:color w:val="008000"/>
                <w:w w:val="90"/>
                <w:vertAlign w:val="superscript"/>
              </w:rPr>
              <w:t>(1)</w:t>
            </w: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10,753</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20,793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3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20" w:type="dxa"/>
            <w:vAlign w:val="bottom"/>
            <w:gridSpan w:val="3"/>
          </w:tcPr>
          <w:p>
            <w:pPr>
              <w:ind w:left="900"/>
              <w:spacing w:after="0"/>
              <w:rPr>
                <w:sz w:val="20"/>
                <w:szCs w:val="20"/>
                <w:color w:val="auto"/>
              </w:rPr>
            </w:pPr>
            <w:r>
              <w:rPr>
                <w:rFonts w:ascii="Arial" w:cs="Arial" w:eastAsia="Arial" w:hAnsi="Arial"/>
                <w:sz w:val="17"/>
                <w:szCs w:val="17"/>
                <w:color w:val="0000FF"/>
              </w:rPr>
              <w:t>02/13/2021</w:t>
            </w: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jc w:val="center"/>
              <w:ind w:right="279"/>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33"/>
              <w:spacing w:after="0"/>
              <w:rPr>
                <w:sz w:val="20"/>
                <w:szCs w:val="20"/>
                <w:color w:val="auto"/>
              </w:rPr>
            </w:pPr>
            <w:r>
              <w:rPr>
                <w:rFonts w:ascii="Arial" w:cs="Arial" w:eastAsia="Arial" w:hAnsi="Arial"/>
                <w:sz w:val="17"/>
                <w:szCs w:val="17"/>
                <w:color w:val="0000FF"/>
              </w:rPr>
              <w:t>3,143</w:t>
            </w:r>
          </w:p>
        </w:tc>
        <w:tc>
          <w:tcPr>
            <w:tcW w:w="420" w:type="dxa"/>
            <w:vAlign w:val="bottom"/>
          </w:tcPr>
          <w:p>
            <w:pPr>
              <w:ind w:left="280"/>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3"/>
                <w:szCs w:val="23"/>
                <w:color w:val="auto"/>
              </w:rPr>
            </w:pPr>
          </w:p>
        </w:tc>
        <w:tc>
          <w:tcPr>
            <w:tcW w:w="560" w:type="dxa"/>
            <w:vAlign w:val="bottom"/>
            <w:gridSpan w:val="3"/>
          </w:tcPr>
          <w:p>
            <w:pPr>
              <w:jc w:val="center"/>
              <w:ind w:right="3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53.6</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17,650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13, 2018, the Reporting Person received a grant of Performance Stock Units ("PSUs") under the Company's 2017 Long-Term Incentive Plan. Under the grant, the PSUs could be earned based on the achievement of certain financial targets. The PSUs vested on February 13, 2021, and were awarded in shares of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02/17/2021</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Hatto</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2153"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2021-02-17T16:20:42Z</dcterms:created>
  <dcterms:modified xsi:type="dcterms:W3CDTF">2021-02-17T16:20:42Z</dcterms:modified>
</cp:coreProperties>
</file>