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3"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-638810</wp:posOffset>
            </wp:positionV>
            <wp:extent cx="59055" cy="652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2145"/>
                    </a:xfrm>
                    <a:prstGeom prst="rect">
                      <a:avLst/>
                    </a:prstGeom>
                    <a:noFill/>
                  </pic:spPr>
                </pic:pic>
              </a:graphicData>
            </a:graphic>
          </wp:anchor>
        </w:drawing>
        <w:drawing>
          <wp:anchor simplePos="0" relativeHeight="251657728" behindDoc="1" locked="0" layoutInCell="0" allowOverlap="1">
            <wp:simplePos x="0" y="0"/>
            <wp:positionH relativeFrom="column">
              <wp:posOffset>4110355</wp:posOffset>
            </wp:positionH>
            <wp:positionV relativeFrom="paragraph">
              <wp:posOffset>-638810</wp:posOffset>
            </wp:positionV>
            <wp:extent cx="59055" cy="652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214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6649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664908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00" w:space="420"/>
            <w:col w:w="8800"/>
          </w:cols>
          <w:pgMar w:left="240" w:top="223"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Cyprus Nick</w:t>
        </w:r>
      </w:hyperlink>
    </w:p>
    <w:p>
      <w:pPr>
        <w:spacing w:after="0" w:line="314"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6" w:lineRule="exact"/>
        <w:rPr>
          <w:sz w:val="24"/>
          <w:szCs w:val="24"/>
          <w:color w:val="auto"/>
        </w:rPr>
      </w:pPr>
    </w:p>
    <w:p>
      <w:pPr>
        <w:ind w:left="120" w:right="1040"/>
        <w:spacing w:after="0" w:line="311"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03/31/2011</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5" w:right="700" w:hanging="5"/>
        <w:spacing w:after="0" w:line="244"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205" w:type="dxa"/>
        <w:tblCellMar>
          <w:top w:w="0" w:type="dxa"/>
          <w:left w:w="0" w:type="dxa"/>
          <w:bottom w:w="0" w:type="dxa"/>
          <w:right w:w="0" w:type="dxa"/>
        </w:tblCellMar>
      </w:tblPr>
      <w:tr>
        <w:trPr>
          <w:trHeight w:val="157"/>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5"/>
        <w:spacing w:after="0"/>
        <w:rPr>
          <w:sz w:val="20"/>
          <w:szCs w:val="20"/>
          <w:color w:val="auto"/>
        </w:rPr>
      </w:pPr>
      <w:r>
        <w:rPr>
          <w:rFonts w:ascii="Arial" w:cs="Arial" w:eastAsia="Arial" w:hAnsi="Arial"/>
          <w:sz w:val="17"/>
          <w:szCs w:val="17"/>
          <w:color w:val="0000FF"/>
        </w:rPr>
        <w:t>Vice President</w:t>
      </w:r>
    </w:p>
    <w:p>
      <w:pPr>
        <w:spacing w:after="0" w:line="443" w:lineRule="exact"/>
        <w:rPr>
          <w:sz w:val="24"/>
          <w:szCs w:val="24"/>
          <w:color w:val="auto"/>
        </w:rPr>
      </w:pPr>
    </w:p>
    <w:p>
      <w:pPr>
        <w:sectPr>
          <w:pgSz w:w="11900" w:h="16838" w:orient="portrait"/>
          <w:cols w:equalWidth="0" w:num="3">
            <w:col w:w="3340" w:space="720"/>
            <w:col w:w="3275" w:space="720"/>
            <w:col w:w="3465"/>
          </w:cols>
          <w:pgMar w:left="240" w:top="223" w:right="139" w:bottom="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60" w:type="dxa"/>
            <w:vAlign w:val="bottom"/>
            <w:gridSpan w:val="6"/>
          </w:tcPr>
          <w:p>
            <w:pPr>
              <w:ind w:left="14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28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gridSpan w:val="3"/>
          </w:tcPr>
          <w:p>
            <w:pPr>
              <w:spacing w:after="0"/>
              <w:rPr>
                <w:sz w:val="11"/>
                <w:szCs w:val="11"/>
                <w:color w:val="auto"/>
              </w:rPr>
            </w:pPr>
          </w:p>
        </w:tc>
        <w:tc>
          <w:tcPr>
            <w:tcW w:w="4440" w:type="dxa"/>
            <w:vAlign w:val="bottom"/>
            <w:tcBorders>
              <w:bottom w:val="single" w:sz="8" w:color="2C2C2C"/>
            </w:tcBorders>
            <w:gridSpan w:val="7"/>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3"/>
          </w:tcPr>
          <w:p>
            <w:pPr>
              <w:ind w:left="9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60" w:type="dxa"/>
            <w:vAlign w:val="bottom"/>
            <w:gridSpan w:val="3"/>
          </w:tcPr>
          <w:p>
            <w:pPr>
              <w:ind w:left="800"/>
              <w:spacing w:after="0" w:line="132"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2"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03/31/2011</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3"/>
              </w:rPr>
              <w:t>3,876</w:t>
            </w:r>
            <w:r>
              <w:rPr>
                <w:rFonts w:ascii="Arial" w:cs="Arial" w:eastAsia="Arial" w:hAnsi="Arial"/>
                <w:sz w:val="21"/>
                <w:szCs w:val="21"/>
                <w:color w:val="008000"/>
                <w:w w:val="83"/>
                <w:vertAlign w:val="superscript"/>
              </w:rPr>
              <w:t>(2)</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tcPr>
          <w:p>
            <w:pPr>
              <w:jc w:val="right"/>
              <w:ind w:right="49"/>
              <w:spacing w:after="0" w:line="315"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3,876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03/31/2011</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9"/>
              </w:rPr>
              <w:t>2,548</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31.28</w:t>
            </w:r>
            <w:r>
              <w:rPr>
                <w:rFonts w:ascii="Arial" w:cs="Arial" w:eastAsia="Arial" w:hAnsi="Arial"/>
                <w:sz w:val="21"/>
                <w:szCs w:val="21"/>
                <w:color w:val="008000"/>
                <w:w w:val="86"/>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1,328</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03/31/2011</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9"/>
              </w:rPr>
              <w:t>1,328</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31.28</w:t>
            </w:r>
            <w:r>
              <w:rPr>
                <w:rFonts w:ascii="Arial" w:cs="Arial" w:eastAsia="Arial" w:hAnsi="Arial"/>
                <w:sz w:val="21"/>
                <w:szCs w:val="21"/>
                <w:color w:val="008000"/>
                <w:w w:val="86"/>
                <w:vertAlign w:val="superscript"/>
              </w:rPr>
              <w:t>(3)</w:t>
            </w:r>
          </w:p>
        </w:tc>
        <w:tc>
          <w:tcPr>
            <w:tcW w:w="720" w:type="dxa"/>
            <w:vAlign w:val="bottom"/>
            <w:tcBorders>
              <w:bottom w:val="single" w:sz="8" w:color="2C2C2C"/>
            </w:tcBorders>
            <w:gridSpan w:val="2"/>
          </w:tcPr>
          <w:p>
            <w:pPr>
              <w:jc w:val="center"/>
              <w:ind w:left="530"/>
              <w:spacing w:after="0"/>
              <w:rPr>
                <w:sz w:val="20"/>
                <w:szCs w:val="20"/>
                <w:color w:val="auto"/>
              </w:rPr>
            </w:pPr>
            <w:r>
              <w:rPr>
                <w:rFonts w:ascii="Arial" w:cs="Arial" w:eastAsia="Arial" w:hAnsi="Arial"/>
                <w:sz w:val="17"/>
                <w:szCs w:val="17"/>
                <w:color w:val="0000FF"/>
                <w:w w:val="84"/>
              </w:rPr>
              <w:t>0</w:t>
            </w:r>
          </w:p>
        </w:tc>
        <w:tc>
          <w:tcPr>
            <w:tcW w:w="5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(4)</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03/31/2011</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3"/>
              </w:rPr>
              <w:t>4,818</w:t>
            </w:r>
            <w:r>
              <w:rPr>
                <w:rFonts w:ascii="Arial" w:cs="Arial" w:eastAsia="Arial" w:hAnsi="Arial"/>
                <w:sz w:val="21"/>
                <w:szCs w:val="21"/>
                <w:color w:val="008000"/>
                <w:w w:val="83"/>
                <w:vertAlign w:val="superscript"/>
              </w:rPr>
              <w:t>(5)</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tcPr>
          <w:p>
            <w:pPr>
              <w:jc w:val="right"/>
              <w:ind w:right="49"/>
              <w:spacing w:after="0" w:line="315"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4,818</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03/31/2011</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9"/>
              </w:rPr>
              <w:t>3,167</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31.28</w:t>
            </w:r>
            <w:r>
              <w:rPr>
                <w:rFonts w:ascii="Arial" w:cs="Arial" w:eastAsia="Arial" w:hAnsi="Arial"/>
                <w:sz w:val="21"/>
                <w:szCs w:val="21"/>
                <w:color w:val="008000"/>
                <w:w w:val="86"/>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1,651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03/31/2011</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9"/>
              </w:rPr>
              <w:t>1,651</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31.28</w:t>
            </w:r>
            <w:r>
              <w:rPr>
                <w:rFonts w:ascii="Arial" w:cs="Arial" w:eastAsia="Arial" w:hAnsi="Arial"/>
                <w:sz w:val="21"/>
                <w:szCs w:val="21"/>
                <w:color w:val="008000"/>
                <w:w w:val="86"/>
                <w:vertAlign w:val="superscript"/>
              </w:rPr>
              <w:t>(3)</w:t>
            </w:r>
          </w:p>
        </w:tc>
        <w:tc>
          <w:tcPr>
            <w:tcW w:w="720" w:type="dxa"/>
            <w:vAlign w:val="bottom"/>
            <w:tcBorders>
              <w:bottom w:val="single" w:sz="8" w:color="2C2C2C"/>
            </w:tcBorders>
            <w:gridSpan w:val="2"/>
          </w:tcPr>
          <w:p>
            <w:pPr>
              <w:jc w:val="center"/>
              <w:ind w:left="530"/>
              <w:spacing w:after="0"/>
              <w:rPr>
                <w:sz w:val="20"/>
                <w:szCs w:val="20"/>
                <w:color w:val="auto"/>
              </w:rPr>
            </w:pPr>
            <w:r>
              <w:rPr>
                <w:rFonts w:ascii="Arial" w:cs="Arial" w:eastAsia="Arial" w:hAnsi="Arial"/>
                <w:sz w:val="17"/>
                <w:szCs w:val="17"/>
                <w:color w:val="0000FF"/>
                <w:w w:val="84"/>
              </w:rPr>
              <w:t>0</w:t>
            </w:r>
          </w:p>
        </w:tc>
        <w:tc>
          <w:tcPr>
            <w:tcW w:w="5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2"/>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0"/>
          </w:tcPr>
          <w:p>
            <w:pPr>
              <w:ind w:left="8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00" w:type="dxa"/>
            <w:vAlign w:val="bottom"/>
          </w:tcPr>
          <w:p>
            <w:pPr>
              <w:ind w:left="80"/>
              <w:spacing w:after="0"/>
              <w:rPr>
                <w:sz w:val="20"/>
                <w:szCs w:val="20"/>
                <w:color w:val="auto"/>
              </w:rPr>
            </w:pPr>
            <w:r>
              <w:rPr>
                <w:rFonts w:ascii="Arial" w:cs="Arial" w:eastAsia="Arial" w:hAnsi="Arial"/>
                <w:sz w:val="12"/>
                <w:szCs w:val="12"/>
                <w:b w:val="1"/>
                <w:bCs w:val="1"/>
                <w:color w:val="auto"/>
                <w:w w:val="99"/>
              </w:rPr>
              <w:t>4.</w:t>
            </w:r>
          </w:p>
        </w:tc>
        <w:tc>
          <w:tcPr>
            <w:tcW w:w="56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8"/>
              </w:rPr>
              <w:t>Code (Instr.</w:t>
            </w: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8"/>
              </w:rPr>
              <w:t>Underlying</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3"/>
              </w:rPr>
              <w:t>8)</w:t>
            </w:r>
          </w:p>
        </w:tc>
        <w:tc>
          <w:tcPr>
            <w:tcW w:w="56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Disposed of</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 (Instr.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and 5)</w:t>
            </w: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vMerge w:val="restart"/>
          </w:tcPr>
          <w:p>
            <w:pPr>
              <w:ind w:left="40"/>
              <w:spacing w:after="0"/>
              <w:rPr>
                <w:sz w:val="20"/>
                <w:szCs w:val="20"/>
                <w:color w:val="auto"/>
              </w:rPr>
            </w:pPr>
            <w:r>
              <w:rPr>
                <w:rFonts w:ascii="Arial" w:cs="Arial" w:eastAsia="Arial" w:hAnsi="Arial"/>
                <w:sz w:val="13"/>
                <w:szCs w:val="13"/>
                <w:color w:val="0000FF"/>
                <w:w w:val="96"/>
              </w:rPr>
              <w:t>3,876</w:t>
            </w:r>
            <w:r>
              <w:rPr>
                <w:rFonts w:ascii="Arial" w:cs="Arial" w:eastAsia="Arial" w:hAnsi="Arial"/>
                <w:sz w:val="21"/>
                <w:szCs w:val="21"/>
                <w:color w:val="008000"/>
                <w:w w:val="96"/>
                <w:vertAlign w:val="superscript"/>
              </w:rPr>
              <w:t>(2)</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80" w:type="dxa"/>
            <w:vAlign w:val="bottom"/>
            <w:vMerge w:val="restart"/>
          </w:tcPr>
          <w:p>
            <w:pPr>
              <w:spacing w:after="0"/>
              <w:rPr>
                <w:sz w:val="20"/>
                <w:szCs w:val="20"/>
                <w:color w:val="auto"/>
              </w:rPr>
            </w:pPr>
            <w:r>
              <w:rPr>
                <w:rFonts w:ascii="Arial" w:cs="Arial" w:eastAsia="Arial" w:hAnsi="Arial"/>
                <w:sz w:val="17"/>
                <w:szCs w:val="17"/>
                <w:color w:val="0000FF"/>
                <w:w w:val="93"/>
              </w:rPr>
              <w:t>3,876</w:t>
            </w:r>
            <w:r>
              <w:rPr>
                <w:rFonts w:ascii="Arial" w:cs="Arial" w:eastAsia="Arial" w:hAnsi="Arial"/>
                <w:sz w:val="21"/>
                <w:szCs w:val="21"/>
                <w:color w:val="008000"/>
                <w:w w:val="93"/>
                <w:vertAlign w:val="superscript"/>
              </w:rPr>
              <w:t>(2)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8"/>
              </w:rPr>
              <w:t>3,873</w:t>
            </w:r>
            <w:r>
              <w:rPr>
                <w:rFonts w:ascii="Arial" w:cs="Arial" w:eastAsia="Arial" w:hAnsi="Arial"/>
                <w:sz w:val="21"/>
                <w:szCs w:val="21"/>
                <w:color w:val="008000"/>
                <w:w w:val="88"/>
                <w:vertAlign w:val="superscript"/>
              </w:rPr>
              <w:t>(2)</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89"/>
              </w:rPr>
              <w:t>03/31/2011</w:t>
            </w:r>
          </w:p>
        </w:tc>
        <w:tc>
          <w:tcPr>
            <w:tcW w:w="1100" w:type="dxa"/>
            <w:vAlign w:val="bottom"/>
          </w:tcPr>
          <w:p>
            <w:pPr>
              <w:spacing w:after="0"/>
              <w:rPr>
                <w:sz w:val="13"/>
                <w:szCs w:val="13"/>
                <w:color w:val="auto"/>
              </w:rPr>
            </w:pPr>
          </w:p>
        </w:tc>
        <w:tc>
          <w:tcPr>
            <w:tcW w:w="760" w:type="dxa"/>
            <w:vAlign w:val="bottom"/>
            <w:gridSpan w:val="2"/>
          </w:tcPr>
          <w:p>
            <w:pPr>
              <w:ind w:left="160"/>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ind w:left="32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jc w:val="center"/>
              <w:ind w:right="39"/>
              <w:spacing w:after="0"/>
              <w:rPr>
                <w:sz w:val="20"/>
                <w:szCs w:val="20"/>
                <w:color w:val="auto"/>
              </w:rPr>
            </w:pPr>
            <w:r>
              <w:rPr>
                <w:rFonts w:ascii="Arial" w:cs="Arial" w:eastAsia="Arial" w:hAnsi="Arial"/>
                <w:sz w:val="11"/>
                <w:szCs w:val="11"/>
                <w:color w:val="008000"/>
              </w:rPr>
              <w:t>(3)</w:t>
            </w:r>
          </w:p>
        </w:tc>
        <w:tc>
          <w:tcPr>
            <w:tcW w:w="880" w:type="dxa"/>
            <w:vAlign w:val="bottom"/>
            <w:gridSpan w:val="2"/>
            <w:vMerge w:val="continue"/>
          </w:tcPr>
          <w:p>
            <w:pPr>
              <w:spacing w:after="0"/>
              <w:rPr>
                <w:sz w:val="13"/>
                <w:szCs w:val="13"/>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4"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ind w:left="160"/>
              <w:spacing w:after="0" w:line="145" w:lineRule="exact"/>
              <w:rPr>
                <w:sz w:val="20"/>
                <w:szCs w:val="20"/>
                <w:color w:val="auto"/>
              </w:rPr>
            </w:pPr>
            <w:r>
              <w:rPr>
                <w:rFonts w:ascii="Arial" w:cs="Arial" w:eastAsia="Arial" w:hAnsi="Arial"/>
                <w:sz w:val="13"/>
                <w:szCs w:val="13"/>
                <w:color w:val="0000FF"/>
              </w:rPr>
              <w:t>Stock</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vMerge w:val="restart"/>
          </w:tcPr>
          <w:p>
            <w:pPr>
              <w:ind w:left="40"/>
              <w:spacing w:after="0"/>
              <w:rPr>
                <w:sz w:val="20"/>
                <w:szCs w:val="20"/>
                <w:color w:val="auto"/>
              </w:rPr>
            </w:pPr>
            <w:r>
              <w:rPr>
                <w:rFonts w:ascii="Arial" w:cs="Arial" w:eastAsia="Arial" w:hAnsi="Arial"/>
                <w:sz w:val="13"/>
                <w:szCs w:val="13"/>
                <w:color w:val="0000FF"/>
                <w:w w:val="96"/>
              </w:rPr>
              <w:t>4,818</w:t>
            </w:r>
            <w:r>
              <w:rPr>
                <w:rFonts w:ascii="Arial" w:cs="Arial" w:eastAsia="Arial" w:hAnsi="Arial"/>
                <w:sz w:val="21"/>
                <w:szCs w:val="21"/>
                <w:color w:val="008000"/>
                <w:w w:val="96"/>
                <w:vertAlign w:val="superscript"/>
              </w:rPr>
              <w:t>(5)</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80" w:type="dxa"/>
            <w:vAlign w:val="bottom"/>
            <w:vMerge w:val="restart"/>
          </w:tcPr>
          <w:p>
            <w:pPr>
              <w:spacing w:after="0"/>
              <w:rPr>
                <w:sz w:val="20"/>
                <w:szCs w:val="20"/>
                <w:color w:val="auto"/>
              </w:rPr>
            </w:pPr>
            <w:r>
              <w:rPr>
                <w:rFonts w:ascii="Arial" w:cs="Arial" w:eastAsia="Arial" w:hAnsi="Arial"/>
                <w:sz w:val="17"/>
                <w:szCs w:val="17"/>
                <w:color w:val="0000FF"/>
                <w:w w:val="93"/>
              </w:rPr>
              <w:t>4,818</w:t>
            </w:r>
            <w:r>
              <w:rPr>
                <w:rFonts w:ascii="Arial" w:cs="Arial" w:eastAsia="Arial" w:hAnsi="Arial"/>
                <w:sz w:val="21"/>
                <w:szCs w:val="21"/>
                <w:color w:val="008000"/>
                <w:w w:val="93"/>
                <w:vertAlign w:val="superscript"/>
              </w:rPr>
              <w:t>(2)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8"/>
              </w:rPr>
              <w:t>9,636</w:t>
            </w:r>
            <w:r>
              <w:rPr>
                <w:rFonts w:ascii="Arial" w:cs="Arial" w:eastAsia="Arial" w:hAnsi="Arial"/>
                <w:sz w:val="21"/>
                <w:szCs w:val="21"/>
                <w:color w:val="008000"/>
                <w:w w:val="88"/>
                <w:vertAlign w:val="superscript"/>
              </w:rPr>
              <w:t>(2)</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89"/>
              </w:rPr>
              <w:t>03/31/2011</w:t>
            </w:r>
          </w:p>
        </w:tc>
        <w:tc>
          <w:tcPr>
            <w:tcW w:w="1100" w:type="dxa"/>
            <w:vAlign w:val="bottom"/>
          </w:tcPr>
          <w:p>
            <w:pPr>
              <w:spacing w:after="0"/>
              <w:rPr>
                <w:sz w:val="13"/>
                <w:szCs w:val="13"/>
                <w:color w:val="auto"/>
              </w:rPr>
            </w:pPr>
          </w:p>
        </w:tc>
        <w:tc>
          <w:tcPr>
            <w:tcW w:w="760" w:type="dxa"/>
            <w:vAlign w:val="bottom"/>
            <w:gridSpan w:val="2"/>
          </w:tcPr>
          <w:p>
            <w:pPr>
              <w:ind w:left="160"/>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ind w:left="32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jc w:val="center"/>
              <w:ind w:right="39"/>
              <w:spacing w:after="0"/>
              <w:rPr>
                <w:sz w:val="20"/>
                <w:szCs w:val="20"/>
                <w:color w:val="auto"/>
              </w:rPr>
            </w:pPr>
            <w:r>
              <w:rPr>
                <w:rFonts w:ascii="Arial" w:cs="Arial" w:eastAsia="Arial" w:hAnsi="Arial"/>
                <w:sz w:val="11"/>
                <w:szCs w:val="11"/>
                <w:color w:val="008000"/>
              </w:rPr>
              <w:t>(3)</w:t>
            </w:r>
          </w:p>
        </w:tc>
        <w:tc>
          <w:tcPr>
            <w:tcW w:w="880" w:type="dxa"/>
            <w:vAlign w:val="bottom"/>
            <w:gridSpan w:val="2"/>
            <w:vMerge w:val="continue"/>
          </w:tcPr>
          <w:p>
            <w:pPr>
              <w:spacing w:after="0"/>
              <w:rPr>
                <w:sz w:val="13"/>
                <w:szCs w:val="13"/>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4"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(4)</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ind w:left="160"/>
              <w:spacing w:after="0" w:line="145" w:lineRule="exact"/>
              <w:rPr>
                <w:sz w:val="20"/>
                <w:szCs w:val="20"/>
                <w:color w:val="auto"/>
              </w:rPr>
            </w:pPr>
            <w:r>
              <w:rPr>
                <w:rFonts w:ascii="Arial" w:cs="Arial" w:eastAsia="Arial" w:hAnsi="Arial"/>
                <w:sz w:val="13"/>
                <w:szCs w:val="13"/>
                <w:color w:val="0000FF"/>
              </w:rPr>
              <w:t>Stock</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80" w:type="dxa"/>
            <w:vAlign w:val="bottom"/>
            <w:vMerge w:val="restart"/>
          </w:tcPr>
          <w:p>
            <w:pPr>
              <w:jc w:val="right"/>
              <w:ind w:right="69"/>
              <w:spacing w:after="0"/>
              <w:rPr>
                <w:sz w:val="20"/>
                <w:szCs w:val="20"/>
                <w:color w:val="auto"/>
              </w:rPr>
            </w:pPr>
            <w:r>
              <w:rPr>
                <w:rFonts w:ascii="Arial" w:cs="Arial" w:eastAsia="Arial" w:hAnsi="Arial"/>
                <w:sz w:val="17"/>
                <w:szCs w:val="17"/>
                <w:color w:val="0000FF"/>
                <w:w w:val="98"/>
              </w:rPr>
              <w:t>8,952</w:t>
            </w:r>
          </w:p>
        </w:tc>
        <w:tc>
          <w:tcPr>
            <w:tcW w:w="40" w:type="dxa"/>
            <w:vAlign w:val="bottom"/>
          </w:tcPr>
          <w:p>
            <w:pPr>
              <w:spacing w:after="0"/>
              <w:rPr>
                <w:sz w:val="16"/>
                <w:szCs w:val="16"/>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(6)</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9"/>
              </w:rPr>
              <w:t>03/31/2011</w:t>
            </w:r>
          </w:p>
        </w:tc>
        <w:tc>
          <w:tcPr>
            <w:tcW w:w="1100" w:type="dxa"/>
            <w:vAlign w:val="bottom"/>
          </w:tcPr>
          <w:p>
            <w:pPr>
              <w:spacing w:after="0"/>
              <w:rPr>
                <w:sz w:val="6"/>
                <w:szCs w:val="6"/>
                <w:color w:val="auto"/>
              </w:rPr>
            </w:pPr>
          </w:p>
        </w:tc>
        <w:tc>
          <w:tcPr>
            <w:tcW w:w="760" w:type="dxa"/>
            <w:vAlign w:val="bottom"/>
            <w:gridSpan w:val="2"/>
            <w:vMerge w:val="restart"/>
          </w:tcPr>
          <w:p>
            <w:pPr>
              <w:ind w:left="180"/>
              <w:spacing w:after="0" w:line="141" w:lineRule="exact"/>
              <w:rPr>
                <w:sz w:val="20"/>
                <w:szCs w:val="20"/>
                <w:color w:val="auto"/>
              </w:rPr>
            </w:pPr>
            <w:r>
              <w:rPr>
                <w:rFonts w:ascii="Arial" w:cs="Arial" w:eastAsia="Arial" w:hAnsi="Arial"/>
                <w:sz w:val="13"/>
                <w:szCs w:val="13"/>
                <w:color w:val="0000FF"/>
              </w:rPr>
              <w:t>A</w:t>
            </w:r>
          </w:p>
        </w:tc>
        <w:tc>
          <w:tcPr>
            <w:tcW w:w="540" w:type="dxa"/>
            <w:vAlign w:val="bottom"/>
            <w:vMerge w:val="restart"/>
          </w:tcPr>
          <w:p>
            <w:pPr>
              <w:ind w:left="140"/>
              <w:spacing w:after="0" w:line="141" w:lineRule="exact"/>
              <w:rPr>
                <w:sz w:val="20"/>
                <w:szCs w:val="20"/>
                <w:color w:val="auto"/>
              </w:rPr>
            </w:pPr>
            <w:r>
              <w:rPr>
                <w:rFonts w:ascii="Arial" w:cs="Arial" w:eastAsia="Arial" w:hAnsi="Arial"/>
                <w:sz w:val="13"/>
                <w:szCs w:val="13"/>
                <w:color w:val="0000FF"/>
              </w:rPr>
              <w:t>8,952</w:t>
            </w:r>
          </w:p>
        </w:tc>
        <w:tc>
          <w:tcPr>
            <w:tcW w:w="540" w:type="dxa"/>
            <w:vAlign w:val="bottom"/>
          </w:tcPr>
          <w:p>
            <w:pPr>
              <w:spacing w:after="0"/>
              <w:rPr>
                <w:sz w:val="6"/>
                <w:szCs w:val="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7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restart"/>
          </w:tcPr>
          <w:p>
            <w:pPr>
              <w:jc w:val="center"/>
              <w:ind w:left="199"/>
              <w:spacing w:after="0" w:line="141" w:lineRule="exact"/>
              <w:rPr>
                <w:sz w:val="20"/>
                <w:szCs w:val="20"/>
                <w:color w:val="auto"/>
              </w:rPr>
            </w:pPr>
            <w:r>
              <w:rPr>
                <w:rFonts w:ascii="Arial" w:cs="Arial" w:eastAsia="Arial" w:hAnsi="Arial"/>
                <w:sz w:val="13"/>
                <w:szCs w:val="13"/>
                <w:color w:val="0000FF"/>
                <w:w w:val="85"/>
              </w:rPr>
              <w:t>8,952</w:t>
            </w:r>
          </w:p>
        </w:tc>
        <w:tc>
          <w:tcPr>
            <w:tcW w:w="300" w:type="dxa"/>
            <w:vAlign w:val="bottom"/>
          </w:tcPr>
          <w:p>
            <w:pPr>
              <w:spacing w:after="0"/>
              <w:rPr>
                <w:sz w:val="6"/>
                <w:szCs w:val="6"/>
                <w:color w:val="auto"/>
              </w:rPr>
            </w:pPr>
          </w:p>
        </w:tc>
        <w:tc>
          <w:tcPr>
            <w:tcW w:w="66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(6)</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540" w:firstLine="5"/>
        <w:spacing w:after="0" w:line="297" w:lineRule="auto"/>
        <w:tabs>
          <w:tab w:leader="none" w:pos="17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deemed to have been issued, nunc pro tunc, on March 31, 2009 pursuant to the Company's Salary Stock Plan (the "GMSSP") and vested upon grant. The portion of this award currently payable was settled on March 31, 2011 in cash, less a portion withheld for taxes.</w:t>
      </w:r>
    </w:p>
    <w:p>
      <w:pPr>
        <w:ind w:left="40" w:right="380" w:firstLine="5"/>
        <w:spacing w:after="0"/>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31, 2009 the employee received a grant of 3,876 SSUs, of which 1,292 SSUs were scheduled to be payable on March 31, 2011. On November 1, 2010 the Company amended its certificate of incorporation to effect a stock split in which each issued and outstanding share of Common Stock was converted into three shares of Common Stock (the "Stock Split"). Pursuant to the terms of the GMSSP, each issued and outstanding SSUs was automatically converted upon the effectiveness of the Stock Split into three SSUs, so that the employee was credited with a total of 11,628 SSUs granted on March 31, 2009, of which 3,876 SSUs became payable on March 31, 2011.</w:t>
      </w:r>
    </w:p>
    <w:p>
      <w:pPr>
        <w:spacing w:after="0" w:line="33" w:lineRule="exact"/>
        <w:rPr>
          <w:rFonts w:ascii="Arial" w:cs="Arial" w:eastAsia="Arial" w:hAnsi="Arial"/>
          <w:sz w:val="13"/>
          <w:szCs w:val="13"/>
          <w:color w:val="008000"/>
        </w:rPr>
      </w:pPr>
    </w:p>
    <w:p>
      <w:pPr>
        <w:ind w:left="40" w:right="160" w:firstLine="5"/>
        <w:spacing w:after="0" w:line="244"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the Company's common stock. Under the GMSSP, the fair value of the Company's common stock is the average of the high and low trading prices for the Company's common stock as reported on the New York Stock Exchange, on which the Company's common stock is listed, on the date of the transaction, which was $31.28.</w:t>
      </w:r>
    </w:p>
    <w:p>
      <w:pPr>
        <w:spacing w:after="0" w:line="30" w:lineRule="exact"/>
        <w:rPr>
          <w:rFonts w:ascii="Arial" w:cs="Arial" w:eastAsia="Arial" w:hAnsi="Arial"/>
          <w:sz w:val="13"/>
          <w:szCs w:val="13"/>
          <w:color w:val="008000"/>
        </w:rPr>
      </w:pPr>
    </w:p>
    <w:p>
      <w:pPr>
        <w:ind w:left="40" w:right="360" w:firstLine="5"/>
        <w:spacing w:after="0" w:line="257"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deemed to have been issued, nunc pro tunc, on March 31, 2010 pursuant to the GMSSP and vested upon grant. The portion of this award currently payable was settled on March 31, 2011 in cash, less a portion withheld for taxes.</w:t>
      </w:r>
    </w:p>
    <w:p>
      <w:pPr>
        <w:spacing w:after="0" w:line="21" w:lineRule="exact"/>
        <w:rPr>
          <w:rFonts w:ascii="Arial" w:cs="Arial" w:eastAsia="Arial" w:hAnsi="Arial"/>
          <w:sz w:val="13"/>
          <w:szCs w:val="13"/>
          <w:color w:val="008000"/>
        </w:rPr>
      </w:pPr>
    </w:p>
    <w:p>
      <w:pPr>
        <w:ind w:left="40" w:right="280" w:firstLine="5"/>
        <w:spacing w:after="0" w:line="244"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31, 2010 the employee received a grant of 4,818 SSUs, of which 1,606 SSUs were scheduled to be payable on March 31, 2011. Pursuant to the terms of the GMSSP, each issued and outstanding SSUs was automatically converted upon the effectiveness of the Stock Split into three SSUs, so that the employee was credited with a total of 14,454 SSUs granted on March 31, 2010, of which 4,818 SSUs became payable on March 31, 2011.</w:t>
      </w:r>
    </w:p>
    <w:p>
      <w:pPr>
        <w:spacing w:after="0" w:line="30" w:lineRule="exact"/>
        <w:rPr>
          <w:rFonts w:ascii="Arial" w:cs="Arial" w:eastAsia="Arial" w:hAnsi="Arial"/>
          <w:sz w:val="13"/>
          <w:szCs w:val="13"/>
          <w:color w:val="008000"/>
        </w:rPr>
      </w:pPr>
    </w:p>
    <w:p>
      <w:pPr>
        <w:ind w:left="40" w:right="160" w:firstLine="5"/>
        <w:spacing w:after="0" w:line="299" w:lineRule="auto"/>
        <w:tabs>
          <w:tab w:leader="none" w:pos="172"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SSUs reported in this item were awarded on March 31, 2011 pursuant to the Company's Salary Stock Plan (the "GMSSP"), and will be settled in three equal, annual installments beginning on March 31, 2012. Each SSU is fully vested and represents a right to receive one share of the Company's common stock on the applicable settlement date; provided, however, that if a settlement date occurs prior to the date that is six months following a consummation of an initial public offering of the Company's common stock, which occurred on November 17, 2010, the SSU will be settled by the delivery of cash (with certain exceptions) in an amount equal to the Fair Market Value (as defined in the GMSSP) of the Company's common stock as of the applicable anniversary date of the SSU's grant. The SSUs do not have an expiration or exercise date.</w:t>
      </w:r>
    </w:p>
    <w:p>
      <w:pPr>
        <w:sectPr>
          <w:pgSz w:w="11900" w:h="16838" w:orient="portrait"/>
          <w:cols w:equalWidth="0" w:num="1">
            <w:col w:w="11520"/>
          </w:cols>
          <w:pgMar w:left="240" w:top="223" w:right="139" w:bottom="0" w:gutter="0" w:footer="0" w:header="0"/>
          <w:type w:val="continuous"/>
        </w:sectPr>
      </w:pPr>
    </w:p>
    <w:p>
      <w:pPr>
        <w:spacing w:after="0" w:line="28" w:lineRule="exact"/>
        <w:rPr>
          <w:sz w:val="24"/>
          <w:szCs w:val="24"/>
          <w:color w:val="auto"/>
        </w:rPr>
      </w:pPr>
    </w:p>
    <w:p>
      <w:pPr>
        <w:ind w:left="6860"/>
        <w:spacing w:after="0"/>
        <w:rPr>
          <w:sz w:val="20"/>
          <w:szCs w:val="20"/>
          <w:color w:val="auto"/>
        </w:rPr>
      </w:pPr>
      <w:r>
        <w:rPr>
          <w:rFonts w:ascii="Arial" w:cs="Arial" w:eastAsia="Arial" w:hAnsi="Arial"/>
          <w:sz w:val="15"/>
          <w:szCs w:val="15"/>
          <w:color w:val="0000FF"/>
        </w:rPr>
        <w:t>/s/ Anne T. Larin,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4445</wp:posOffset>
            </wp:positionV>
            <wp:extent cx="13068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06830" cy="8255"/>
                    </a:xfrm>
                    <a:prstGeom prst="rect">
                      <a:avLst/>
                    </a:prstGeom>
                    <a:noFill/>
                  </pic:spPr>
                </pic:pic>
              </a:graphicData>
            </a:graphic>
          </wp:anchor>
        </w:drawing>
      </w:r>
    </w:p>
    <w:p>
      <w:pPr>
        <w:spacing w:after="0" w:line="24"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fact for Mr. Cyprus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-13335</wp:posOffset>
            </wp:positionV>
            <wp:extent cx="838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38200" cy="8255"/>
                    </a:xfrm>
                    <a:prstGeom prst="rect">
                      <a:avLst/>
                    </a:prstGeom>
                    <a:noFill/>
                  </pic:spPr>
                </pic:pic>
              </a:graphicData>
            </a:graphic>
          </wp:anchor>
        </w:drawing>
      </w:r>
    </w:p>
    <w:p>
      <w:pPr>
        <w:spacing w:after="0" w:line="50"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Arial" w:cs="Arial" w:eastAsia="Arial" w:hAnsi="Arial"/>
          <w:sz w:val="15"/>
          <w:szCs w:val="15"/>
          <w:color w:val="0000FF"/>
        </w:rPr>
        <w:t>04/04/2011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4908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0855" cy="8255"/>
                    </a:xfrm>
                    <a:prstGeom prst="rect">
                      <a:avLst/>
                    </a:prstGeom>
                    <a:noFill/>
                  </pic:spPr>
                </pic:pic>
              </a:graphicData>
            </a:graphic>
          </wp:anchor>
        </w:drawing>
      </w:r>
    </w:p>
    <w:p>
      <w:pPr>
        <w:spacing w:after="0" w:line="184"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ectPr>
          <w:pgSz w:w="11900" w:h="16838" w:orient="portrait"/>
          <w:cols w:equalWidth="0" w:num="2">
            <w:col w:w="8920" w:space="220"/>
            <w:col w:w="2380"/>
          </w:cols>
          <w:pgMar w:left="240" w:top="223" w:right="139" w:bottom="0" w:gutter="0" w:footer="0" w:header="0"/>
          <w:type w:val="continuous"/>
        </w:sectPr>
      </w:pPr>
    </w:p>
    <w:bookmarkStart w:id="1" w:name="page2"/>
    <w:bookmarkEnd w:id="1"/>
    <w:p>
      <w:pPr>
        <w:jc w:val="both"/>
        <w:ind w:right="2579" w:firstLine="5"/>
        <w:spacing w:after="0" w:line="314" w:lineRule="auto"/>
        <w:tabs>
          <w:tab w:leader="none" w:pos="13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9192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2019-12-17T00:52:16Z</dcterms:created>
  <dcterms:modified xsi:type="dcterms:W3CDTF">2019-12-17T00:52:16Z</dcterms:modified>
</cp:coreProperties>
</file>