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94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SCHOEWE THOMAS M</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9"/>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80" w:type="dxa"/>
            <w:vAlign w:val="bottom"/>
            <w:tcBorders>
              <w:top w:val="single" w:sz="8" w:color="2C2C2C"/>
            </w:tcBorders>
            <w:gridSpan w:val="18"/>
          </w:tcPr>
          <w:p>
            <w:pPr>
              <w:ind w:left="2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2,893</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12/31/2014</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line="146" w:lineRule="exact"/>
              <w:rPr>
                <w:sz w:val="20"/>
                <w:szCs w:val="20"/>
                <w:color w:val="auto"/>
              </w:rPr>
            </w:pPr>
            <w:r>
              <w:rPr>
                <w:rFonts w:ascii="Arial" w:cs="Arial" w:eastAsia="Arial" w:hAnsi="Arial"/>
                <w:sz w:val="14"/>
                <w:szCs w:val="14"/>
                <w:color w:val="0000FF"/>
              </w:rPr>
              <w:t>2,893</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10,936</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0000FF"/>
              </w:rPr>
              <w:t>350</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12/31/2014</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(2)</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line="146" w:lineRule="exact"/>
              <w:rPr>
                <w:sz w:val="20"/>
                <w:szCs w:val="20"/>
                <w:color w:val="auto"/>
              </w:rPr>
            </w:pPr>
            <w:r>
              <w:rPr>
                <w:rFonts w:ascii="Arial" w:cs="Arial" w:eastAsia="Arial" w:hAnsi="Arial"/>
                <w:sz w:val="14"/>
                <w:szCs w:val="14"/>
                <w:color w:val="0000FF"/>
              </w:rPr>
              <w:t>350</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40"/>
              <w:spacing w:after="0" w:line="146" w:lineRule="exact"/>
              <w:rPr>
                <w:sz w:val="20"/>
                <w:szCs w:val="20"/>
                <w:color w:val="auto"/>
              </w:rPr>
            </w:pPr>
            <w:r>
              <w:rPr>
                <w:rFonts w:ascii="Arial" w:cs="Arial" w:eastAsia="Arial" w:hAnsi="Arial"/>
                <w:sz w:val="14"/>
                <w:szCs w:val="14"/>
                <w:color w:val="0000FF"/>
                <w:w w:val="83"/>
              </w:rPr>
              <w:t>11,286</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share units of the Company's Common Stock ("DSUs") were awarded on December 31, 2014 pursuant to the General Motors Company Deferred Compensation Plan for Non-Employee Directors (the "Plan"). Each non-employee director is required to defer one-half of the $200,000 annual retainer fee for service on the Board of Directors into DSUs and may elect to defer more. The retainer fee is converted to DSUs based on the average closing price of the Common Stock for the previous calendar year. Amounts credited as DSUs will be paid in cash after the director leaves the Board. The Deferred Share Units do not have a conversion or exercise price, or an exercise or expiration date.</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01/05/2015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02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0259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6137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2019-12-24T07:18:24Z</dcterms:created>
  <dcterms:modified xsi:type="dcterms:W3CDTF">2019-12-24T07:18:24Z</dcterms:modified>
</cp:coreProperties>
</file>