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6549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Cyprus Nick</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980"/>
        <w:spacing w:after="0" w:line="296" w:lineRule="auto"/>
        <w:rPr>
          <w:sz w:val="20"/>
          <w:szCs w:val="20"/>
          <w:color w:val="auto"/>
        </w:rPr>
      </w:pPr>
      <w:r>
        <w:rPr>
          <w:rFonts w:ascii="Times New Roman" w:cs="Times New Roman" w:eastAsia="Times New Roman" w:hAnsi="Times New Roman"/>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General Motors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12/15/2011</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39"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0" w:type="dxa"/>
            <w:vAlign w:val="bottom"/>
            <w:gridSpan w:val="9"/>
          </w:tcPr>
          <w:p>
            <w:pPr>
              <w:ind w:left="160"/>
              <w:spacing w:after="0" w:line="119" w:lineRule="exact"/>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10"/>
          </w:tcPr>
          <w:p>
            <w:pPr>
              <w:ind w:left="340"/>
              <w:spacing w:after="0" w:line="11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0"/>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48265-3000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62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8"/>
                <w:szCs w:val="18"/>
                <w:color w:val="0000FF"/>
                <w:w w:val="95"/>
              </w:rPr>
              <w:t>12/15/2011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8"/>
              <w:spacing w:after="0"/>
              <w:rPr>
                <w:sz w:val="20"/>
                <w:szCs w:val="20"/>
                <w:color w:val="auto"/>
              </w:rPr>
            </w:pPr>
            <w:r>
              <w:rPr>
                <w:rFonts w:ascii="Times New Roman" w:cs="Times New Roman" w:eastAsia="Times New Roman" w:hAnsi="Times New Roman"/>
                <w:sz w:val="18"/>
                <w:szCs w:val="18"/>
                <w:color w:val="0000FF"/>
                <w:w w:val="93"/>
              </w:rPr>
              <w:t>7,761</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Borders>
              <w:bottom w:val="single" w:sz="8" w:color="2C2C2C"/>
            </w:tcBorders>
          </w:tcPr>
          <w:p>
            <w:pPr>
              <w:jc w:val="center"/>
              <w:ind w:left="208"/>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8"/>
                <w:szCs w:val="18"/>
                <w:color w:val="0000FF"/>
              </w:rPr>
              <w:t>34,713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7"/>
              <w:spacing w:after="0"/>
              <w:rPr>
                <w:sz w:val="20"/>
                <w:szCs w:val="20"/>
                <w:color w:val="auto"/>
              </w:rPr>
            </w:pPr>
            <w:r>
              <w:rPr>
                <w:rFonts w:ascii="Times New Roman" w:cs="Times New Roman" w:eastAsia="Times New Roman" w:hAnsi="Times New Roman"/>
                <w:sz w:val="18"/>
                <w:szCs w:val="18"/>
                <w:color w:val="0000FF"/>
                <w:w w:val="95"/>
              </w:rPr>
              <w:t>12/15/2011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F</w:t>
            </w:r>
          </w:p>
        </w:tc>
        <w:tc>
          <w:tcPr>
            <w:tcW w:w="160" w:type="dxa"/>
            <w:vAlign w:val="bottom"/>
          </w:tcPr>
          <w:p>
            <w:pPr>
              <w:spacing w:after="0"/>
              <w:rPr>
                <w:sz w:val="23"/>
                <w:szCs w:val="23"/>
                <w:color w:val="auto"/>
              </w:rPr>
            </w:pPr>
          </w:p>
        </w:tc>
        <w:tc>
          <w:tcPr>
            <w:tcW w:w="620" w:type="dxa"/>
            <w:vAlign w:val="bottom"/>
          </w:tcPr>
          <w:p>
            <w:pPr>
              <w:jc w:val="center"/>
              <w:ind w:left="128"/>
              <w:spacing w:after="0"/>
              <w:rPr>
                <w:sz w:val="20"/>
                <w:szCs w:val="20"/>
                <w:color w:val="auto"/>
              </w:rPr>
            </w:pPr>
            <w:r>
              <w:rPr>
                <w:rFonts w:ascii="Times New Roman" w:cs="Times New Roman" w:eastAsia="Times New Roman" w:hAnsi="Times New Roman"/>
                <w:sz w:val="18"/>
                <w:szCs w:val="18"/>
                <w:color w:val="0000FF"/>
                <w:w w:val="93"/>
              </w:rPr>
              <w:t>2,814</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gridSpan w:val="2"/>
          </w:tcPr>
          <w:p>
            <w:pPr>
              <w:jc w:val="center"/>
              <w:ind w:left="8"/>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19.86</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31,899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8"/>
                <w:szCs w:val="18"/>
                <w:color w:val="0000FF"/>
                <w:w w:val="95"/>
              </w:rPr>
              <w:t>12/15/2011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8"/>
              <w:spacing w:after="0"/>
              <w:rPr>
                <w:sz w:val="20"/>
                <w:szCs w:val="20"/>
                <w:color w:val="auto"/>
              </w:rPr>
            </w:pPr>
            <w:r>
              <w:rPr>
                <w:rFonts w:ascii="Times New Roman" w:cs="Times New Roman" w:eastAsia="Times New Roman" w:hAnsi="Times New Roman"/>
                <w:sz w:val="18"/>
                <w:szCs w:val="18"/>
                <w:color w:val="0000FF"/>
                <w:w w:val="96"/>
              </w:rPr>
              <w:t>15,106</w:t>
            </w: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Borders>
              <w:bottom w:val="single" w:sz="8" w:color="2C2C2C"/>
            </w:tcBorders>
          </w:tcPr>
          <w:p>
            <w:pPr>
              <w:jc w:val="center"/>
              <w:ind w:left="208"/>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8"/>
                <w:szCs w:val="18"/>
                <w:color w:val="0000FF"/>
              </w:rPr>
              <w:t>47,005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7"/>
              <w:spacing w:after="0"/>
              <w:rPr>
                <w:sz w:val="20"/>
                <w:szCs w:val="20"/>
                <w:color w:val="auto"/>
              </w:rPr>
            </w:pPr>
            <w:r>
              <w:rPr>
                <w:rFonts w:ascii="Times New Roman" w:cs="Times New Roman" w:eastAsia="Times New Roman" w:hAnsi="Times New Roman"/>
                <w:sz w:val="18"/>
                <w:szCs w:val="18"/>
                <w:color w:val="0000FF"/>
                <w:w w:val="95"/>
              </w:rPr>
              <w:t>12/15/2011</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F</w:t>
            </w:r>
          </w:p>
        </w:tc>
        <w:tc>
          <w:tcPr>
            <w:tcW w:w="160" w:type="dxa"/>
            <w:vAlign w:val="bottom"/>
          </w:tcPr>
          <w:p>
            <w:pPr>
              <w:spacing w:after="0"/>
              <w:rPr>
                <w:sz w:val="23"/>
                <w:szCs w:val="23"/>
                <w:color w:val="auto"/>
              </w:rPr>
            </w:pPr>
          </w:p>
        </w:tc>
        <w:tc>
          <w:tcPr>
            <w:tcW w:w="620" w:type="dxa"/>
            <w:vAlign w:val="bottom"/>
          </w:tcPr>
          <w:p>
            <w:pPr>
              <w:jc w:val="center"/>
              <w:ind w:left="128"/>
              <w:spacing w:after="0"/>
              <w:rPr>
                <w:sz w:val="20"/>
                <w:szCs w:val="20"/>
                <w:color w:val="auto"/>
              </w:rPr>
            </w:pPr>
            <w:r>
              <w:rPr>
                <w:rFonts w:ascii="Times New Roman" w:cs="Times New Roman" w:eastAsia="Times New Roman" w:hAnsi="Times New Roman"/>
                <w:sz w:val="18"/>
                <w:szCs w:val="18"/>
                <w:color w:val="0000FF"/>
                <w:w w:val="93"/>
              </w:rPr>
              <w:t>6,685</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gridSpan w:val="2"/>
          </w:tcPr>
          <w:p>
            <w:pPr>
              <w:jc w:val="center"/>
              <w:ind w:left="8"/>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19.86</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40,320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7"/>
                <w:szCs w:val="27"/>
                <w:color w:val="0000FF"/>
                <w:vertAlign w:val="subscript"/>
              </w:rPr>
              <w:t>0</w:t>
            </w:r>
            <w:r>
              <w:rPr>
                <w:rFonts w:ascii="Times New Roman" w:cs="Times New Roman" w:eastAsia="Times New Roman" w:hAnsi="Times New Roman"/>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8"/>
                <w:szCs w:val="18"/>
                <w:color w:val="0000FF"/>
              </w:rPr>
              <w:t>7,761</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7"/>
                <w:szCs w:val="27"/>
                <w:color w:val="0000FF"/>
                <w:vertAlign w:val="subscript"/>
              </w:rPr>
              <w:t>0</w:t>
            </w:r>
            <w:r>
              <w:rPr>
                <w:rFonts w:ascii="Times New Roman" w:cs="Times New Roman" w:eastAsia="Times New Roman" w:hAnsi="Times New Roman"/>
                <w:sz w:val="11"/>
                <w:szCs w:val="11"/>
                <w:color w:val="008000"/>
              </w:rPr>
              <w:t>(3)</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8" w:lineRule="exact"/>
              <w:rPr>
                <w:sz w:val="20"/>
                <w:szCs w:val="20"/>
                <w:color w:val="auto"/>
              </w:rPr>
            </w:pPr>
            <w:r>
              <w:rPr>
                <w:rFonts w:ascii="Times New Roman" w:cs="Times New Roman" w:eastAsia="Times New Roman" w:hAnsi="Times New Roman"/>
                <w:sz w:val="14"/>
                <w:szCs w:val="14"/>
                <w:color w:val="0000FF"/>
              </w:rPr>
              <w:t>12/15/2011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4"/>
                <w:szCs w:val="14"/>
                <w:color w:val="0000FF"/>
              </w:rPr>
              <w:t>D</w:t>
            </w:r>
          </w:p>
        </w:tc>
        <w:tc>
          <w:tcPr>
            <w:tcW w:w="180" w:type="dxa"/>
            <w:vAlign w:val="bottom"/>
          </w:tcPr>
          <w:p>
            <w:pPr>
              <w:spacing w:after="0"/>
              <w:rPr>
                <w:sz w:val="7"/>
                <w:szCs w:val="7"/>
                <w:color w:val="auto"/>
              </w:rPr>
            </w:pPr>
          </w:p>
        </w:tc>
        <w:tc>
          <w:tcPr>
            <w:tcW w:w="820" w:type="dxa"/>
            <w:vAlign w:val="bottom"/>
            <w:vMerge w:val="restart"/>
          </w:tcPr>
          <w:p>
            <w:pPr>
              <w:ind w:left="400"/>
              <w:spacing w:after="0" w:line="148" w:lineRule="exact"/>
              <w:rPr>
                <w:sz w:val="20"/>
                <w:szCs w:val="20"/>
                <w:color w:val="auto"/>
              </w:rPr>
            </w:pPr>
            <w:r>
              <w:rPr>
                <w:rFonts w:ascii="Times New Roman" w:cs="Times New Roman" w:eastAsia="Times New Roman" w:hAnsi="Times New Roman"/>
                <w:sz w:val="14"/>
                <w:szCs w:val="14"/>
                <w:color w:val="0000FF"/>
              </w:rPr>
              <w:t>7,761</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380"/>
              <w:spacing w:after="0" w:line="148" w:lineRule="exact"/>
              <w:rPr>
                <w:sz w:val="20"/>
                <w:szCs w:val="20"/>
                <w:color w:val="auto"/>
              </w:rPr>
            </w:pPr>
            <w:r>
              <w:rPr>
                <w:rFonts w:ascii="Times New Roman" w:cs="Times New Roman" w:eastAsia="Times New Roman" w:hAnsi="Times New Roman"/>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r>
              <w:rPr>
                <w:rFonts w:ascii="Times New Roman" w:cs="Times New Roman" w:eastAsia="Times New Roman" w:hAnsi="Times New Roman"/>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3" w:lineRule="exact"/>
        <w:rPr>
          <w:sz w:val="24"/>
          <w:szCs w:val="24"/>
          <w:color w:val="auto"/>
        </w:rPr>
      </w:pPr>
    </w:p>
    <w:p>
      <w:pPr>
        <w:ind w:left="40" w:right="3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Common Stock reported in this item was granted under the Company's 2009 Long-Term Incentive Plan on December 15, 2011 upon the cancellation of the Restricted Stock Units ("RSUs") granted to the employee on February 10, 2011. These shares were fully vested upon grant but are subject to restrictions on sale until February 10, 2014.</w:t>
      </w:r>
    </w:p>
    <w:p>
      <w:pPr>
        <w:spacing w:after="0" w:line="27" w:lineRule="exact"/>
        <w:rPr>
          <w:rFonts w:ascii="Times New Roman" w:cs="Times New Roman" w:eastAsia="Times New Roman" w:hAnsi="Times New Roman"/>
          <w:sz w:val="14"/>
          <w:szCs w:val="14"/>
          <w:color w:val="008000"/>
        </w:rPr>
      </w:pPr>
    </w:p>
    <w:p>
      <w:pPr>
        <w:ind w:left="40" w:right="2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Common Stock reported in this item was granted under the Company's 2009 Long-Term Incentive Plan on December 15, 2011. These shares were fully vested upon grant but two-thirds of the shares are subject to restrictions on sale until March 15, 2014, and the remaining one-third of the shares are subject to restrictions on sale until March 15, 2015.</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RSUs were cancelled upon the issuance of the Common Stock reported above. The RSUs did not have an expiration or exercise date or a conversion or exercise price.</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2"/>
              </w:rPr>
              <w:t>12/19/2011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fact for Mr. Cyprus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2019-12-17T00:11:29Z</dcterms:created>
  <dcterms:modified xsi:type="dcterms:W3CDTF">2019-12-17T00:11:29Z</dcterms:modified>
</cp:coreProperties>
</file>