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20320</wp:posOffset>
            </wp:positionH>
            <wp:positionV relativeFrom="paragraph">
              <wp:posOffset>-1905</wp:posOffset>
            </wp:positionV>
            <wp:extent cx="137795" cy="1860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795" cy="186055"/>
                    </a:xfrm>
                    <a:prstGeom prst="rect">
                      <a:avLst/>
                    </a:prstGeom>
                    <a:noFill/>
                  </pic:spPr>
                </pic:pic>
              </a:graphicData>
            </a:graphic>
          </wp:anchor>
        </w:drawing>
      </w:r>
    </w:p>
    <w:p>
      <w:pPr>
        <w:jc w:val="both"/>
        <w:ind w:left="340" w:right="340" w:hanging="263"/>
        <w:spacing w:after="0" w:line="182" w:lineRule="auto"/>
        <w:tabs>
          <w:tab w:leader="none" w:pos="34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380" w:type="dxa"/>
            <w:vAlign w:val="bottom"/>
          </w:tcPr>
          <w:p>
            <w:pPr>
              <w:jc w:val="center"/>
              <w:ind w:right="3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380" w:type="dxa"/>
            <w:vAlign w:val="bottom"/>
            <w:vMerge w:val="restart"/>
          </w:tcPr>
          <w:p>
            <w:pPr>
              <w:jc w:val="center"/>
              <w:ind w:right="35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5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vMerge w:val="restart"/>
          </w:tcPr>
          <w:p>
            <w:pPr>
              <w:jc w:val="center"/>
              <w:ind w:right="3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5387975</wp:posOffset>
            </wp:positionH>
            <wp:positionV relativeFrom="paragraph">
              <wp:posOffset>-615315</wp:posOffset>
            </wp:positionV>
            <wp:extent cx="57785" cy="628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650"/>
                    </a:xfrm>
                    <a:prstGeom prst="rect">
                      <a:avLst/>
                    </a:prstGeom>
                    <a:noFill/>
                  </pic:spPr>
                </pic:pic>
              </a:graphicData>
            </a:graphic>
          </wp:anchor>
        </w:drawing>
        <w:drawing>
          <wp:anchor simplePos="0" relativeHeight="251657728" behindDoc="1" locked="0" layoutInCell="0" allowOverlap="1">
            <wp:simplePos x="0" y="0"/>
            <wp:positionH relativeFrom="column">
              <wp:posOffset>4044950</wp:posOffset>
            </wp:positionH>
            <wp:positionV relativeFrom="paragraph">
              <wp:posOffset>-615315</wp:posOffset>
            </wp:positionV>
            <wp:extent cx="57785" cy="6286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6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-1802130</wp:posOffset>
            </wp:positionH>
            <wp:positionV relativeFrom="paragraph">
              <wp:posOffset>20955</wp:posOffset>
            </wp:positionV>
            <wp:extent cx="7327265"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7265" cy="494792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200" w:space="620"/>
            <w:col w:w="8700"/>
          </w:cols>
          <w:pgMar w:left="240" w:top="216" w:right="13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80" w:type="dxa"/>
            <w:vAlign w:val="bottom"/>
            <w:gridSpan w:val="9"/>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4"/>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Motors Liquidation Co</w:t>
              </w:r>
            </w:hyperlink>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gridSpan w:val="5"/>
          </w:tcPr>
          <w:p>
            <w:pPr>
              <w:spacing w:after="0" w:line="102"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General Motors Co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60" w:type="dxa"/>
            <w:vAlign w:val="bottom"/>
            <w:gridSpan w:val="4"/>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6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480" w:type="dxa"/>
            <w:vAlign w:val="bottom"/>
          </w:tcPr>
          <w:p>
            <w:pPr>
              <w:spacing w:after="0"/>
              <w:rPr>
                <w:sz w:val="2"/>
                <w:szCs w:val="2"/>
                <w:color w:val="auto"/>
              </w:rPr>
            </w:pP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X</w:t>
            </w: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120"/>
              <w:spacing w:after="0" w:line="146" w:lineRule="exact"/>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6"/>
                <w:szCs w:val="6"/>
                <w:color w:val="auto"/>
              </w:rPr>
            </w:pPr>
          </w:p>
        </w:tc>
        <w:tc>
          <w:tcPr>
            <w:tcW w:w="146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(First)</w:t>
            </w:r>
          </w:p>
        </w:tc>
        <w:tc>
          <w:tcPr>
            <w:tcW w:w="1040" w:type="dxa"/>
            <w:vAlign w:val="bottom"/>
          </w:tcPr>
          <w:p>
            <w:pPr>
              <w:ind w:left="140"/>
              <w:spacing w:after="0"/>
              <w:rPr>
                <w:sz w:val="20"/>
                <w:szCs w:val="20"/>
                <w:color w:val="auto"/>
              </w:rPr>
            </w:pPr>
            <w:r>
              <w:rPr>
                <w:rFonts w:ascii="Arial" w:cs="Arial" w:eastAsia="Arial" w:hAnsi="Arial"/>
                <w:sz w:val="13"/>
                <w:szCs w:val="13"/>
                <w:color w:val="auto"/>
              </w:rPr>
              <w:t>(Middle)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ind w:left="12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401 S. OLD WOODWARD, SUITE 370</w:t>
            </w:r>
          </w:p>
        </w:tc>
        <w:tc>
          <w:tcPr>
            <w:tcW w:w="192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0000FF"/>
              </w:rPr>
              <w:t>04/21/2011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46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700" w:type="dxa"/>
            <w:vAlign w:val="bottom"/>
            <w:tcBorders>
              <w:bottom w:val="single" w:sz="8" w:color="9A9A9A"/>
            </w:tcBorders>
          </w:tcPr>
          <w:p>
            <w:pPr>
              <w:spacing w:after="0"/>
              <w:rPr>
                <w:sz w:val="21"/>
                <w:szCs w:val="21"/>
                <w:color w:val="auto"/>
              </w:rPr>
            </w:pPr>
          </w:p>
        </w:tc>
        <w:tc>
          <w:tcPr>
            <w:tcW w:w="58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1040" w:type="dxa"/>
            <w:vAlign w:val="bottom"/>
            <w:tcBorders>
              <w:bottom w:val="single" w:sz="8" w:color="9A9A9A"/>
            </w:tcBorders>
          </w:tcPr>
          <w:p>
            <w:pPr>
              <w:spacing w:after="0"/>
              <w:rPr>
                <w:sz w:val="21"/>
                <w:szCs w:val="21"/>
                <w:color w:val="auto"/>
              </w:rPr>
            </w:pPr>
          </w:p>
        </w:tc>
        <w:tc>
          <w:tcPr>
            <w:tcW w:w="34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3"/>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840" w:type="dxa"/>
            <w:vAlign w:val="bottom"/>
            <w:tcBorders>
              <w:bottom w:val="single" w:sz="8" w:color="808080"/>
            </w:tcBorders>
            <w:gridSpan w:val="3"/>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gridSpan w:val="2"/>
          </w:tcPr>
          <w:p>
            <w:pPr>
              <w:spacing w:after="0"/>
              <w:rPr>
                <w:sz w:val="21"/>
                <w:szCs w:val="21"/>
                <w:color w:val="auto"/>
              </w:rPr>
            </w:pPr>
          </w:p>
        </w:tc>
        <w:tc>
          <w:tcPr>
            <w:tcW w:w="2940" w:type="dxa"/>
            <w:vAlign w:val="bottom"/>
            <w:tcBorders>
              <w:bottom w:val="single" w:sz="8" w:color="808080"/>
            </w:tcBorders>
            <w:gridSpan w:val="5"/>
          </w:tcPr>
          <w:p>
            <w:pPr>
              <w:spacing w:after="0"/>
              <w:rPr>
                <w:sz w:val="21"/>
                <w:szCs w:val="21"/>
                <w:color w:val="auto"/>
              </w:rPr>
            </w:pP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2C2C2C"/>
            </w:tcBorders>
          </w:tcPr>
          <w:p>
            <w:pPr>
              <w:spacing w:after="0"/>
              <w:rPr>
                <w:sz w:val="16"/>
                <w:szCs w:val="16"/>
                <w:color w:val="auto"/>
              </w:rPr>
            </w:pPr>
          </w:p>
        </w:tc>
        <w:tc>
          <w:tcPr>
            <w:tcW w:w="3420" w:type="dxa"/>
            <w:vAlign w:val="bottom"/>
            <w:tcBorders>
              <w:top w:val="single" w:sz="8" w:color="2C2C2C"/>
            </w:tcBorders>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220" w:type="dxa"/>
            <w:vAlign w:val="bottom"/>
            <w:tcBorders>
              <w:top w:val="single" w:sz="8" w:color="2C2C2C"/>
            </w:tcBorders>
          </w:tcPr>
          <w:p>
            <w:pPr>
              <w:spacing w:after="0"/>
              <w:rPr>
                <w:sz w:val="16"/>
                <w:szCs w:val="16"/>
                <w:color w:val="auto"/>
              </w:rPr>
            </w:pPr>
          </w:p>
        </w:tc>
        <w:tc>
          <w:tcPr>
            <w:tcW w:w="40" w:type="dxa"/>
            <w:vAlign w:val="bottom"/>
            <w:tcBorders>
              <w:top w:val="single" w:sz="8" w:color="2C2C2C"/>
            </w:tcBorders>
          </w:tcPr>
          <w:p>
            <w:pPr>
              <w:spacing w:after="0"/>
              <w:rPr>
                <w:sz w:val="16"/>
                <w:szCs w:val="16"/>
                <w:color w:val="auto"/>
              </w:rPr>
            </w:pPr>
          </w:p>
        </w:tc>
        <w:tc>
          <w:tcPr>
            <w:tcW w:w="3380" w:type="dxa"/>
            <w:vAlign w:val="bottom"/>
            <w:tcBorders>
              <w:top w:val="single" w:sz="8" w:color="2C2C2C"/>
            </w:tcBorders>
            <w:gridSpan w:val="7"/>
          </w:tcPr>
          <w:p>
            <w:pPr>
              <w:ind w:left="20"/>
              <w:spacing w:after="0"/>
              <w:rPr>
                <w:sz w:val="20"/>
                <w:szCs w:val="20"/>
                <w:color w:val="auto"/>
              </w:rPr>
            </w:pPr>
            <w:r>
              <w:rPr>
                <w:rFonts w:ascii="Arial" w:cs="Arial" w:eastAsia="Arial" w:hAnsi="Arial"/>
                <w:sz w:val="13"/>
                <w:szCs w:val="13"/>
                <w:color w:val="auto"/>
              </w:rPr>
              <w:t>6. Individual or Joint/Group Filing (Check Applicable Line)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BIRMINGHAM</w:t>
            </w:r>
          </w:p>
        </w:tc>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MI</w:t>
            </w:r>
          </w:p>
        </w:tc>
        <w:tc>
          <w:tcPr>
            <w:tcW w:w="1040" w:type="dxa"/>
            <w:vAlign w:val="bottom"/>
          </w:tcPr>
          <w:p>
            <w:pPr>
              <w:ind w:left="140"/>
              <w:spacing w:after="0"/>
              <w:rPr>
                <w:sz w:val="20"/>
                <w:szCs w:val="20"/>
                <w:color w:val="auto"/>
              </w:rPr>
            </w:pPr>
            <w:r>
              <w:rPr>
                <w:rFonts w:ascii="Times New Roman" w:cs="Times New Roman" w:eastAsia="Times New Roman" w:hAnsi="Times New Roman"/>
                <w:sz w:val="16"/>
                <w:szCs w:val="16"/>
                <w:color w:val="0000FF"/>
              </w:rPr>
              <w:t>48009</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X</w:t>
            </w:r>
          </w:p>
        </w:tc>
        <w:tc>
          <w:tcPr>
            <w:tcW w:w="20" w:type="dxa"/>
            <w:vAlign w:val="bottom"/>
          </w:tcPr>
          <w:p>
            <w:pPr>
              <w:spacing w:after="0"/>
              <w:rPr>
                <w:sz w:val="20"/>
                <w:szCs w:val="20"/>
                <w:color w:val="auto"/>
              </w:rPr>
            </w:pPr>
          </w:p>
        </w:tc>
        <w:tc>
          <w:tcPr>
            <w:tcW w:w="2220" w:type="dxa"/>
            <w:vAlign w:val="bottom"/>
            <w:gridSpan w:val="4"/>
          </w:tcPr>
          <w:p>
            <w:pPr>
              <w:ind w:left="140"/>
              <w:spacing w:after="0"/>
              <w:rPr>
                <w:sz w:val="20"/>
                <w:szCs w:val="20"/>
                <w:color w:val="auto"/>
              </w:rPr>
            </w:pPr>
            <w:r>
              <w:rPr>
                <w:rFonts w:ascii="Arial" w:cs="Arial" w:eastAsia="Arial" w:hAnsi="Arial"/>
                <w:sz w:val="13"/>
                <w:szCs w:val="13"/>
                <w:color w:val="auto"/>
                <w:w w:val="98"/>
              </w:rPr>
              <w:t>Form filed by One Reporting Person</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7"/>
          </w:tcPr>
          <w:p>
            <w:pPr>
              <w:ind w:left="140"/>
              <w:spacing w:after="0" w:line="120"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Arial" w:cs="Arial" w:eastAsia="Arial" w:hAnsi="Arial"/>
                <w:sz w:val="13"/>
                <w:szCs w:val="13"/>
                <w:color w:val="auto"/>
              </w:rPr>
              <w:t>(State)</w:t>
            </w:r>
          </w:p>
        </w:tc>
        <w:tc>
          <w:tcPr>
            <w:tcW w:w="1040" w:type="dxa"/>
            <w:vAlign w:val="bottom"/>
          </w:tcPr>
          <w:p>
            <w:pPr>
              <w:ind w:left="14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6"/>
          </w:tcPr>
          <w:p>
            <w:pPr>
              <w:spacing w:after="0"/>
              <w:rPr>
                <w:sz w:val="10"/>
                <w:szCs w:val="10"/>
                <w:color w:val="auto"/>
              </w:rPr>
            </w:pPr>
          </w:p>
        </w:tc>
        <w:tc>
          <w:tcPr>
            <w:tcW w:w="480" w:type="dxa"/>
            <w:vAlign w:val="bottom"/>
            <w:tcBorders>
              <w:bottom w:val="single" w:sz="8" w:color="2C2C2C"/>
            </w:tcBorders>
            <w:gridSpan w:val="3"/>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680" w:type="dxa"/>
            <w:vAlign w:val="bottom"/>
            <w:tcBorders>
              <w:top w:val="single" w:sz="8" w:color="2C2C2C"/>
            </w:tcBorders>
            <w:gridSpan w:val="18"/>
          </w:tcPr>
          <w:p>
            <w:pPr>
              <w:ind w:left="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6"/>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9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3"/>
          </w:tcPr>
          <w:p>
            <w:pPr>
              <w:ind w:left="120"/>
              <w:spacing w:after="0"/>
              <w:rPr>
                <w:sz w:val="20"/>
                <w:szCs w:val="20"/>
                <w:color w:val="auto"/>
              </w:rPr>
            </w:pPr>
            <w:r>
              <w:rPr>
                <w:rFonts w:ascii="Arial" w:cs="Arial" w:eastAsia="Arial" w:hAnsi="Arial"/>
                <w:sz w:val="11"/>
                <w:szCs w:val="11"/>
                <w:b w:val="1"/>
                <w:bCs w:val="1"/>
                <w:color w:val="auto"/>
              </w:rPr>
              <w:t>3.</w:t>
            </w:r>
          </w:p>
        </w:tc>
        <w:tc>
          <w:tcPr>
            <w:tcW w:w="1780" w:type="dxa"/>
            <w:vAlign w:val="bottom"/>
            <w:gridSpan w:val="6"/>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4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900" w:type="dxa"/>
            <w:vAlign w:val="bottom"/>
            <w:gridSpan w:val="5"/>
          </w:tcPr>
          <w:p>
            <w:pPr>
              <w:ind w:left="96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12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200" w:type="dxa"/>
            <w:vAlign w:val="bottom"/>
            <w:gridSpan w:val="7"/>
          </w:tcPr>
          <w:p>
            <w:pPr>
              <w:ind w:left="1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74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10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00" w:type="dxa"/>
            <w:vAlign w:val="bottom"/>
            <w:gridSpan w:val="5"/>
          </w:tcPr>
          <w:p>
            <w:pPr>
              <w:ind w:left="9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3"/>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gridSpan w:val="3"/>
            <w:vMerge w:val="restart"/>
          </w:tcPr>
          <w:p>
            <w:pPr>
              <w:ind w:left="460"/>
              <w:spacing w:after="0"/>
              <w:rPr>
                <w:sz w:val="20"/>
                <w:szCs w:val="20"/>
                <w:color w:val="auto"/>
              </w:rPr>
            </w:pPr>
            <w:r>
              <w:rPr>
                <w:rFonts w:ascii="Arial" w:cs="Arial" w:eastAsia="Arial" w:hAnsi="Arial"/>
                <w:sz w:val="11"/>
                <w:szCs w:val="11"/>
                <w:b w:val="1"/>
                <w:bCs w:val="1"/>
                <w:color w:val="auto"/>
              </w:rPr>
              <w:t>(A) or</w:t>
            </w: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3"/>
            <w:vMerge w:val="continue"/>
          </w:tcPr>
          <w:p>
            <w:pPr>
              <w:spacing w:after="0"/>
              <w:rPr>
                <w:sz w:val="11"/>
                <w:szCs w:val="11"/>
                <w:color w:val="auto"/>
              </w:rPr>
            </w:pPr>
          </w:p>
        </w:tc>
        <w:tc>
          <w:tcPr>
            <w:tcW w:w="68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122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40" w:type="dxa"/>
            <w:vAlign w:val="bottom"/>
            <w:gridSpan w:val="2"/>
            <w:vMerge w:val="restart"/>
          </w:tcPr>
          <w:p>
            <w:pPr>
              <w:ind w:left="460"/>
              <w:spacing w:after="0"/>
              <w:rPr>
                <w:sz w:val="20"/>
                <w:szCs w:val="20"/>
                <w:color w:val="auto"/>
              </w:rPr>
            </w:pPr>
            <w:r>
              <w:rPr>
                <w:rFonts w:ascii="Arial" w:cs="Arial" w:eastAsia="Arial" w:hAnsi="Arial"/>
                <w:sz w:val="11"/>
                <w:szCs w:val="11"/>
                <w:b w:val="1"/>
                <w:bCs w:val="1"/>
                <w:color w:val="auto"/>
              </w:rPr>
              <w:t>(D)</w:t>
            </w:r>
          </w:p>
        </w:tc>
        <w:tc>
          <w:tcPr>
            <w:tcW w:w="220" w:type="dxa"/>
            <w:vAlign w:val="bottom"/>
          </w:tcPr>
          <w:p>
            <w:pPr>
              <w:spacing w:after="0"/>
              <w:rPr>
                <w:sz w:val="8"/>
                <w:szCs w:val="8"/>
                <w:color w:val="auto"/>
              </w:rPr>
            </w:pPr>
          </w:p>
        </w:tc>
        <w:tc>
          <w:tcPr>
            <w:tcW w:w="6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gridSpan w:val="3"/>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6"/>
                <w:szCs w:val="16"/>
                <w:color w:val="0000FF"/>
              </w:rPr>
              <w:t>Common Stock, par value $0.01 per share</w:t>
            </w:r>
          </w:p>
        </w:tc>
        <w:tc>
          <w:tcPr>
            <w:tcW w:w="86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6"/>
                <w:szCs w:val="16"/>
                <w:color w:val="0000FF"/>
              </w:rPr>
              <w:t>04/21/2011</w:t>
            </w:r>
          </w:p>
        </w:tc>
        <w:tc>
          <w:tcPr>
            <w:tcW w:w="10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12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6"/>
                <w:szCs w:val="16"/>
                <w:color w:val="0000FF"/>
              </w:rPr>
              <w:t>113,123,717</w:t>
            </w:r>
          </w:p>
        </w:tc>
        <w:tc>
          <w:tcPr>
            <w:tcW w:w="30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2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ind w:left="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4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6"/>
                <w:szCs w:val="16"/>
                <w:color w:val="0000FF"/>
              </w:rPr>
              <w:t>36,876,283</w:t>
            </w:r>
          </w:p>
        </w:tc>
        <w:tc>
          <w:tcPr>
            <w:tcW w:w="3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680" w:type="dxa"/>
            <w:vAlign w:val="bottom"/>
            <w:tcBorders>
              <w:top w:val="single" w:sz="8" w:color="2C2C2C"/>
            </w:tcBorders>
            <w:gridSpan w:val="18"/>
          </w:tcPr>
          <w:p>
            <w:pPr>
              <w:ind w:left="2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Borders>
              <w:top w:val="single" w:sz="8" w:color="2C2C2C"/>
            </w:tcBorders>
          </w:tcPr>
          <w:p>
            <w:pPr>
              <w:spacing w:after="0"/>
              <w:rPr>
                <w:sz w:val="17"/>
                <w:szCs w:val="17"/>
                <w:color w:val="auto"/>
              </w:rPr>
            </w:pPr>
          </w:p>
        </w:tc>
        <w:tc>
          <w:tcPr>
            <w:tcW w:w="36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00" w:type="dxa"/>
            <w:vAlign w:val="bottom"/>
            <w:gridSpan w:val="15"/>
          </w:tcPr>
          <w:p>
            <w:pPr>
              <w:ind w:left="9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6"/>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60" w:type="dxa"/>
            <w:vAlign w:val="bottom"/>
          </w:tcPr>
          <w:p>
            <w:pPr>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10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540" w:type="dxa"/>
            <w:vAlign w:val="bottom"/>
            <w:gridSpan w:val="6"/>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10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1540" w:type="dxa"/>
            <w:vAlign w:val="bottom"/>
            <w:gridSpan w:val="6"/>
          </w:tcPr>
          <w:p>
            <w:pPr>
              <w:ind w:left="60"/>
              <w:spacing w:after="0"/>
              <w:rPr>
                <w:sz w:val="20"/>
                <w:szCs w:val="20"/>
                <w:color w:val="auto"/>
              </w:rPr>
            </w:pPr>
            <w:r>
              <w:rPr>
                <w:rFonts w:ascii="Arial" w:cs="Arial" w:eastAsia="Arial" w:hAnsi="Arial"/>
                <w:sz w:val="11"/>
                <w:szCs w:val="11"/>
                <w:b w:val="1"/>
                <w:bCs w:val="1"/>
                <w:color w:val="auto"/>
              </w:rPr>
              <w:t>Derivative Security (Instr.</w:t>
            </w: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3 and 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060" w:type="dxa"/>
            <w:vAlign w:val="bottom"/>
            <w:vMerge w:val="restart"/>
          </w:tcPr>
          <w:p>
            <w:pPr>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1"/>
                <w:szCs w:val="11"/>
                <w:color w:val="auto"/>
              </w:rPr>
            </w:pPr>
          </w:p>
        </w:tc>
        <w:tc>
          <w:tcPr>
            <w:tcW w:w="900" w:type="dxa"/>
            <w:vAlign w:val="bottom"/>
            <w:gridSpan w:val="4"/>
          </w:tcPr>
          <w:p>
            <w:pPr>
              <w:ind w:left="20"/>
              <w:spacing w:after="0"/>
              <w:rPr>
                <w:sz w:val="20"/>
                <w:szCs w:val="20"/>
                <w:color w:val="auto"/>
              </w:rPr>
            </w:pPr>
            <w:r>
              <w:rPr>
                <w:rFonts w:ascii="Arial" w:cs="Arial" w:eastAsia="Arial" w:hAnsi="Arial"/>
                <w:sz w:val="11"/>
                <w:szCs w:val="11"/>
                <w:b w:val="1"/>
                <w:bCs w:val="1"/>
                <w:color w:val="auto"/>
              </w:rPr>
              <w:t>Number of</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gridSpan w:val="4"/>
            <w:vMerge w:val="restart"/>
          </w:tcPr>
          <w:p>
            <w:pPr>
              <w:ind w:left="120"/>
              <w:spacing w:after="0" w:line="278" w:lineRule="exact"/>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(2)</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80" w:type="dxa"/>
            <w:vAlign w:val="bottom"/>
          </w:tcPr>
          <w:p>
            <w:pPr>
              <w:spacing w:after="0"/>
              <w:rPr>
                <w:sz w:val="12"/>
                <w:szCs w:val="12"/>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102,839,782</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Warrants</w:t>
            </w:r>
          </w:p>
        </w:tc>
        <w:tc>
          <w:tcPr>
            <w:tcW w:w="700" w:type="dxa"/>
            <w:vAlign w:val="bottom"/>
          </w:tcPr>
          <w:p>
            <w:pPr>
              <w:jc w:val="center"/>
              <w:ind w:right="14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1140" w:type="dxa"/>
            <w:vAlign w:val="bottom"/>
            <w:gridSpan w:val="2"/>
          </w:tcPr>
          <w:p>
            <w:pPr>
              <w:ind w:left="300"/>
              <w:spacing w:after="0" w:line="140" w:lineRule="exact"/>
              <w:rPr>
                <w:sz w:val="20"/>
                <w:szCs w:val="20"/>
                <w:color w:val="auto"/>
              </w:rPr>
            </w:pPr>
            <w:r>
              <w:rPr>
                <w:rFonts w:ascii="Times New Roman" w:cs="Times New Roman" w:eastAsia="Times New Roman" w:hAnsi="Times New Roman"/>
                <w:sz w:val="13"/>
                <w:szCs w:val="13"/>
                <w:color w:val="0000FF"/>
              </w:rPr>
              <w:t>04/21/2011</w:t>
            </w:r>
          </w:p>
        </w:tc>
        <w:tc>
          <w:tcPr>
            <w:tcW w:w="104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060" w:type="dxa"/>
            <w:vAlign w:val="bottom"/>
          </w:tcPr>
          <w:p>
            <w:pPr>
              <w:ind w:left="300"/>
              <w:spacing w:after="0" w:line="140" w:lineRule="exact"/>
              <w:rPr>
                <w:sz w:val="20"/>
                <w:szCs w:val="20"/>
                <w:color w:val="auto"/>
              </w:rPr>
            </w:pPr>
            <w:r>
              <w:rPr>
                <w:rFonts w:ascii="Times New Roman" w:cs="Times New Roman" w:eastAsia="Times New Roman" w:hAnsi="Times New Roman"/>
                <w:sz w:val="13"/>
                <w:szCs w:val="13"/>
                <w:color w:val="0000FF"/>
              </w:rPr>
              <w:t>102,839,782</w:t>
            </w:r>
          </w:p>
        </w:tc>
        <w:tc>
          <w:tcPr>
            <w:tcW w:w="760" w:type="dxa"/>
            <w:vAlign w:val="bottom"/>
            <w:gridSpan w:val="3"/>
          </w:tcPr>
          <w:p>
            <w:pPr>
              <w:ind w:left="40"/>
              <w:spacing w:after="0" w:line="140" w:lineRule="exact"/>
              <w:rPr>
                <w:sz w:val="20"/>
                <w:szCs w:val="20"/>
                <w:color w:val="auto"/>
              </w:rPr>
            </w:pPr>
            <w:r>
              <w:rPr>
                <w:rFonts w:ascii="Times New Roman" w:cs="Times New Roman" w:eastAsia="Times New Roman" w:hAnsi="Times New Roman"/>
                <w:sz w:val="13"/>
                <w:szCs w:val="13"/>
                <w:color w:val="0000FF"/>
              </w:rPr>
              <w:t>07/10/2009</w:t>
            </w:r>
          </w:p>
        </w:tc>
        <w:tc>
          <w:tcPr>
            <w:tcW w:w="66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07/10/2016</w:t>
            </w:r>
          </w:p>
        </w:tc>
        <w:tc>
          <w:tcPr>
            <w:tcW w:w="5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w w:val="99"/>
              </w:rPr>
              <w:t>par value</w:t>
            </w: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760" w:type="dxa"/>
            <w:vAlign w:val="bottom"/>
            <w:gridSpan w:val="2"/>
          </w:tcPr>
          <w:p>
            <w:pPr>
              <w:jc w:val="right"/>
              <w:ind w:right="2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20"/>
              <w:spacing w:after="0" w:line="140" w:lineRule="exact"/>
              <w:rPr>
                <w:sz w:val="20"/>
                <w:szCs w:val="20"/>
                <w:color w:val="auto"/>
              </w:rPr>
            </w:pPr>
            <w:r>
              <w:rPr>
                <w:rFonts w:ascii="Times New Roman" w:cs="Times New Roman" w:eastAsia="Times New Roman" w:hAnsi="Times New Roman"/>
                <w:sz w:val="13"/>
                <w:szCs w:val="13"/>
                <w:color w:val="0000FF"/>
              </w:rPr>
              <w:t>33,523,853</w:t>
            </w:r>
          </w:p>
        </w:tc>
        <w:tc>
          <w:tcPr>
            <w:tcW w:w="64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w w:val="97"/>
              </w:rPr>
              <w:t>$0.01 per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share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gridSpan w:val="4"/>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(3)</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Stock,</w:t>
            </w:r>
          </w:p>
        </w:tc>
        <w:tc>
          <w:tcPr>
            <w:tcW w:w="80" w:type="dxa"/>
            <w:vAlign w:val="bottom"/>
          </w:tcPr>
          <w:p>
            <w:pPr>
              <w:spacing w:after="0"/>
              <w:rPr>
                <w:sz w:val="12"/>
                <w:szCs w:val="12"/>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102,839,782</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00" w:type="dxa"/>
            <w:vAlign w:val="bottom"/>
          </w:tcPr>
          <w:p>
            <w:pPr>
              <w:jc w:val="center"/>
              <w:ind w:right="6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18.33</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rPr>
              <w:t>04/21/2011</w:t>
            </w:r>
          </w:p>
        </w:tc>
        <w:tc>
          <w:tcPr>
            <w:tcW w:w="104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10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102,839,782</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07/10/2009</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07/10/2019</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par value</w:t>
            </w:r>
          </w:p>
        </w:tc>
        <w:tc>
          <w:tcPr>
            <w:tcW w:w="80" w:type="dxa"/>
            <w:vAlign w:val="bottom"/>
          </w:tcPr>
          <w:p>
            <w:pPr>
              <w:spacing w:after="0"/>
              <w:rPr>
                <w:sz w:val="13"/>
                <w:szCs w:val="13"/>
                <w:color w:val="auto"/>
              </w:rPr>
            </w:pPr>
          </w:p>
        </w:tc>
        <w:tc>
          <w:tcPr>
            <w:tcW w:w="900" w:type="dxa"/>
            <w:vAlign w:val="bottom"/>
            <w:gridSpan w:val="4"/>
            <w:vMerge w:val="continue"/>
          </w:tcPr>
          <w:p>
            <w:pPr>
              <w:spacing w:after="0"/>
              <w:rPr>
                <w:sz w:val="13"/>
                <w:szCs w:val="13"/>
                <w:color w:val="auto"/>
              </w:rPr>
            </w:pPr>
          </w:p>
        </w:tc>
        <w:tc>
          <w:tcPr>
            <w:tcW w:w="760" w:type="dxa"/>
            <w:vAlign w:val="bottom"/>
            <w:gridSpan w:val="2"/>
          </w:tcPr>
          <w:p>
            <w:pPr>
              <w:jc w:val="right"/>
              <w:ind w:right="2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33,523,853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jc w:val="center"/>
        <w:ind w:left="3020"/>
        <w:spacing w:after="0" w:line="223" w:lineRule="auto"/>
        <w:rPr>
          <w:sz w:val="20"/>
          <w:szCs w:val="20"/>
          <w:color w:val="auto"/>
        </w:rPr>
      </w:pPr>
      <w:r>
        <w:rPr>
          <w:rFonts w:ascii="Times New Roman" w:cs="Times New Roman" w:eastAsia="Times New Roman" w:hAnsi="Times New Roman"/>
          <w:sz w:val="13"/>
          <w:szCs w:val="13"/>
          <w:color w:val="0000FF"/>
        </w:rPr>
        <w:t>$0.01 per</w:t>
      </w:r>
    </w:p>
    <w:p>
      <w:pPr>
        <w:jc w:val="center"/>
        <w:ind w:left="3020"/>
        <w:spacing w:after="0"/>
        <w:rPr>
          <w:sz w:val="20"/>
          <w:szCs w:val="20"/>
          <w:color w:val="auto"/>
        </w:rPr>
      </w:pPr>
      <w:r>
        <w:rPr>
          <w:rFonts w:ascii="Times New Roman" w:cs="Times New Roman" w:eastAsia="Times New Roman" w:hAnsi="Times New Roman"/>
          <w:sz w:val="13"/>
          <w:szCs w:val="13"/>
          <w:color w:val="0000FF"/>
        </w:rPr>
        <w:t>share</w:t>
      </w:r>
    </w:p>
    <w:p>
      <w:pPr>
        <w:spacing w:after="0" w:line="8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4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made certain distributions of the General Motors Company Common Stock it held in accordance with the Reporting Person's Second Amended Joint Chapter 11 Plan, which was confirmed by the United States Bankruptcy Court for the Southern District of New York as previously reported on Form 8-K with the Securities and Exchange Commission on April 4, 2011.</w:t>
      </w:r>
    </w:p>
    <w:p>
      <w:pPr>
        <w:spacing w:after="0" w:line="2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made certain distributions of the General Motors Company Warrants it held in accordance with the Reporting Person's Second Amended Joint Chapter 11 Plan, which was confirmed by the United States Bankruptcy Court for the Southern District of New York as previously reported on Form 8-K with the Securities and Exchange Commission on April 4, 2011.</w:t>
      </w:r>
    </w:p>
    <w:p>
      <w:pPr>
        <w:spacing w:after="0" w:line="20" w:lineRule="exact"/>
        <w:rPr>
          <w:rFonts w:ascii="Times New Roman" w:cs="Times New Roman" w:eastAsia="Times New Roman" w:hAnsi="Times New Roman"/>
          <w:sz w:val="13"/>
          <w:szCs w:val="13"/>
          <w:color w:val="008000"/>
        </w:rPr>
      </w:pPr>
    </w:p>
    <w:p>
      <w:pPr>
        <w:ind w:left="40" w:right="30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made certain distributions of the General Motors Company Warrants it held in accordance with the Reporting Person's Second Amended Joint Chapter 11 Plan, which was confirmed by the United States Bankruptcy Court for the Southern District of New York as previously reported on Form 8-K with the Securities and Exchange Commission on April 4, 2011.</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84"/>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James Selzer</w:t>
            </w:r>
          </w:p>
        </w:tc>
        <w:tc>
          <w:tcPr>
            <w:tcW w:w="12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04/29/2011</w:t>
            </w:r>
          </w:p>
        </w:tc>
      </w:tr>
      <w:tr>
        <w:trPr>
          <w:trHeight w:val="22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4180" w:hanging="1"/>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04073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2019-12-17T04:43:09Z</dcterms:created>
  <dcterms:modified xsi:type="dcterms:W3CDTF">2019-12-17T04:43:09Z</dcterms:modified>
</cp:coreProperties>
</file>