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360"/>
        <w:spacing w:after="0" w:line="161" w:lineRule="exact"/>
        <w:tabs>
          <w:tab w:leader="none" w:pos="64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132205"/>
                    </a:xfrm>
                    <a:prstGeom prst="rect">
                      <a:avLst/>
                    </a:prstGeom>
                    <a:noFill/>
                  </pic:spPr>
                </pic:pic>
              </a:graphicData>
            </a:graphic>
          </wp:anchor>
        </w:drawing>
      </w:r>
    </w:p>
    <w:p>
      <w:pPr>
        <w:spacing w:after="0" w:line="278"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Check the appropriate box:</w:t>
      </w:r>
    </w:p>
    <w:p>
      <w:pPr>
        <w:spacing w:after="0" w:line="173" w:lineRule="exact"/>
        <w:rPr>
          <w:sz w:val="24"/>
          <w:szCs w:val="24"/>
          <w:color w:val="auto"/>
        </w:rPr>
      </w:pPr>
    </w:p>
    <w:p>
      <w:pPr>
        <w:ind w:left="740" w:hanging="5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99" w:lineRule="exact"/>
        <w:rPr>
          <w:rFonts w:ascii="MS PGothic" w:cs="MS PGothic" w:eastAsia="MS PGothic" w:hAnsi="MS PGothic"/>
          <w:sz w:val="18"/>
          <w:szCs w:val="18"/>
          <w:color w:val="auto"/>
        </w:rPr>
      </w:pPr>
    </w:p>
    <w:p>
      <w:pPr>
        <w:ind w:left="740" w:hanging="5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99" w:lineRule="exact"/>
        <w:rPr>
          <w:sz w:val="24"/>
          <w:szCs w:val="24"/>
          <w:color w:val="auto"/>
        </w:rPr>
      </w:pPr>
    </w:p>
    <w:p>
      <w:pPr>
        <w:ind w:left="740" w:hanging="5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99" w:lineRule="exact"/>
        <w:rPr>
          <w:sz w:val="24"/>
          <w:szCs w:val="24"/>
          <w:color w:val="auto"/>
        </w:rPr>
      </w:pPr>
    </w:p>
    <w:p>
      <w:pPr>
        <w:ind w:left="740" w:hanging="525"/>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99" w:lineRule="exact"/>
        <w:rPr>
          <w:rFonts w:ascii="MS PGothic" w:cs="MS PGothic" w:eastAsia="MS PGothic" w:hAnsi="MS PGothic"/>
          <w:sz w:val="18"/>
          <w:szCs w:val="18"/>
          <w:color w:val="auto"/>
        </w:rPr>
      </w:pPr>
    </w:p>
    <w:p>
      <w:pPr>
        <w:ind w:left="740" w:hanging="525"/>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37"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54875" cy="2289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289810"/>
                    </a:xfrm>
                    <a:prstGeom prst="rect">
                      <a:avLst/>
                    </a:prstGeom>
                    <a:noFill/>
                  </pic:spPr>
                </pic:pic>
              </a:graphicData>
            </a:graphic>
          </wp:anchor>
        </w:drawing>
      </w:r>
    </w:p>
    <w:p>
      <w:pPr>
        <w:spacing w:after="0" w:line="251"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86" w:lineRule="exact"/>
        <w:rPr>
          <w:sz w:val="24"/>
          <w:szCs w:val="24"/>
          <w:color w:val="auto"/>
        </w:rPr>
      </w:pPr>
    </w:p>
    <w:p>
      <w:pPr>
        <w:ind w:left="500" w:hanging="295"/>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82" w:lineRule="exact"/>
        <w:rPr>
          <w:sz w:val="24"/>
          <w:szCs w:val="24"/>
          <w:color w:val="auto"/>
        </w:rPr>
      </w:pPr>
    </w:p>
    <w:p>
      <w:pPr>
        <w:ind w:left="500" w:hanging="295"/>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86" w:lineRule="exact"/>
        <w:rPr>
          <w:rFonts w:ascii="MS PGothic" w:cs="MS PGothic" w:eastAsia="MS PGothic" w:hAnsi="MS PGothic"/>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760" w:right="100" w:hanging="253"/>
        <w:spacing w:after="0" w:line="258" w:lineRule="auto"/>
        <w:tabs>
          <w:tab w:leader="none" w:pos="76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04" w:lineRule="exact"/>
        <w:rPr>
          <w:rFonts w:ascii="Arial" w:cs="Arial" w:eastAsia="Arial" w:hAnsi="Arial"/>
          <w:sz w:val="14"/>
          <w:szCs w:val="14"/>
          <w:color w:val="auto"/>
        </w:rPr>
      </w:pPr>
    </w:p>
    <w:p>
      <w:pPr>
        <w:ind w:left="500" w:hanging="295"/>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500" w:hanging="295"/>
        <w:spacing w:after="0" w:line="285" w:lineRule="auto"/>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220345</wp:posOffset>
            </wp:positionV>
            <wp:extent cx="445960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9605" cy="57372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220345</wp:posOffset>
            </wp:positionV>
            <wp:extent cx="5694045" cy="766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76669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582930</wp:posOffset>
            </wp:positionV>
            <wp:extent cx="3353435" cy="7237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3435" cy="723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32"/>
          <w:szCs w:val="32"/>
          <w:b w:val="1"/>
          <w:bCs w:val="1"/>
          <w:color w:val="00A1DF"/>
        </w:rPr>
        <w:t>The Long-Term View:</w:t>
      </w:r>
    </w:p>
    <w:p>
      <w:pPr>
        <w:spacing w:after="0" w:line="231" w:lineRule="exact"/>
        <w:rPr>
          <w:sz w:val="20"/>
          <w:szCs w:val="20"/>
          <w:color w:val="auto"/>
        </w:rPr>
      </w:pPr>
    </w:p>
    <w:p>
      <w:pPr>
        <w:ind w:left="560" w:right="920"/>
        <w:spacing w:after="0" w:line="298" w:lineRule="auto"/>
        <w:rPr>
          <w:sz w:val="20"/>
          <w:szCs w:val="20"/>
          <w:color w:val="auto"/>
        </w:rPr>
      </w:pPr>
      <w:r>
        <w:rPr>
          <w:rFonts w:ascii="Arial" w:cs="Arial" w:eastAsia="Arial" w:hAnsi="Arial"/>
          <w:sz w:val="23"/>
          <w:szCs w:val="23"/>
          <w:b w:val="1"/>
          <w:bCs w:val="1"/>
          <w:color w:val="00A1DF"/>
        </w:rPr>
        <w:t>A Conversation with Mary Barra, Tim Solso, and Pat Russo</w:t>
      </w:r>
    </w:p>
    <w:p>
      <w:pPr>
        <w:spacing w:after="0" w:line="147" w:lineRule="exact"/>
        <w:rPr>
          <w:sz w:val="20"/>
          <w:szCs w:val="20"/>
          <w:color w:val="auto"/>
        </w:rPr>
      </w:pPr>
    </w:p>
    <w:p>
      <w:pPr>
        <w:ind w:left="560" w:right="200"/>
        <w:spacing w:after="0" w:line="227" w:lineRule="auto"/>
        <w:rPr>
          <w:sz w:val="20"/>
          <w:szCs w:val="20"/>
          <w:color w:val="auto"/>
        </w:rPr>
      </w:pPr>
      <w:r>
        <w:rPr>
          <w:rFonts w:ascii="Arial" w:cs="Arial" w:eastAsia="Arial" w:hAnsi="Arial"/>
          <w:sz w:val="20"/>
          <w:szCs w:val="20"/>
          <w:color w:val="0033A0"/>
        </w:rPr>
        <w:t>General Motors’ Chairman and CEO, Mary Barra, Independent Lead Director, Tim Solso, and Governance and Corporate Responsibility (“Governance”) Committee Chair, Pat Russo, discuss the Board’s approach to driving long-term shareholder value and the importance of meaningful shareholder engagement. They also explain why GM’s Board has the right mix of expertise, talent, and diversity to actively oversee the execution of GM’s strategy in this time of rapid industry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0"/>
        <w:spacing w:after="0"/>
        <w:tabs>
          <w:tab w:leader="none" w:pos="1760" w:val="left"/>
        </w:tabs>
        <w:rPr>
          <w:sz w:val="20"/>
          <w:szCs w:val="20"/>
          <w:color w:val="auto"/>
        </w:rPr>
      </w:pPr>
      <w:r>
        <w:rPr>
          <w:rFonts w:ascii="Arial" w:cs="Arial" w:eastAsia="Arial" w:hAnsi="Arial"/>
          <w:sz w:val="16"/>
          <w:szCs w:val="16"/>
          <w:b w:val="1"/>
          <w:bCs w:val="1"/>
          <w:color w:val="0033A0"/>
        </w:rPr>
        <w:t>MARY T. BARRA</w:t>
      </w:r>
      <w:r>
        <w:rPr>
          <w:sz w:val="20"/>
          <w:szCs w:val="20"/>
          <w:color w:val="auto"/>
        </w:rPr>
        <w:tab/>
      </w:r>
      <w:r>
        <w:rPr>
          <w:rFonts w:ascii="Arial" w:cs="Arial" w:eastAsia="Arial" w:hAnsi="Arial"/>
          <w:sz w:val="16"/>
          <w:szCs w:val="16"/>
          <w:b w:val="1"/>
          <w:bCs w:val="1"/>
          <w:color w:val="0033A0"/>
        </w:rPr>
        <w:t>THEODORE M. SOLSO</w:t>
      </w:r>
    </w:p>
    <w:p>
      <w:pPr>
        <w:spacing w:after="0" w:line="109" w:lineRule="exact"/>
        <w:rPr>
          <w:sz w:val="20"/>
          <w:szCs w:val="20"/>
          <w:color w:val="auto"/>
        </w:rPr>
      </w:pPr>
    </w:p>
    <w:p>
      <w:pPr>
        <w:jc w:val="right"/>
        <w:ind w:right="40"/>
        <w:spacing w:after="0"/>
        <w:tabs>
          <w:tab w:leader="none" w:pos="1740" w:val="left"/>
        </w:tabs>
        <w:rPr>
          <w:sz w:val="20"/>
          <w:szCs w:val="20"/>
          <w:color w:val="auto"/>
        </w:rPr>
      </w:pPr>
      <w:r>
        <w:rPr>
          <w:rFonts w:ascii="Arial" w:cs="Arial" w:eastAsia="Arial" w:hAnsi="Arial"/>
          <w:sz w:val="14"/>
          <w:szCs w:val="14"/>
          <w:color w:val="auto"/>
        </w:rPr>
        <w:t>Chairman &amp; CEO</w:t>
      </w:r>
      <w:r>
        <w:rPr>
          <w:sz w:val="20"/>
          <w:szCs w:val="20"/>
          <w:color w:val="auto"/>
        </w:rPr>
        <w:tab/>
      </w:r>
      <w:r>
        <w:rPr>
          <w:rFonts w:ascii="Arial" w:cs="Arial" w:eastAsia="Arial" w:hAnsi="Arial"/>
          <w:sz w:val="14"/>
          <w:szCs w:val="14"/>
          <w:color w:val="auto"/>
        </w:rPr>
        <w:t>Independent 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0033A0"/>
        </w:rPr>
        <w:t>PATRICIA F. RUSSO</w:t>
      </w:r>
    </w:p>
    <w:p>
      <w:pPr>
        <w:spacing w:after="0" w:line="109"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00A1DF"/>
        </w:rPr>
        <w:t>How do you validate whether you are doing the right things for shareholders? Delivering value now and building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-1270000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-729615</wp:posOffset>
            </wp:positionV>
            <wp:extent cx="19380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946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-343535</wp:posOffset>
            </wp:positionV>
            <wp:extent cx="3422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We have shared our strategy to transform GM, which is about</w:t>
      </w:r>
      <w:r>
        <w:rPr>
          <w:rFonts w:ascii="Arial" w:cs="Arial" w:eastAsia="Arial" w:hAnsi="Arial"/>
          <w:sz w:val="16"/>
          <w:szCs w:val="16"/>
          <w:b w:val="1"/>
          <w:bCs w:val="1"/>
          <w:color w:val="auto"/>
        </w:rPr>
        <w:t xml:space="preserve"> </w:t>
      </w:r>
      <w:r>
        <w:rPr>
          <w:rFonts w:ascii="Arial" w:cs="Arial" w:eastAsia="Arial" w:hAnsi="Arial"/>
          <w:sz w:val="16"/>
          <w:szCs w:val="16"/>
          <w:color w:val="auto"/>
        </w:rPr>
        <w:t>driving excellence in our core business, while defining a future for mobility. We believe the best way to validate whether our approach is creating shareholder value is to deliver exceptional business results today while investing to lead in the future. By refocusing our finite resources during the past several years – including actions to either improve or exit underperforming businesses and to invest our capital in higher-return opportunities – we have achieved results that speak for themselves: three consecutive years of record financial performance. We have also made significant investments in technology and innovation that have positioned GM as a leader in the future of personal mobility. This view is shared by third parties like Navigant Research, which ranked GM as the leader in autonomous vehicle technology, ahead of 18 technology and automotive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3422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5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00A1DF"/>
        </w:rPr>
        <w:t>What’s next? What steps are you taking to increase shareholder value?</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We are a focused, more disciplined company. We will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 our core business, invest in key technologies that are enabling us to lead in the future of personal mobility, and deploy capital to higher-return opportunities. In 2017, GM announced its vision for a world with zero crashes, zero emissions, and zero congestion. We are developing the technologies that will create this future, blending global insights with local market expertise as the automotive industry transforms from traditional manufacturing to transportation services.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strong foundation and the increased flexibility we have created will enable us to take further actions – operational, financial, and technological – that we believe will deliver increased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3422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4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00A1DF"/>
        </w:rPr>
        <w:t>The automobile industry is undergoing a period of profound change. How does the Board position GM to emerge as a leader?</w:t>
      </w:r>
    </w:p>
    <w:p>
      <w:pPr>
        <w:spacing w:after="0" w:line="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The industry is changing quickly. Staying ahead means you have to</w:t>
      </w:r>
      <w:r>
        <w:rPr>
          <w:rFonts w:ascii="Arial" w:cs="Arial" w:eastAsia="Arial" w:hAnsi="Arial"/>
          <w:sz w:val="16"/>
          <w:szCs w:val="16"/>
          <w:b w:val="1"/>
          <w:bCs w:val="1"/>
          <w:color w:val="auto"/>
        </w:rPr>
        <w:t xml:space="preserve"> </w:t>
      </w:r>
      <w:r>
        <w:rPr>
          <w:rFonts w:ascii="Arial" w:cs="Arial" w:eastAsia="Arial" w:hAnsi="Arial"/>
          <w:sz w:val="16"/>
          <w:szCs w:val="16"/>
          <w:color w:val="auto"/>
        </w:rPr>
        <w:t>be open to new ideas and invite input that challenges you with different thinking and perspectives. Our shareholder engagement process is an effective channel for the Board to hear these perspectives. Directors frequently meet with shareholders and can then bring shareholder views into the boardroom. During 2017, members of the Board met in person with shareholders representing approximately 25% of our outstanding common stock. We also invite large, long-term investors in GM and sell-side research analysts to meet with the full Board to share their unfiltered views on an annual basis.</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Shareholder engagement is invaluable because it gives us a first-hand perspective on what is important to our shareholders as we make strategic, financial, and operational decisions. Using this approach, the Board has worked closely with management in recent years as it executed a number of key strategic actions to transform our core business and lead in the future of personal mobility. These included the decision to exit unprofitable markets, such as Europe and South and East Africa, in favor of higher-return opportunities that include growing the Cruise Automation team and acquiring LiDAR provider Strobe, Inc. to accelerate GM’s leadership in self-driving vehicle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Arial" w:cs="Arial" w:eastAsia="Arial" w:hAnsi="Arial"/>
          <w:sz w:val="14"/>
          <w:szCs w:val="14"/>
          <w:color w:val="0033A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-95885</wp:posOffset>
            </wp:positionV>
            <wp:extent cx="68605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2">
            <w:col w:w="5100" w:space="720"/>
            <w:col w:w="5400"/>
          </w:cols>
          <w:pgMar w:left="240" w:top="459" w:right="4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220345</wp:posOffset>
            </wp:positionV>
            <wp:extent cx="19380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477520</wp:posOffset>
            </wp:positionV>
            <wp:extent cx="6989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right="300"/>
        <w:spacing w:after="0" w:line="286" w:lineRule="auto"/>
        <w:rPr>
          <w:sz w:val="20"/>
          <w:szCs w:val="20"/>
          <w:color w:val="auto"/>
        </w:rPr>
      </w:pPr>
      <w:r>
        <w:rPr>
          <w:rFonts w:ascii="Arial" w:cs="Arial" w:eastAsia="Arial" w:hAnsi="Arial"/>
          <w:sz w:val="16"/>
          <w:szCs w:val="16"/>
          <w:b w:val="1"/>
          <w:bCs w:val="1"/>
          <w:color w:val="00A1DF"/>
        </w:rPr>
        <w:t>How do you assure that the Board and management are aware of what’s on the horizon?</w:t>
      </w:r>
    </w:p>
    <w:p>
      <w:pPr>
        <w:spacing w:after="0" w:line="48"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GM’s Board and leadership team are focused on new technologies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emerging trends in the automotive industry. Management collaborates with internal and external experts across disciplines, from technology, cybersecurity, and design to regulatory and public policy, to assess opportunities and develop strategy. The Board is deeply engaged with management in these efforts. We also make it a priority to visit our global operations. Last April, we were in China, and this year, we visited our global propulsion headquarters and our research and development center and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3353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7" w:lineRule="exact"/>
        <w:rPr>
          <w:sz w:val="20"/>
          <w:szCs w:val="20"/>
          <w:color w:val="auto"/>
        </w:rPr>
      </w:pPr>
    </w:p>
    <w:p>
      <w:pPr>
        <w:ind w:left="220" w:right="280"/>
        <w:spacing w:after="0" w:line="286" w:lineRule="auto"/>
        <w:rPr>
          <w:sz w:val="20"/>
          <w:szCs w:val="20"/>
          <w:color w:val="auto"/>
        </w:rPr>
      </w:pPr>
      <w:r>
        <w:rPr>
          <w:rFonts w:ascii="Arial" w:cs="Arial" w:eastAsia="Arial" w:hAnsi="Arial"/>
          <w:sz w:val="16"/>
          <w:szCs w:val="16"/>
          <w:b w:val="1"/>
          <w:bCs w:val="1"/>
          <w:color w:val="00A1DF"/>
        </w:rPr>
        <w:t>As you execute your plan, what are the elements that you believe are creating value?</w:t>
      </w:r>
    </w:p>
    <w:p>
      <w:pPr>
        <w:spacing w:after="0" w:line="48"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MARY: </w:t>
      </w:r>
      <w:r>
        <w:rPr>
          <w:rFonts w:ascii="Arial" w:cs="Arial" w:eastAsia="Arial" w:hAnsi="Arial"/>
          <w:sz w:val="16"/>
          <w:szCs w:val="16"/>
          <w:color w:val="auto"/>
        </w:rPr>
        <w:t>We have been executing a plan that has accelerated GM’s</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transformation and driven accountability across our operations. Specifically, we have launched dozens of award-winning vehicles around the world; invested in key technologies to unlock our vision of zero crashes, zero emissions, and zero congestion; exited unprofitable markets; streamlined our operations with a relentless focus on cost; enhanced our capital structure; and strengthened our financing arm for competitive advantage.</w:t>
      </w:r>
    </w:p>
    <w:p>
      <w:pPr>
        <w:spacing w:after="0" w:line="9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record results over the last three years reflect the magnitude of change we have initiated and our dedication to meeting our financial commitments. And through dividends and stock repurchases, we have returned more than $25 billion to our shareholders from 2012 through the end of 2017. We also outperformed our peers in Total Shareholder Return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3353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6" w:lineRule="exact"/>
        <w:rPr>
          <w:sz w:val="20"/>
          <w:szCs w:val="20"/>
          <w:color w:val="auto"/>
        </w:rPr>
      </w:pPr>
    </w:p>
    <w:p>
      <w:pPr>
        <w:ind w:left="220" w:right="400"/>
        <w:spacing w:after="0" w:line="286" w:lineRule="auto"/>
        <w:rPr>
          <w:sz w:val="20"/>
          <w:szCs w:val="20"/>
          <w:color w:val="auto"/>
        </w:rPr>
      </w:pPr>
      <w:r>
        <w:rPr>
          <w:rFonts w:ascii="Arial" w:cs="Arial" w:eastAsia="Arial" w:hAnsi="Arial"/>
          <w:sz w:val="16"/>
          <w:szCs w:val="16"/>
          <w:b w:val="1"/>
          <w:bCs w:val="1"/>
          <w:color w:val="00A1DF"/>
        </w:rPr>
        <w:t>Why do you believe the current Board is the right one to deliver increased value for GM shareholders?</w:t>
      </w:r>
    </w:p>
    <w:p>
      <w:pPr>
        <w:spacing w:after="0" w:line="4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b w:val="1"/>
          <w:bCs w:val="1"/>
          <w:color w:val="auto"/>
        </w:rPr>
        <w:t xml:space="preserve">PAT: </w:t>
      </w:r>
      <w:r>
        <w:rPr>
          <w:rFonts w:ascii="Arial" w:cs="Arial" w:eastAsia="Arial" w:hAnsi="Arial"/>
          <w:sz w:val="16"/>
          <w:szCs w:val="16"/>
          <w:color w:val="auto"/>
        </w:rPr>
        <w:t>We believe the current Board is composed of the right people to</w:t>
      </w:r>
      <w:r>
        <w:rPr>
          <w:rFonts w:ascii="Arial" w:cs="Arial" w:eastAsia="Arial" w:hAnsi="Arial"/>
          <w:sz w:val="16"/>
          <w:szCs w:val="16"/>
          <w:b w:val="1"/>
          <w:bCs w:val="1"/>
          <w:color w:val="auto"/>
        </w:rPr>
        <w:t xml:space="preserve"> </w:t>
      </w:r>
      <w:r>
        <w:rPr>
          <w:rFonts w:ascii="Arial" w:cs="Arial" w:eastAsia="Arial" w:hAnsi="Arial"/>
          <w:sz w:val="16"/>
          <w:szCs w:val="16"/>
          <w:color w:val="auto"/>
        </w:rPr>
        <w:t>guide us through this important period of industry change and opportunity. Our strategic plan is multidisciplinary and so is your Board. Our directors are all outstanding leaders – most with experience managing large, highly complex, global organizations – who effectively oversee the performance of our core business as well as the execution of management’s strategy to lead in the future of personal mobility. We have members who understand evolving issues like technology, public policy, and international trade that are having a direct and increasingly important impact on our business. We also have directors with deep finance and capital markets expertise to provide guidance on optimal capital structure and effective capital allocation. With this expertise, your Board helps GM appropriately balance long-term investment with return of value to shareholders in the near term and navigate current and future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wp:posOffset>
            </wp:positionV>
            <wp:extent cx="617474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00A1DF"/>
        </w:rPr>
        <w:t>Can you provide insight for shareholders on what the Board looks for in a new director?</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PAT: </w:t>
      </w:r>
      <w:r>
        <w:rPr>
          <w:rFonts w:ascii="Arial" w:cs="Arial" w:eastAsia="Arial" w:hAnsi="Arial"/>
          <w:sz w:val="16"/>
          <w:szCs w:val="16"/>
          <w:color w:val="auto"/>
        </w:rPr>
        <w:t>We find potential candidates from a variety of sources,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search firms and shareholders as well as recommendations from directors and management, and we take adding a new director to your Board </w:t>
      </w:r>
      <w:r>
        <w:rPr>
          <w:rFonts w:ascii="Arial" w:cs="Arial" w:eastAsia="Arial" w:hAnsi="Arial"/>
          <w:sz w:val="16"/>
          <w:szCs w:val="16"/>
          <w:i w:val="1"/>
          <w:iCs w:val="1"/>
          <w:color w:val="auto"/>
        </w:rPr>
        <w:t xml:space="preserve">seriously. </w:t>
      </w:r>
      <w:r>
        <w:rPr>
          <w:rFonts w:ascii="Arial" w:cs="Arial" w:eastAsia="Arial" w:hAnsi="Arial"/>
          <w:sz w:val="16"/>
          <w:szCs w:val="16"/>
          <w:color w:val="auto"/>
        </w:rPr>
        <w:t>Strategy-minded director recruitment and succession planning is</w:t>
      </w:r>
      <w:r>
        <w:rPr>
          <w:rFonts w:ascii="Arial" w:cs="Arial" w:eastAsia="Arial" w:hAnsi="Arial"/>
          <w:sz w:val="16"/>
          <w:szCs w:val="16"/>
          <w:i w:val="1"/>
          <w:iCs w:val="1"/>
          <w:color w:val="auto"/>
        </w:rPr>
        <w:t xml:space="preserve"> </w:t>
      </w:r>
      <w:r>
        <w:rPr>
          <w:rFonts w:ascii="Arial" w:cs="Arial" w:eastAsia="Arial" w:hAnsi="Arial"/>
          <w:sz w:val="16"/>
          <w:szCs w:val="16"/>
          <w:color w:val="auto"/>
        </w:rPr>
        <w:t>critical to ensuring that your Board continues to protect shareholder value and be a strategic asset for the Company that is capable of addressing the evolving risks, trends, and opportunities that are around the corner at GM. We have a well-established process for director selection that is directly linked to the strategic needs of our business. The Governance Committee uses a carefully constructed skills matrix to review the experiences, qualifications, and attributes of current Board members and prospective candidates against the strategic needs of GM going forward to determine who can best help GM continue its momentum. Your Board also recognizes that refreshment brings both increased diversity and new perspectives, which are important components of a high-quality board. In fact, we added four new directors in the past three years as part of this comprehensive refreshment and recruitment process, including Devin N. Wenig, President and Chief Executive Officer of eBay Inc. (“eBay”), who brings considerable technology and consumer-facing experience to your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230505</wp:posOffset>
            </wp:positionV>
            <wp:extent cx="3422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00A1DF"/>
        </w:rPr>
        <w:t>Since 2016, Mary has been both the Chairman and CEO. With the two roles now combined, is the Board’s voice truly independent? Is the current Board leadership structure in the best interests of shareholders?</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TIM: </w:t>
      </w:r>
      <w:r>
        <w:rPr>
          <w:rFonts w:ascii="Arial" w:cs="Arial" w:eastAsia="Arial" w:hAnsi="Arial"/>
          <w:sz w:val="16"/>
          <w:szCs w:val="16"/>
          <w:color w:val="auto"/>
        </w:rPr>
        <w:t>Your Board holds management accountable. Ten of the Board’s</w:t>
      </w:r>
      <w:r>
        <w:rPr>
          <w:rFonts w:ascii="Arial" w:cs="Arial" w:eastAsia="Arial" w:hAnsi="Arial"/>
          <w:sz w:val="16"/>
          <w:szCs w:val="16"/>
          <w:b w:val="1"/>
          <w:bCs w:val="1"/>
          <w:color w:val="auto"/>
        </w:rPr>
        <w:t xml:space="preserve"> </w:t>
      </w:r>
      <w:r>
        <w:rPr>
          <w:rFonts w:ascii="Arial" w:cs="Arial" w:eastAsia="Arial" w:hAnsi="Arial"/>
          <w:sz w:val="16"/>
          <w:szCs w:val="16"/>
          <w:color w:val="auto"/>
        </w:rPr>
        <w:t>eleven directors are independent and together they have the right mix of expertise to oversee, guide, and challenge the leadership team. We are shaping and overseeing the Company’s strategy. Strategy is a part of every Board meeting agenda, and every year the Board holds a multiday session devoted exclusively to GM’s strategic plan. During these discussions, Board members engage in active debate and dialogue, challenge and validate management’s assumptions, and shape various aspects of management’s strategy and execution.</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does not believe there is a one-size-fits-all solution for board leadership structure or that combining or separating the Chairman and CEO roles is quite the black-and-white issue it is sometimes made out to be. Mary is the right person to lead your Board. GM’s performance under her leadership demonstrates that this structure is the most efficient way to execute our strategic plan and create value for shareholders. It is important for shareholders to realize that the Board retains the flexibility to separate the positions at any time if circumstances change. On an annual basis, the Board carefully considers the appropriate leadership structure for GM and its shareholders and determines whether to combine or split these roles. In the past, the Board has decided that separating the roles of Chairman and CEO would best serve shareholders, and in the future we may again, but we are confident that combining the roles is in the best interests of shareholders right now.</w:t>
      </w:r>
    </w:p>
    <w:p>
      <w:pPr>
        <w:sectPr>
          <w:pgSz w:w="11900" w:h="16838" w:orient="portrait"/>
          <w:cols w:equalWidth="0" w:num="2">
            <w:col w:w="5500" w:space="320"/>
            <w:col w:w="540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45"/>
          <w:szCs w:val="45"/>
          <w:color w:val="00A1DF"/>
        </w:rPr>
        <w:t>Notice of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6997700" cy="5411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5411470"/>
                    </a:xfrm>
                    <a:prstGeom prst="rect">
                      <a:avLst/>
                    </a:prstGeom>
                    <a:noFill/>
                  </pic:spPr>
                </pic:pic>
              </a:graphicData>
            </a:graphic>
          </wp:anchor>
        </w:drawing>
      </w:r>
    </w:p>
    <w:p>
      <w:pPr>
        <w:sectPr>
          <w:pgSz w:w="11900" w:h="16838" w:orient="portrait"/>
          <w:cols w:equalWidth="0" w:num="1">
            <w:col w:w="10980"/>
          </w:cols>
          <w:pgMar w:left="240" w:top="459" w:right="67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00A1DF"/>
        </w:rPr>
        <w:t>April 27, 2018</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00A1DF"/>
        </w:rPr>
        <w:t>Dear Fellow Shareholder:</w:t>
      </w:r>
    </w:p>
    <w:p>
      <w:pPr>
        <w:spacing w:after="0" w:line="10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Board of Directors of General Motors Company (“General Motors,” “GM,” the “Company,” “we,” and “our”) invites you to attend the 2018 Annual Meeting of Shareholders (the “Annual Meeting”) to be held on June 12, 2018, at the General Motors Global Headquarters, 300 Renaissance Center, Detroit, Michigan 48265. At the Annual Meeting, you will be asked to:</w:t>
      </w:r>
    </w:p>
    <w:p>
      <w:pPr>
        <w:spacing w:after="0" w:line="41" w:lineRule="exact"/>
        <w:rPr>
          <w:sz w:val="20"/>
          <w:szCs w:val="20"/>
          <w:color w:val="auto"/>
        </w:rPr>
      </w:pPr>
    </w:p>
    <w:p>
      <w:pPr>
        <w:ind w:left="560" w:right="460" w:hanging="194"/>
        <w:spacing w:after="0" w:line="281" w:lineRule="auto"/>
        <w:tabs>
          <w:tab w:leader="none" w:pos="560" w:val="left"/>
        </w:tabs>
        <w:numPr>
          <w:ilvl w:val="0"/>
          <w:numId w:val="6"/>
        </w:numPr>
        <w:rPr>
          <w:rFonts w:ascii="Arial" w:cs="Arial" w:eastAsia="Arial" w:hAnsi="Arial"/>
          <w:sz w:val="16"/>
          <w:szCs w:val="16"/>
          <w:color w:val="00A1DF"/>
        </w:rPr>
      </w:pPr>
      <w:r>
        <w:rPr>
          <w:rFonts w:ascii="Arial" w:cs="Arial" w:eastAsia="Arial" w:hAnsi="Arial"/>
          <w:sz w:val="16"/>
          <w:szCs w:val="16"/>
          <w:i w:val="1"/>
          <w:iCs w:val="1"/>
          <w:color w:val="auto"/>
        </w:rPr>
        <w:t>Elect the 11 Board-recommended director nominees named in this Proxy Statement;</w:t>
      </w:r>
    </w:p>
    <w:p>
      <w:pPr>
        <w:spacing w:after="0" w:line="14" w:lineRule="exact"/>
        <w:rPr>
          <w:rFonts w:ascii="Arial" w:cs="Arial" w:eastAsia="Arial" w:hAnsi="Arial"/>
          <w:sz w:val="16"/>
          <w:szCs w:val="16"/>
          <w:color w:val="00A1DF"/>
        </w:rPr>
      </w:pPr>
    </w:p>
    <w:p>
      <w:pPr>
        <w:ind w:left="560" w:right="880" w:hanging="194"/>
        <w:spacing w:after="0" w:line="281" w:lineRule="auto"/>
        <w:tabs>
          <w:tab w:leader="none" w:pos="560" w:val="left"/>
        </w:tabs>
        <w:numPr>
          <w:ilvl w:val="0"/>
          <w:numId w:val="6"/>
        </w:numPr>
        <w:rPr>
          <w:rFonts w:ascii="Arial" w:cs="Arial" w:eastAsia="Arial" w:hAnsi="Arial"/>
          <w:sz w:val="16"/>
          <w:szCs w:val="16"/>
          <w:color w:val="00A1DF"/>
        </w:rPr>
      </w:pPr>
      <w:r>
        <w:rPr>
          <w:rFonts w:ascii="Arial" w:cs="Arial" w:eastAsia="Arial" w:hAnsi="Arial"/>
          <w:sz w:val="16"/>
          <w:szCs w:val="16"/>
          <w:i w:val="1"/>
          <w:iCs w:val="1"/>
          <w:color w:val="auto"/>
        </w:rPr>
        <w:t>Approve, on an advisory basis, Named Executive Officer (“NEO”) compensation;</w:t>
      </w:r>
    </w:p>
    <w:p>
      <w:pPr>
        <w:spacing w:after="0" w:line="14" w:lineRule="exact"/>
        <w:rPr>
          <w:rFonts w:ascii="Arial" w:cs="Arial" w:eastAsia="Arial" w:hAnsi="Arial"/>
          <w:sz w:val="16"/>
          <w:szCs w:val="16"/>
          <w:color w:val="00A1DF"/>
        </w:rPr>
      </w:pPr>
    </w:p>
    <w:p>
      <w:pPr>
        <w:ind w:left="560" w:right="620" w:hanging="194"/>
        <w:spacing w:after="0" w:line="281" w:lineRule="auto"/>
        <w:tabs>
          <w:tab w:leader="none" w:pos="560" w:val="left"/>
        </w:tabs>
        <w:numPr>
          <w:ilvl w:val="0"/>
          <w:numId w:val="6"/>
        </w:numPr>
        <w:rPr>
          <w:rFonts w:ascii="Arial" w:cs="Arial" w:eastAsia="Arial" w:hAnsi="Arial"/>
          <w:sz w:val="16"/>
          <w:szCs w:val="16"/>
          <w:color w:val="00A1DF"/>
        </w:rPr>
      </w:pPr>
      <w:r>
        <w:rPr>
          <w:rFonts w:ascii="Arial" w:cs="Arial" w:eastAsia="Arial" w:hAnsi="Arial"/>
          <w:sz w:val="16"/>
          <w:szCs w:val="16"/>
          <w:i w:val="1"/>
          <w:iCs w:val="1"/>
          <w:color w:val="auto"/>
        </w:rPr>
        <w:t>Ratify the selection of Ernst &amp; Young LLP as the Company’s independent registered public accounting firm for 2018;</w:t>
      </w:r>
    </w:p>
    <w:p>
      <w:pPr>
        <w:spacing w:after="0" w:line="14" w:lineRule="exact"/>
        <w:rPr>
          <w:rFonts w:ascii="Arial" w:cs="Arial" w:eastAsia="Arial" w:hAnsi="Arial"/>
          <w:sz w:val="16"/>
          <w:szCs w:val="16"/>
          <w:color w:val="00A1DF"/>
        </w:rPr>
      </w:pPr>
    </w:p>
    <w:p>
      <w:pPr>
        <w:ind w:left="560" w:right="720" w:hanging="194"/>
        <w:spacing w:after="0" w:line="281" w:lineRule="auto"/>
        <w:tabs>
          <w:tab w:leader="none" w:pos="560" w:val="left"/>
        </w:tabs>
        <w:numPr>
          <w:ilvl w:val="0"/>
          <w:numId w:val="6"/>
        </w:numPr>
        <w:rPr>
          <w:rFonts w:ascii="Arial" w:cs="Arial" w:eastAsia="Arial" w:hAnsi="Arial"/>
          <w:sz w:val="16"/>
          <w:szCs w:val="16"/>
          <w:color w:val="00A1DF"/>
        </w:rPr>
      </w:pPr>
      <w:r>
        <w:rPr>
          <w:rFonts w:ascii="Arial" w:cs="Arial" w:eastAsia="Arial" w:hAnsi="Arial"/>
          <w:sz w:val="16"/>
          <w:szCs w:val="16"/>
          <w:i w:val="1"/>
          <w:iCs w:val="1"/>
          <w:color w:val="auto"/>
        </w:rPr>
        <w:t>Vote on three Rule 14a-8 shareholder proposals if properly presented at the meeting; and</w:t>
      </w:r>
    </w:p>
    <w:p>
      <w:pPr>
        <w:spacing w:after="0" w:line="14" w:lineRule="exact"/>
        <w:rPr>
          <w:rFonts w:ascii="Arial" w:cs="Arial" w:eastAsia="Arial" w:hAnsi="Arial"/>
          <w:sz w:val="16"/>
          <w:szCs w:val="16"/>
          <w:color w:val="00A1DF"/>
        </w:rPr>
      </w:pPr>
    </w:p>
    <w:p>
      <w:pPr>
        <w:ind w:left="560" w:right="580" w:hanging="194"/>
        <w:spacing w:after="0" w:line="281" w:lineRule="auto"/>
        <w:tabs>
          <w:tab w:leader="none" w:pos="560" w:val="left"/>
        </w:tabs>
        <w:numPr>
          <w:ilvl w:val="0"/>
          <w:numId w:val="6"/>
        </w:numPr>
        <w:rPr>
          <w:rFonts w:ascii="Arial" w:cs="Arial" w:eastAsia="Arial" w:hAnsi="Arial"/>
          <w:sz w:val="16"/>
          <w:szCs w:val="16"/>
          <w:color w:val="00A1DF"/>
        </w:rPr>
      </w:pPr>
      <w:r>
        <w:rPr>
          <w:rFonts w:ascii="Arial" w:cs="Arial" w:eastAsia="Arial" w:hAnsi="Arial"/>
          <w:sz w:val="16"/>
          <w:szCs w:val="16"/>
          <w:i w:val="1"/>
          <w:iCs w:val="1"/>
          <w:color w:val="auto"/>
        </w:rPr>
        <w:t>Transact any other business that is properly presented at the meeting.</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6"/>
          <w:szCs w:val="16"/>
          <w:color w:val="00A1DF"/>
        </w:rPr>
        <w:t>Record Date</w:t>
      </w:r>
    </w:p>
    <w:p>
      <w:pPr>
        <w:spacing w:after="0" w:line="113"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If you were a holder of record of GM common stock at the close of business on April 16, 2018, you are entitled to vote at the Annual Meeting. A list of registered shareholders will be available for examination for any purpose that is germane to the meeting at GM’s Global Headquarters in Detroit, Michigan, for 10 business days before the Annual Meeting between 9:00 a.m. and 5:00 p.m. Eastern time, and also during the Annual Meeting.</w:t>
      </w:r>
    </w:p>
    <w:p>
      <w:pPr>
        <w:spacing w:after="0" w:line="101"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This Proxy Statement is provided in conjunction with GM’s solicitation of proxies to be used at the Annual Meeting. In addition to this Proxy Statement and proxy card or voting instruction form, the GM 2017 Annual Report on Form 10-K is provided in this package or is available on the Internet.</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Thank you for your interest in General Motors Company.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 Order of the Board of Directors,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Rick E. Hansen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Assistant General Counsel and Corporate Secretary,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00A1DF"/>
        </w:rPr>
        <w:t>Meeting Information:</w:t>
      </w:r>
    </w:p>
    <w:p>
      <w:pPr>
        <w:spacing w:after="0" w:line="32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June 12, 2018</w:t>
      </w:r>
    </w:p>
    <w:p>
      <w:pPr>
        <w:spacing w:after="0" w:line="123"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9:30 a.m. Eastern Time</w:t>
      </w:r>
    </w:p>
    <w:p>
      <w:pPr>
        <w:spacing w:after="0" w:line="123"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4"/>
          <w:szCs w:val="14"/>
          <w:color w:val="auto"/>
        </w:rPr>
        <w:t>General Motors</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Global Headquarters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300 Renaissance Center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Detroit, Michigan 48265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Arial" w:cs="Arial" w:eastAsia="Arial" w:hAnsi="Arial"/>
          <w:sz w:val="22"/>
          <w:szCs w:val="22"/>
          <w:color w:val="00A1DF"/>
        </w:rPr>
        <w:t>Your vote is important.</w:t>
      </w:r>
    </w:p>
    <w:p>
      <w:pPr>
        <w:spacing w:after="0" w:line="200" w:lineRule="exact"/>
        <w:rPr>
          <w:sz w:val="20"/>
          <w:szCs w:val="20"/>
          <w:color w:val="auto"/>
        </w:rPr>
      </w:pP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Please promptly submit your vote by Internet, by telephone, or by signing, dating, and returning the enclosed proxy card or voting instruction form in the postage-paid envelope provided so that your shares will be represented and voted at the meeting.</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first mailing these proxy materials to our shareholders on or about April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22"/>
          <w:szCs w:val="22"/>
          <w:color w:val="00A1DF"/>
        </w:rPr>
        <w:t>How You Can Access the</w:t>
      </w:r>
    </w:p>
    <w:p>
      <w:pPr>
        <w:ind w:left="1340"/>
        <w:spacing w:after="0"/>
        <w:rPr>
          <w:sz w:val="20"/>
          <w:szCs w:val="20"/>
          <w:color w:val="auto"/>
        </w:rPr>
      </w:pPr>
      <w:r>
        <w:rPr>
          <w:rFonts w:ascii="Arial" w:cs="Arial" w:eastAsia="Arial" w:hAnsi="Arial"/>
          <w:sz w:val="22"/>
          <w:szCs w:val="22"/>
          <w:color w:val="00A1DF"/>
        </w:rPr>
        <w:t>Proxy Materials Online:</w:t>
      </w:r>
    </w:p>
    <w:p>
      <w:pPr>
        <w:spacing w:after="0" w:line="29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b w:val="1"/>
          <w:bCs w:val="1"/>
          <w:color w:val="auto"/>
        </w:rPr>
        <w:t>Important Notice Regarding the Availability of Proxy Materials for the 2018 Annual Meeting of Shareholders, to be held on June 12, 2018.</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 xml:space="preserve">Our Proxy Statement and 2017 Annual Report on Form 10-K are available at: </w:t>
      </w:r>
      <w:r>
        <w:rPr>
          <w:rFonts w:ascii="Arial" w:cs="Arial" w:eastAsia="Arial" w:hAnsi="Arial"/>
          <w:sz w:val="14"/>
          <w:szCs w:val="14"/>
          <w:i w:val="1"/>
          <w:iCs w:val="1"/>
          <w:color w:val="00A1DF"/>
        </w:rPr>
        <w:t>gm.com/shareholderinformation</w:t>
      </w:r>
      <w:r>
        <w:rPr>
          <w:rFonts w:ascii="Arial" w:cs="Arial" w:eastAsia="Arial" w:hAnsi="Arial"/>
          <w:sz w:val="14"/>
          <w:szCs w:val="14"/>
          <w:color w:val="auto"/>
        </w:rPr>
        <w:t>. You may scan the QR code above with your smartphone or other mobile device to view our interactive Proxy Statement and to view the Annual Report on Form 10-K.</w:t>
      </w:r>
    </w:p>
    <w:p>
      <w:pPr>
        <w:sectPr>
          <w:pgSz w:w="11900" w:h="16838" w:orient="portrait"/>
          <w:cols w:equalWidth="0" w:num="2">
            <w:col w:w="5500" w:space="620"/>
            <w:col w:w="4860"/>
          </w:cols>
          <w:pgMar w:left="240" w:top="459" w:right="6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00"/>
        <w:spacing w:after="0"/>
        <w:rPr>
          <w:sz w:val="20"/>
          <w:szCs w:val="20"/>
          <w:color w:val="auto"/>
        </w:rPr>
      </w:pPr>
      <w:r>
        <w:rPr>
          <w:rFonts w:ascii="Arial" w:cs="Arial" w:eastAsia="Arial" w:hAnsi="Arial"/>
          <w:sz w:val="34"/>
          <w:szCs w:val="34"/>
          <w:color w:val="0033A0"/>
        </w:rPr>
        <w:t>Table of Contents</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680" w:type="dxa"/>
            <w:vAlign w:val="bottom"/>
            <w:gridSpan w:val="7"/>
          </w:tcPr>
          <w:p>
            <w:pPr>
              <w:spacing w:after="0"/>
              <w:rPr>
                <w:rFonts w:ascii="Arial" w:cs="Arial" w:eastAsia="Arial" w:hAnsi="Arial"/>
                <w:sz w:val="20"/>
                <w:szCs w:val="20"/>
                <w:b w:val="1"/>
                <w:bCs w:val="1"/>
                <w:color w:val="0000EE"/>
              </w:rPr>
            </w:pPr>
            <w:hyperlink w:anchor="page8">
              <w:r>
                <w:rPr>
                  <w:rFonts w:ascii="Arial" w:cs="Arial" w:eastAsia="Arial" w:hAnsi="Arial"/>
                  <w:sz w:val="20"/>
                  <w:szCs w:val="20"/>
                  <w:b w:val="1"/>
                  <w:bCs w:val="1"/>
                  <w:color w:val="0000EE"/>
                </w:rPr>
                <w:t>PROXY STATEMENT SUMMARY</w:t>
              </w:r>
            </w:hyperlink>
          </w:p>
        </w:tc>
        <w:tc>
          <w:tcPr>
            <w:tcW w:w="1600" w:type="dxa"/>
            <w:vAlign w:val="bottom"/>
          </w:tcPr>
          <w:p>
            <w:pPr>
              <w:jc w:val="right"/>
              <w:spacing w:after="0"/>
              <w:rPr>
                <w:sz w:val="20"/>
                <w:szCs w:val="20"/>
                <w:color w:val="auto"/>
              </w:rPr>
            </w:pPr>
            <w:r>
              <w:rPr>
                <w:rFonts w:ascii="Arial" w:cs="Arial" w:eastAsia="Arial" w:hAnsi="Arial"/>
                <w:sz w:val="20"/>
                <w:szCs w:val="20"/>
                <w:b w:val="1"/>
                <w:bCs w:val="1"/>
                <w:color w:val="00A1DF"/>
              </w:rPr>
              <w:t>1</w:t>
            </w:r>
          </w:p>
        </w:tc>
      </w:tr>
      <w:tr>
        <w:trPr>
          <w:trHeight w:val="20"/>
        </w:trPr>
        <w:tc>
          <w:tcPr>
            <w:tcW w:w="1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368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Agenda and Voting Recommendations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30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Board Nominees</w:t>
              </w:r>
            </w:hyperlink>
          </w:p>
        </w:tc>
        <w:tc>
          <w:tcPr>
            <w:tcW w:w="62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1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3"/>
        </w:trPr>
        <w:tc>
          <w:tcPr>
            <w:tcW w:w="3680" w:type="dxa"/>
            <w:vAlign w:val="bottom"/>
            <w:gridSpan w:val="7"/>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Governance Highlights</w:t>
              </w:r>
            </w:hyperlink>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3"/>
        </w:trPr>
        <w:tc>
          <w:tcPr>
            <w:tcW w:w="228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2017 Performance Snapshot</w:t>
              </w:r>
            </w:hyperlink>
          </w:p>
        </w:tc>
        <w:tc>
          <w:tcPr>
            <w:tcW w:w="1400" w:type="dxa"/>
            <w:vAlign w:val="bottom"/>
            <w:gridSpan w:val="4"/>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82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Executive Compensation Highlights</w:t>
              </w:r>
            </w:hyperlink>
          </w:p>
        </w:tc>
        <w:tc>
          <w:tcPr>
            <w:tcW w:w="860" w:type="dxa"/>
            <w:vAlign w:val="bottom"/>
            <w:gridSpan w:val="3"/>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36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Environmental and Sustainability Performance</w:t>
              </w:r>
            </w:hyperlink>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bl>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820" w:type="dxa"/>
            <w:vAlign w:val="bottom"/>
            <w:gridSpan w:val="8"/>
          </w:tcPr>
          <w:p>
            <w:pPr>
              <w:spacing w:after="0"/>
              <w:rPr>
                <w:rFonts w:ascii="Arial" w:cs="Arial" w:eastAsia="Arial" w:hAnsi="Arial"/>
                <w:sz w:val="20"/>
                <w:szCs w:val="20"/>
                <w:b w:val="1"/>
                <w:bCs w:val="1"/>
                <w:color w:val="0000EE"/>
              </w:rPr>
            </w:pPr>
            <w:hyperlink w:anchor="page14">
              <w:r>
                <w:rPr>
                  <w:rFonts w:ascii="Arial" w:cs="Arial" w:eastAsia="Arial" w:hAnsi="Arial"/>
                  <w:sz w:val="20"/>
                  <w:szCs w:val="20"/>
                  <w:b w:val="1"/>
                  <w:bCs w:val="1"/>
                  <w:color w:val="0000EE"/>
                </w:rPr>
                <w:t>ITEM NO. 1 –   ELECTION OF DIRECTORS</w:t>
              </w:r>
            </w:hyperlink>
          </w:p>
        </w:tc>
        <w:tc>
          <w:tcPr>
            <w:tcW w:w="460" w:type="dxa"/>
            <w:vAlign w:val="bottom"/>
          </w:tcPr>
          <w:p>
            <w:pPr>
              <w:jc w:val="right"/>
              <w:spacing w:after="0"/>
              <w:rPr>
                <w:sz w:val="20"/>
                <w:szCs w:val="20"/>
                <w:color w:val="auto"/>
              </w:rPr>
            </w:pPr>
            <w:r>
              <w:rPr>
                <w:rFonts w:ascii="Arial" w:cs="Arial" w:eastAsia="Arial" w:hAnsi="Arial"/>
                <w:sz w:val="20"/>
                <w:szCs w:val="20"/>
                <w:b w:val="1"/>
                <w:bCs w:val="1"/>
                <w:color w:val="00A1DF"/>
              </w:rPr>
              <w:t>7</w:t>
            </w: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0"/>
        </w:trPr>
        <w:tc>
          <w:tcPr>
            <w:tcW w:w="4820" w:type="dxa"/>
            <w:vAlign w:val="bottom"/>
            <w:gridSpan w:val="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Overview of Your Board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820" w:type="dxa"/>
            <w:vAlign w:val="bottom"/>
            <w:gridSpan w:val="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Board Membership Criteria, Refreshment, and Succession</w:t>
              </w:r>
            </w:hyperlink>
          </w:p>
        </w:tc>
        <w:tc>
          <w:tcPr>
            <w:tcW w:w="460" w:type="dxa"/>
            <w:vAlign w:val="bottom"/>
          </w:tcPr>
          <w:p>
            <w:pPr>
              <w:spacing w:after="0"/>
              <w:rPr>
                <w:sz w:val="15"/>
                <w:szCs w:val="15"/>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44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Planning</w:t>
              </w:r>
            </w:hyperlink>
          </w:p>
        </w:tc>
        <w:tc>
          <w:tcPr>
            <w:tcW w:w="1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820" w:type="dxa"/>
            <w:vAlign w:val="bottom"/>
            <w:gridSpan w:val="8"/>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Your Board’s Nominees for Director</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820" w:type="dxa"/>
            <w:vAlign w:val="bottom"/>
            <w:gridSpan w:val="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Non-Employee Director Compensation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60" w:type="dxa"/>
            <w:vAlign w:val="bottom"/>
            <w:gridSpan w:val="22"/>
          </w:tcPr>
          <w:p>
            <w:pPr>
              <w:spacing w:after="0"/>
              <w:rPr>
                <w:rFonts w:ascii="Arial" w:cs="Arial" w:eastAsia="Arial" w:hAnsi="Arial"/>
                <w:sz w:val="20"/>
                <w:szCs w:val="20"/>
                <w:b w:val="1"/>
                <w:bCs w:val="1"/>
                <w:color w:val="0000EE"/>
              </w:rPr>
            </w:pPr>
            <w:hyperlink w:anchor="page27">
              <w:r>
                <w:rPr>
                  <w:rFonts w:ascii="Arial" w:cs="Arial" w:eastAsia="Arial" w:hAnsi="Arial"/>
                  <w:sz w:val="20"/>
                  <w:szCs w:val="20"/>
                  <w:b w:val="1"/>
                  <w:bCs w:val="1"/>
                  <w:color w:val="0000EE"/>
                </w:rPr>
                <w:t>CORPORATE GOVERNANCE</w:t>
              </w:r>
            </w:hyperlink>
          </w:p>
        </w:tc>
        <w:tc>
          <w:tcPr>
            <w:tcW w:w="1020" w:type="dxa"/>
            <w:vAlign w:val="bottom"/>
          </w:tcPr>
          <w:p>
            <w:pPr>
              <w:jc w:val="right"/>
              <w:spacing w:after="0"/>
              <w:rPr>
                <w:sz w:val="20"/>
                <w:szCs w:val="20"/>
                <w:color w:val="auto"/>
              </w:rPr>
            </w:pPr>
            <w:r>
              <w:rPr>
                <w:rFonts w:ascii="Arial" w:cs="Arial" w:eastAsia="Arial" w:hAnsi="Arial"/>
                <w:sz w:val="20"/>
                <w:szCs w:val="20"/>
                <w:b w:val="1"/>
                <w:bCs w:val="1"/>
                <w:color w:val="00A1DF"/>
              </w:rPr>
              <w:t>20</w:t>
            </w: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3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Role of the Board of Directors</w:t>
              </w:r>
            </w:hyperlink>
          </w:p>
        </w:tc>
        <w:tc>
          <w:tcPr>
            <w:tcW w:w="190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83"/>
        </w:trPr>
        <w:tc>
          <w:tcPr>
            <w:tcW w:w="88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Board Size</w:t>
              </w:r>
            </w:hyperlink>
          </w:p>
        </w:tc>
        <w:tc>
          <w:tcPr>
            <w:tcW w:w="3380" w:type="dxa"/>
            <w:vAlign w:val="bottom"/>
            <w:gridSpan w:val="19"/>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42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Code of Business Conduct and Ethics: “Winning with</w:t>
              </w:r>
            </w:hyperlink>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4100" w:type="dxa"/>
            <w:vAlign w:val="bottom"/>
            <w:gridSpan w:val="21"/>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Integrity”</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272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Corporate Governance Guidelines</w:t>
              </w:r>
            </w:hyperlink>
          </w:p>
        </w:tc>
        <w:tc>
          <w:tcPr>
            <w:tcW w:w="1540" w:type="dxa"/>
            <w:vAlign w:val="bottom"/>
            <w:gridSpan w:val="8"/>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4260" w:type="dxa"/>
            <w:vAlign w:val="bottom"/>
            <w:gridSpan w:val="22"/>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Director Independence</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22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Board Leadership Structure</w:t>
              </w:r>
            </w:hyperlink>
          </w:p>
        </w:tc>
        <w:tc>
          <w:tcPr>
            <w:tcW w:w="2060" w:type="dxa"/>
            <w:vAlign w:val="bottom"/>
            <w:gridSpan w:val="10"/>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260" w:type="dxa"/>
            <w:vAlign w:val="bottom"/>
            <w:gridSpan w:val="22"/>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Executive Sessions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4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Board Committees</w:t>
              </w:r>
            </w:hyperlink>
          </w:p>
        </w:tc>
        <w:tc>
          <w:tcPr>
            <w:tcW w:w="60" w:type="dxa"/>
            <w:vAlign w:val="bottom"/>
            <w:tcBorders>
              <w:top w:val="single" w:sz="8" w:color="0000EE"/>
            </w:tcBorders>
          </w:tcPr>
          <w:p>
            <w:pPr>
              <w:spacing w:after="0"/>
              <w:rPr>
                <w:sz w:val="15"/>
                <w:szCs w:val="15"/>
                <w:color w:val="auto"/>
              </w:rPr>
            </w:pPr>
          </w:p>
        </w:tc>
        <w:tc>
          <w:tcPr>
            <w:tcW w:w="2720" w:type="dxa"/>
            <w:vAlign w:val="bottom"/>
            <w:gridSpan w:val="16"/>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218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Access to Outside Advisors</w:t>
              </w:r>
            </w:hyperlink>
          </w:p>
        </w:tc>
        <w:tc>
          <w:tcPr>
            <w:tcW w:w="2080" w:type="dxa"/>
            <w:vAlign w:val="bottom"/>
            <w:gridSpan w:val="11"/>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38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Board and Committee Meetings and Attendance</w:t>
              </w:r>
            </w:hyperlink>
          </w:p>
        </w:tc>
        <w:tc>
          <w:tcPr>
            <w:tcW w:w="420" w:type="dxa"/>
            <w:vAlign w:val="bottom"/>
            <w:gridSpan w:val="4"/>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31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Board and Committee Oversight of Risk</w:t>
              </w:r>
            </w:hyperlink>
          </w:p>
        </w:tc>
        <w:tc>
          <w:tcPr>
            <w:tcW w:w="1100" w:type="dxa"/>
            <w:vAlign w:val="bottom"/>
            <w:gridSpan w:val="7"/>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4260" w:type="dxa"/>
            <w:vAlign w:val="bottom"/>
            <w:gridSpan w:val="22"/>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Succession Planning and Leadership Development</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7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Board and Committee Evaluations</w:t>
              </w:r>
            </w:hyperlink>
          </w:p>
        </w:tc>
        <w:tc>
          <w:tcPr>
            <w:tcW w:w="1340" w:type="dxa"/>
            <w:vAlign w:val="bottom"/>
            <w:tcBorders>
              <w:top w:val="single" w:sz="8" w:color="0000EE"/>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8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Annual Evaluation of CEO</w:t>
              </w:r>
            </w:hyperlink>
          </w:p>
        </w:tc>
        <w:tc>
          <w:tcPr>
            <w:tcW w:w="2180" w:type="dxa"/>
            <w:vAlign w:val="bottom"/>
            <w:gridSpan w:val="12"/>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4260" w:type="dxa"/>
            <w:vAlign w:val="bottom"/>
            <w:gridSpan w:val="2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Director Orientation and Continuing Education</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40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Director Service on Other Public Company Boards</w:t>
              </w:r>
            </w:hyperlink>
          </w:p>
        </w:tc>
        <w:tc>
          <w:tcPr>
            <w:tcW w:w="260" w:type="dxa"/>
            <w:vAlign w:val="bottom"/>
            <w:gridSpan w:val="3"/>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4260" w:type="dxa"/>
            <w:vAlign w:val="bottom"/>
            <w:gridSpan w:val="2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Committee Interlocks and Insider</w:t>
              </w:r>
            </w:hyperlink>
          </w:p>
        </w:tc>
        <w:tc>
          <w:tcPr>
            <w:tcW w:w="1020" w:type="dxa"/>
            <w:vAlign w:val="bottom"/>
          </w:tcPr>
          <w:p>
            <w:pPr>
              <w:spacing w:after="0"/>
              <w:rPr>
                <w:sz w:val="15"/>
                <w:szCs w:val="15"/>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10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Participation</w:t>
              </w:r>
            </w:hyperlink>
          </w:p>
        </w:tc>
        <w:tc>
          <w:tcPr>
            <w:tcW w:w="2660" w:type="dxa"/>
            <w:vAlign w:val="bottom"/>
            <w:tcBorders>
              <w:top w:val="single" w:sz="8" w:color="0000EE"/>
            </w:tcBorders>
            <w:gridSpan w:val="13"/>
          </w:tcPr>
          <w:p>
            <w:pPr>
              <w:spacing w:after="0"/>
              <w:rPr>
                <w:sz w:val="15"/>
                <w:szCs w:val="15"/>
                <w:color w:val="auto"/>
              </w:rPr>
            </w:pPr>
          </w:p>
        </w:tc>
        <w:tc>
          <w:tcPr>
            <w:tcW w:w="440" w:type="dxa"/>
            <w:vAlign w:val="bottom"/>
            <w:gridSpan w:val="5"/>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04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Shareholder Engagement</w:t>
              </w:r>
            </w:hyperlink>
          </w:p>
        </w:tc>
        <w:tc>
          <w:tcPr>
            <w:tcW w:w="2220" w:type="dxa"/>
            <w:vAlign w:val="bottom"/>
            <w:gridSpan w:val="13"/>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92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Shareholder Protections</w:t>
              </w:r>
            </w:hyperlink>
          </w:p>
        </w:tc>
        <w:tc>
          <w:tcPr>
            <w:tcW w:w="2340" w:type="dxa"/>
            <w:vAlign w:val="bottom"/>
            <w:gridSpan w:val="14"/>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42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Certain Relationships and Related Party Transactions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bl>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860" w:type="dxa"/>
            <w:vAlign w:val="bottom"/>
            <w:gridSpan w:val="6"/>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SECURITY OWNERSHIP INFORMATION</w:t>
              </w:r>
            </w:hyperlink>
          </w:p>
        </w:tc>
        <w:tc>
          <w:tcPr>
            <w:tcW w:w="420" w:type="dxa"/>
            <w:vAlign w:val="bottom"/>
          </w:tcPr>
          <w:p>
            <w:pPr>
              <w:jc w:val="right"/>
              <w:spacing w:after="0"/>
              <w:rPr>
                <w:sz w:val="20"/>
                <w:szCs w:val="20"/>
                <w:color w:val="auto"/>
              </w:rPr>
            </w:pPr>
            <w:r>
              <w:rPr>
                <w:rFonts w:ascii="Arial" w:cs="Arial" w:eastAsia="Arial" w:hAnsi="Arial"/>
                <w:sz w:val="20"/>
                <w:szCs w:val="20"/>
                <w:b w:val="1"/>
                <w:bCs w:val="1"/>
                <w:color w:val="00A1DF"/>
              </w:rPr>
              <w:t>32</w:t>
            </w: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29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0"/>
        </w:trPr>
        <w:tc>
          <w:tcPr>
            <w:tcW w:w="486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Security Ownership of Directors, Named Executive Officers,</w:t>
              </w:r>
            </w:hyperlink>
          </w:p>
        </w:tc>
        <w:tc>
          <w:tcPr>
            <w:tcW w:w="420" w:type="dxa"/>
            <w:vAlign w:val="bottom"/>
          </w:tcPr>
          <w:p>
            <w:pPr>
              <w:spacing w:after="0"/>
              <w:rPr>
                <w:sz w:val="18"/>
                <w:szCs w:val="18"/>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29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and Certain Other Beneficial Owners</w:t>
              </w:r>
            </w:hyperlink>
          </w:p>
        </w:tc>
        <w:tc>
          <w:tcPr>
            <w:tcW w:w="1640" w:type="dxa"/>
            <w:vAlign w:val="bottom"/>
            <w:tcBorders>
              <w:top w:val="single" w:sz="8" w:color="0000EE"/>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4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Section 16(a) Beneficial Ownership Reporting Compliance</w:t>
              </w:r>
            </w:hyperlink>
          </w:p>
        </w:tc>
        <w:tc>
          <w:tcPr>
            <w:tcW w:w="220" w:type="dxa"/>
            <w:vAlign w:val="bottom"/>
            <w:gridSpan w:val="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9"/>
          </w:tcPr>
          <w:p>
            <w:pPr>
              <w:spacing w:after="0"/>
              <w:rPr>
                <w:rFonts w:ascii="Arial" w:cs="Arial" w:eastAsia="Arial" w:hAnsi="Arial"/>
                <w:sz w:val="20"/>
                <w:szCs w:val="20"/>
                <w:b w:val="1"/>
                <w:bCs w:val="1"/>
                <w:color w:val="0000EE"/>
              </w:rPr>
            </w:pPr>
            <w:hyperlink w:anchor="page42">
              <w:r>
                <w:rPr>
                  <w:rFonts w:ascii="Arial" w:cs="Arial" w:eastAsia="Arial" w:hAnsi="Arial"/>
                  <w:sz w:val="20"/>
                  <w:szCs w:val="20"/>
                  <w:b w:val="1"/>
                  <w:bCs w:val="1"/>
                  <w:color w:val="0000EE"/>
                </w:rPr>
                <w:t>EXECUTIVE COMPENSATION</w:t>
              </w:r>
            </w:hyperlink>
          </w:p>
        </w:tc>
        <w:tc>
          <w:tcPr>
            <w:tcW w:w="520" w:type="dxa"/>
            <w:vAlign w:val="bottom"/>
          </w:tcPr>
          <w:p>
            <w:pPr>
              <w:jc w:val="right"/>
              <w:spacing w:after="0"/>
              <w:rPr>
                <w:sz w:val="20"/>
                <w:szCs w:val="20"/>
                <w:color w:val="auto"/>
              </w:rPr>
            </w:pPr>
            <w:r>
              <w:rPr>
                <w:rFonts w:ascii="Arial" w:cs="Arial" w:eastAsia="Arial" w:hAnsi="Arial"/>
                <w:sz w:val="20"/>
                <w:szCs w:val="20"/>
                <w:b w:val="1"/>
                <w:bCs w:val="1"/>
                <w:color w:val="00A1DF"/>
              </w:rPr>
              <w:t>35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Compensation Overview</w:t>
              </w:r>
            </w:hyperlink>
          </w:p>
        </w:tc>
        <w:tc>
          <w:tcPr>
            <w:tcW w:w="2900" w:type="dxa"/>
            <w:vAlign w:val="bottom"/>
            <w:gridSpan w:val="28"/>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4880" w:type="dxa"/>
            <w:vAlign w:val="bottom"/>
            <w:gridSpan w:val="39"/>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Compensation Principles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9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Compensation Elements</w:t>
              </w:r>
            </w:hyperlink>
          </w:p>
        </w:tc>
        <w:tc>
          <w:tcPr>
            <w:tcW w:w="20" w:type="dxa"/>
            <w:vAlign w:val="bottom"/>
            <w:tcBorders>
              <w:top w:val="single" w:sz="8" w:color="0000EE"/>
            </w:tcBorders>
          </w:tcPr>
          <w:p>
            <w:pPr>
              <w:spacing w:after="0"/>
              <w:rPr>
                <w:sz w:val="15"/>
                <w:szCs w:val="15"/>
                <w:color w:val="auto"/>
              </w:rPr>
            </w:pPr>
          </w:p>
        </w:tc>
        <w:tc>
          <w:tcPr>
            <w:tcW w:w="2880" w:type="dxa"/>
            <w:vAlign w:val="bottom"/>
            <w:gridSpan w:val="27"/>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4880" w:type="dxa"/>
            <w:vAlign w:val="bottom"/>
            <w:gridSpan w:val="39"/>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Performance Measures</w:t>
              </w:r>
            </w:hyperlink>
          </w:p>
        </w:tc>
        <w:tc>
          <w:tcPr>
            <w:tcW w:w="520" w:type="dxa"/>
            <w:vAlign w:val="bottom"/>
          </w:tcPr>
          <w:p>
            <w:pPr>
              <w:jc w:val="right"/>
              <w:spacing w:after="0" w:line="170"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39"/>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Performance Results and Compensation Decisions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0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Compensation Policies and Governance Practices</w:t>
              </w:r>
            </w:hyperlink>
          </w:p>
        </w:tc>
        <w:tc>
          <w:tcPr>
            <w:tcW w:w="60" w:type="dxa"/>
            <w:vAlign w:val="bottom"/>
            <w:tcBorders>
              <w:top w:val="single" w:sz="8" w:color="0000EE"/>
            </w:tcBorders>
            <w:gridSpan w:val="2"/>
          </w:tcPr>
          <w:p>
            <w:pPr>
              <w:spacing w:after="0"/>
              <w:rPr>
                <w:sz w:val="17"/>
                <w:szCs w:val="17"/>
                <w:color w:val="auto"/>
              </w:rPr>
            </w:pPr>
          </w:p>
        </w:tc>
        <w:tc>
          <w:tcPr>
            <w:tcW w:w="800" w:type="dxa"/>
            <w:vAlign w:val="bottom"/>
            <w:gridSpan w:val="13"/>
          </w:tcPr>
          <w:p>
            <w:pPr>
              <w:spacing w:after="0"/>
              <w:rPr>
                <w:sz w:val="17"/>
                <w:szCs w:val="17"/>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880" w:type="dxa"/>
            <w:vAlign w:val="bottom"/>
            <w:gridSpan w:val="3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Compensation Committee Report</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Executive Compensation Tables</w:t>
              </w:r>
            </w:hyperlink>
          </w:p>
        </w:tc>
        <w:tc>
          <w:tcPr>
            <w:tcW w:w="100" w:type="dxa"/>
            <w:vAlign w:val="bottom"/>
            <w:tcBorders>
              <w:top w:val="single" w:sz="8" w:color="0000EE"/>
            </w:tcBorders>
          </w:tcPr>
          <w:p>
            <w:pPr>
              <w:spacing w:after="0"/>
              <w:rPr>
                <w:sz w:val="17"/>
                <w:szCs w:val="17"/>
                <w:color w:val="auto"/>
              </w:rPr>
            </w:pPr>
          </w:p>
        </w:tc>
        <w:tc>
          <w:tcPr>
            <w:tcW w:w="2200" w:type="dxa"/>
            <w:vAlign w:val="bottom"/>
            <w:gridSpan w:val="24"/>
          </w:tcPr>
          <w:p>
            <w:pPr>
              <w:spacing w:after="0"/>
              <w:rPr>
                <w:sz w:val="17"/>
                <w:szCs w:val="17"/>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880" w:type="dxa"/>
            <w:vAlign w:val="bottom"/>
            <w:gridSpan w:val="39"/>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Equity Compensation Plan Information</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gridSpan w:val="7"/>
          </w:tcPr>
          <w:p>
            <w:pPr>
              <w:spacing w:after="0"/>
              <w:rPr>
                <w:rFonts w:ascii="Arial" w:cs="Arial" w:eastAsia="Arial" w:hAnsi="Arial"/>
                <w:sz w:val="20"/>
                <w:szCs w:val="20"/>
                <w:b w:val="1"/>
                <w:bCs w:val="1"/>
                <w:color w:val="0000EE"/>
              </w:rPr>
            </w:pPr>
            <w:hyperlink w:anchor="page75">
              <w:r>
                <w:rPr>
                  <w:rFonts w:ascii="Arial" w:cs="Arial" w:eastAsia="Arial" w:hAnsi="Arial"/>
                  <w:sz w:val="20"/>
                  <w:szCs w:val="20"/>
                  <w:b w:val="1"/>
                  <w:bCs w:val="1"/>
                  <w:color w:val="0000EE"/>
                </w:rPr>
                <w:t>ITEM NO. 2 –</w:t>
              </w:r>
            </w:hyperlink>
          </w:p>
        </w:tc>
        <w:tc>
          <w:tcPr>
            <w:tcW w:w="3380" w:type="dxa"/>
            <w:vAlign w:val="bottom"/>
            <w:gridSpan w:val="32"/>
          </w:tcPr>
          <w:p>
            <w:pPr>
              <w:spacing w:after="0"/>
              <w:rPr>
                <w:rFonts w:ascii="Arial" w:cs="Arial" w:eastAsia="Arial" w:hAnsi="Arial"/>
                <w:sz w:val="20"/>
                <w:szCs w:val="20"/>
                <w:b w:val="1"/>
                <w:bCs w:val="1"/>
                <w:color w:val="0000EE"/>
              </w:rPr>
            </w:pPr>
            <w:hyperlink w:anchor="page75">
              <w:r>
                <w:rPr>
                  <w:rFonts w:ascii="Arial" w:cs="Arial" w:eastAsia="Arial" w:hAnsi="Arial"/>
                  <w:sz w:val="20"/>
                  <w:szCs w:val="20"/>
                  <w:b w:val="1"/>
                  <w:bCs w:val="1"/>
                  <w:color w:val="0000EE"/>
                </w:rPr>
                <w:t>Approval of, on an Advisory Basis,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EE"/>
            </w:tcBorders>
            <w:gridSpan w:val="30"/>
          </w:tcPr>
          <w:p>
            <w:pPr>
              <w:spacing w:after="0" w:line="196" w:lineRule="exact"/>
              <w:rPr>
                <w:rFonts w:ascii="Arial" w:cs="Arial" w:eastAsia="Arial" w:hAnsi="Arial"/>
                <w:sz w:val="20"/>
                <w:szCs w:val="20"/>
                <w:b w:val="1"/>
                <w:bCs w:val="1"/>
                <w:color w:val="0000EE"/>
              </w:rPr>
            </w:pPr>
            <w:hyperlink w:anchor="page75">
              <w:r>
                <w:rPr>
                  <w:rFonts w:ascii="Arial" w:cs="Arial" w:eastAsia="Arial" w:hAnsi="Arial"/>
                  <w:sz w:val="20"/>
                  <w:szCs w:val="20"/>
                  <w:b w:val="1"/>
                  <w:bCs w:val="1"/>
                  <w:color w:val="0000EE"/>
                </w:rPr>
                <w:t>Named Executive Officer</w:t>
              </w:r>
            </w:hyperlink>
          </w:p>
        </w:tc>
        <w:tc>
          <w:tcPr>
            <w:tcW w:w="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68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tcBorders>
            <w:gridSpan w:val="15"/>
          </w:tcPr>
          <w:p>
            <w:pPr>
              <w:spacing w:after="0" w:line="196" w:lineRule="exact"/>
              <w:rPr>
                <w:rFonts w:ascii="Arial" w:cs="Arial" w:eastAsia="Arial" w:hAnsi="Arial"/>
                <w:sz w:val="20"/>
                <w:szCs w:val="20"/>
                <w:b w:val="1"/>
                <w:bCs w:val="1"/>
                <w:color w:val="0000EE"/>
              </w:rPr>
            </w:pPr>
            <w:hyperlink w:anchor="page75">
              <w:r>
                <w:rPr>
                  <w:rFonts w:ascii="Arial" w:cs="Arial" w:eastAsia="Arial" w:hAnsi="Arial"/>
                  <w:sz w:val="20"/>
                  <w:szCs w:val="20"/>
                  <w:b w:val="1"/>
                  <w:bCs w:val="1"/>
                  <w:color w:val="0000EE"/>
                </w:rPr>
                <w:t>Compensation</w:t>
              </w:r>
            </w:hyperlink>
          </w:p>
        </w:tc>
        <w:tc>
          <w:tcPr>
            <w:tcW w:w="1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7"/>
          </w:tcPr>
          <w:p>
            <w:pPr>
              <w:spacing w:after="0"/>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ITEM NO. 3 –</w:t>
              </w:r>
            </w:hyperlink>
          </w:p>
        </w:tc>
        <w:tc>
          <w:tcPr>
            <w:tcW w:w="3380" w:type="dxa"/>
            <w:vAlign w:val="bottom"/>
            <w:gridSpan w:val="32"/>
          </w:tcPr>
          <w:p>
            <w:pPr>
              <w:spacing w:after="0"/>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Ratification of the Selection of</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tcBorders>
            <w:gridSpan w:val="23"/>
          </w:tcPr>
          <w:p>
            <w:pPr>
              <w:spacing w:after="0" w:line="196" w:lineRule="exact"/>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Ernst &amp; Young LLP as the</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top w:val="single" w:sz="8" w:color="0000EE"/>
            </w:tcBorders>
            <w:gridSpan w:val="16"/>
          </w:tcPr>
          <w:p>
            <w:pPr>
              <w:spacing w:after="0" w:line="196" w:lineRule="exact"/>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Company’s Independent</w:t>
              </w:r>
            </w:hyperlink>
          </w:p>
        </w:tc>
        <w:tc>
          <w:tcPr>
            <w:tcW w:w="1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Registered Public Accounting</w:t>
              </w:r>
            </w:hyperlink>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69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tcBorders>
            <w:gridSpan w:val="23"/>
          </w:tcPr>
          <w:p>
            <w:pPr>
              <w:spacing w:after="0" w:line="196" w:lineRule="exact"/>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Firm for 2018</w:t>
              </w:r>
            </w:hyperlink>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Audit Committee Report</w:t>
              </w:r>
            </w:hyperlink>
          </w:p>
        </w:tc>
        <w:tc>
          <w:tcPr>
            <w:tcW w:w="2940" w:type="dxa"/>
            <w:vAlign w:val="bottom"/>
            <w:gridSpan w:val="2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880" w:type="dxa"/>
            <w:vAlign w:val="bottom"/>
            <w:gridSpan w:val="3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Fees Paid to Independent Registered Public Accounting</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Firm</w:t>
              </w:r>
            </w:hyperlink>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gridSpan w:val="7"/>
          </w:tcPr>
          <w:p>
            <w:pPr>
              <w:spacing w:after="0"/>
              <w:rPr>
                <w:rFonts w:ascii="Arial" w:cs="Arial" w:eastAsia="Arial" w:hAnsi="Arial"/>
                <w:sz w:val="20"/>
                <w:szCs w:val="20"/>
                <w:b w:val="1"/>
                <w:bCs w:val="1"/>
                <w:color w:val="0000EE"/>
              </w:rPr>
            </w:pPr>
            <w:hyperlink w:anchor="page79">
              <w:r>
                <w:rPr>
                  <w:rFonts w:ascii="Arial" w:cs="Arial" w:eastAsia="Arial" w:hAnsi="Arial"/>
                  <w:sz w:val="20"/>
                  <w:szCs w:val="20"/>
                  <w:b w:val="1"/>
                  <w:bCs w:val="1"/>
                  <w:color w:val="0000EE"/>
                </w:rPr>
                <w:t>ITEM NO. 4 –</w:t>
              </w:r>
            </w:hyperlink>
          </w:p>
        </w:tc>
        <w:tc>
          <w:tcPr>
            <w:tcW w:w="3380" w:type="dxa"/>
            <w:vAlign w:val="bottom"/>
            <w:gridSpan w:val="32"/>
          </w:tcPr>
          <w:p>
            <w:pPr>
              <w:spacing w:after="0"/>
              <w:rPr>
                <w:rFonts w:ascii="Arial" w:cs="Arial" w:eastAsia="Arial" w:hAnsi="Arial"/>
                <w:sz w:val="20"/>
                <w:szCs w:val="20"/>
                <w:b w:val="1"/>
                <w:bCs w:val="1"/>
                <w:color w:val="0000EE"/>
              </w:rPr>
            </w:pPr>
            <w:hyperlink w:anchor="page79">
              <w:r>
                <w:rPr>
                  <w:rFonts w:ascii="Arial" w:cs="Arial" w:eastAsia="Arial" w:hAnsi="Arial"/>
                  <w:sz w:val="20"/>
                  <w:szCs w:val="20"/>
                  <w:b w:val="1"/>
                  <w:bCs w:val="1"/>
                  <w:color w:val="0000EE"/>
                </w:rPr>
                <w:t>Shareholder Proposal Regarding</w:t>
              </w:r>
            </w:hyperlink>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tcBorders>
            <w:gridSpan w:val="27"/>
          </w:tcPr>
          <w:p>
            <w:pPr>
              <w:spacing w:after="0" w:line="196" w:lineRule="exact"/>
              <w:rPr>
                <w:rFonts w:ascii="Arial" w:cs="Arial" w:eastAsia="Arial" w:hAnsi="Arial"/>
                <w:sz w:val="20"/>
                <w:szCs w:val="20"/>
                <w:b w:val="1"/>
                <w:bCs w:val="1"/>
                <w:color w:val="0000EE"/>
              </w:rPr>
            </w:pPr>
            <w:hyperlink w:anchor="page79">
              <w:r>
                <w:rPr>
                  <w:rFonts w:ascii="Arial" w:cs="Arial" w:eastAsia="Arial" w:hAnsi="Arial"/>
                  <w:sz w:val="20"/>
                  <w:szCs w:val="20"/>
                  <w:b w:val="1"/>
                  <w:bCs w:val="1"/>
                  <w:color w:val="0000EE"/>
                </w:rPr>
                <w:t>Independent Board Chairman</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7"/>
          </w:tcPr>
          <w:p>
            <w:pPr>
              <w:spacing w:after="0"/>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ITEM NO. 5 –</w:t>
              </w:r>
            </w:hyperlink>
          </w:p>
        </w:tc>
        <w:tc>
          <w:tcPr>
            <w:tcW w:w="3380" w:type="dxa"/>
            <w:vAlign w:val="bottom"/>
            <w:gridSpan w:val="32"/>
          </w:tcPr>
          <w:p>
            <w:pPr>
              <w:spacing w:after="0"/>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Shareholder Proposal Regarding</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tcBorders>
            <w:gridSpan w:val="27"/>
          </w:tcPr>
          <w:p>
            <w:pPr>
              <w:spacing w:after="0" w:line="196" w:lineRule="exact"/>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Shareholder Right to Act by</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top w:val="single" w:sz="8" w:color="0000EE"/>
            </w:tcBorders>
            <w:gridSpan w:val="20"/>
          </w:tcPr>
          <w:p>
            <w:pPr>
              <w:spacing w:after="0" w:line="196" w:lineRule="exact"/>
              <w:rPr>
                <w:rFonts w:ascii="Arial" w:cs="Arial" w:eastAsia="Arial" w:hAnsi="Arial"/>
                <w:sz w:val="20"/>
                <w:szCs w:val="20"/>
                <w:b w:val="1"/>
                <w:bCs w:val="1"/>
                <w:color w:val="0000EE"/>
              </w:rPr>
            </w:pPr>
            <w:hyperlink w:anchor="page81">
              <w:r>
                <w:rPr>
                  <w:rFonts w:ascii="Arial" w:cs="Arial" w:eastAsia="Arial" w:hAnsi="Arial"/>
                  <w:sz w:val="20"/>
                  <w:szCs w:val="20"/>
                  <w:b w:val="1"/>
                  <w:bCs w:val="1"/>
                  <w:color w:val="0000EE"/>
                </w:rPr>
                <w:t>Written Consent</w:t>
              </w:r>
            </w:hyperlink>
          </w:p>
        </w:tc>
        <w:tc>
          <w:tcPr>
            <w:tcW w:w="20" w:type="dxa"/>
            <w:vAlign w:val="bottom"/>
          </w:tcPr>
          <w:p>
            <w:pPr>
              <w:spacing w:after="0"/>
              <w:rPr>
                <w:sz w:val="17"/>
                <w:szCs w:val="17"/>
                <w:color w:val="auto"/>
              </w:rPr>
            </w:pPr>
          </w:p>
        </w:tc>
        <w:tc>
          <w:tcPr>
            <w:tcW w:w="260" w:type="dxa"/>
            <w:vAlign w:val="bottom"/>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7"/>
          </w:tcPr>
          <w:p>
            <w:pPr>
              <w:spacing w:after="0"/>
              <w:rPr>
                <w:rFonts w:ascii="Arial" w:cs="Arial" w:eastAsia="Arial" w:hAnsi="Arial"/>
                <w:sz w:val="20"/>
                <w:szCs w:val="20"/>
                <w:b w:val="1"/>
                <w:bCs w:val="1"/>
                <w:color w:val="0000EE"/>
              </w:rPr>
            </w:pPr>
            <w:hyperlink w:anchor="page83">
              <w:r>
                <w:rPr>
                  <w:rFonts w:ascii="Arial" w:cs="Arial" w:eastAsia="Arial" w:hAnsi="Arial"/>
                  <w:sz w:val="20"/>
                  <w:szCs w:val="20"/>
                  <w:b w:val="1"/>
                  <w:bCs w:val="1"/>
                  <w:color w:val="0000EE"/>
                </w:rPr>
                <w:t>ITEM NO. 6 –</w:t>
              </w:r>
            </w:hyperlink>
          </w:p>
        </w:tc>
        <w:tc>
          <w:tcPr>
            <w:tcW w:w="3380" w:type="dxa"/>
            <w:vAlign w:val="bottom"/>
            <w:gridSpan w:val="32"/>
          </w:tcPr>
          <w:p>
            <w:pPr>
              <w:spacing w:after="0"/>
              <w:rPr>
                <w:rFonts w:ascii="Arial" w:cs="Arial" w:eastAsia="Arial" w:hAnsi="Arial"/>
                <w:sz w:val="20"/>
                <w:szCs w:val="20"/>
                <w:b w:val="1"/>
                <w:bCs w:val="1"/>
                <w:color w:val="0000EE"/>
              </w:rPr>
            </w:pPr>
            <w:hyperlink w:anchor="page83">
              <w:r>
                <w:rPr>
                  <w:rFonts w:ascii="Arial" w:cs="Arial" w:eastAsia="Arial" w:hAnsi="Arial"/>
                  <w:sz w:val="20"/>
                  <w:szCs w:val="20"/>
                  <w:b w:val="1"/>
                  <w:bCs w:val="1"/>
                  <w:color w:val="0000EE"/>
                </w:rPr>
                <w:t>Shareholder Proposal Regarding</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tcBorders>
            <w:gridSpan w:val="27"/>
          </w:tcPr>
          <w:p>
            <w:pPr>
              <w:spacing w:after="0" w:line="196" w:lineRule="exact"/>
              <w:rPr>
                <w:rFonts w:ascii="Arial" w:cs="Arial" w:eastAsia="Arial" w:hAnsi="Arial"/>
                <w:sz w:val="20"/>
                <w:szCs w:val="20"/>
                <w:b w:val="1"/>
                <w:bCs w:val="1"/>
                <w:color w:val="0000EE"/>
              </w:rPr>
            </w:pPr>
            <w:hyperlink w:anchor="page83">
              <w:r>
                <w:rPr>
                  <w:rFonts w:ascii="Arial" w:cs="Arial" w:eastAsia="Arial" w:hAnsi="Arial"/>
                  <w:sz w:val="20"/>
                  <w:szCs w:val="20"/>
                  <w:b w:val="1"/>
                  <w:bCs w:val="1"/>
                  <w:color w:val="0000EE"/>
                </w:rPr>
                <w:t>Report on Greenhouse Gas</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32"/>
          </w:tcPr>
          <w:p>
            <w:pPr>
              <w:spacing w:after="0" w:line="196" w:lineRule="exact"/>
              <w:rPr>
                <w:rFonts w:ascii="Arial" w:cs="Arial" w:eastAsia="Arial" w:hAnsi="Arial"/>
                <w:sz w:val="20"/>
                <w:szCs w:val="20"/>
                <w:b w:val="1"/>
                <w:bCs w:val="1"/>
                <w:color w:val="0000EE"/>
              </w:rPr>
            </w:pPr>
            <w:hyperlink w:anchor="page83">
              <w:r>
                <w:rPr>
                  <w:rFonts w:ascii="Arial" w:cs="Arial" w:eastAsia="Arial" w:hAnsi="Arial"/>
                  <w:sz w:val="20"/>
                  <w:szCs w:val="20"/>
                  <w:b w:val="1"/>
                  <w:bCs w:val="1"/>
                  <w:color w:val="0000EE"/>
                </w:rPr>
                <w:t>Emissions and CAFE Standards</w:t>
              </w:r>
            </w:hyperlink>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gridSpan w:val="39"/>
          </w:tcPr>
          <w:p>
            <w:pPr>
              <w:spacing w:after="0"/>
              <w:rPr>
                <w:rFonts w:ascii="Arial" w:cs="Arial" w:eastAsia="Arial" w:hAnsi="Arial"/>
                <w:sz w:val="20"/>
                <w:szCs w:val="20"/>
                <w:b w:val="1"/>
                <w:bCs w:val="1"/>
                <w:color w:val="0000EE"/>
              </w:rPr>
            </w:pPr>
            <w:hyperlink w:anchor="page85">
              <w:r>
                <w:rPr>
                  <w:rFonts w:ascii="Arial" w:cs="Arial" w:eastAsia="Arial" w:hAnsi="Arial"/>
                  <w:sz w:val="20"/>
                  <w:szCs w:val="20"/>
                  <w:b w:val="1"/>
                  <w:bCs w:val="1"/>
                  <w:color w:val="0000EE"/>
                </w:rPr>
                <w:t>GENERAL INFORMATION ABOUT</w:t>
              </w:r>
            </w:hyperlink>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78</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20"/>
          </w:tcPr>
          <w:p>
            <w:pPr>
              <w:spacing w:after="0" w:line="183" w:lineRule="exact"/>
              <w:rPr>
                <w:rFonts w:ascii="Arial" w:cs="Arial" w:eastAsia="Arial" w:hAnsi="Arial"/>
                <w:sz w:val="20"/>
                <w:szCs w:val="20"/>
                <w:b w:val="1"/>
                <w:bCs w:val="1"/>
                <w:color w:val="0000EE"/>
              </w:rPr>
            </w:pPr>
            <w:hyperlink w:anchor="page85">
              <w:r>
                <w:rPr>
                  <w:rFonts w:ascii="Arial" w:cs="Arial" w:eastAsia="Arial" w:hAnsi="Arial"/>
                  <w:sz w:val="20"/>
                  <w:szCs w:val="20"/>
                  <w:b w:val="1"/>
                  <w:bCs w:val="1"/>
                  <w:color w:val="0000EE"/>
                </w:rPr>
                <w:t>THE ANNUAL MEETING</w:t>
              </w:r>
            </w:hyperlink>
          </w:p>
        </w:tc>
        <w:tc>
          <w:tcPr>
            <w:tcW w:w="640" w:type="dxa"/>
            <w:vAlign w:val="bottom"/>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260" w:type="dxa"/>
            <w:vAlign w:val="bottom"/>
            <w:gridSpan w:val="4"/>
          </w:tcPr>
          <w:p>
            <w:pPr>
              <w:spacing w:after="0"/>
              <w:rPr>
                <w:sz w:val="17"/>
                <w:szCs w:val="17"/>
                <w:color w:val="auto"/>
              </w:rPr>
            </w:pPr>
          </w:p>
        </w:tc>
        <w:tc>
          <w:tcPr>
            <w:tcW w:w="2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500" w:type="dxa"/>
            <w:vAlign w:val="bottom"/>
            <w:gridSpan w:val="7"/>
          </w:tcPr>
          <w:p>
            <w:pPr>
              <w:spacing w:after="0"/>
              <w:rPr>
                <w:rFonts w:ascii="Arial" w:cs="Arial" w:eastAsia="Arial" w:hAnsi="Arial"/>
                <w:sz w:val="20"/>
                <w:szCs w:val="20"/>
                <w:b w:val="1"/>
                <w:bCs w:val="1"/>
                <w:color w:val="0000EE"/>
              </w:rPr>
            </w:pPr>
            <w:hyperlink w:anchor="page88">
              <w:r>
                <w:rPr>
                  <w:rFonts w:ascii="Arial" w:cs="Arial" w:eastAsia="Arial" w:hAnsi="Arial"/>
                  <w:sz w:val="20"/>
                  <w:szCs w:val="20"/>
                  <w:b w:val="1"/>
                  <w:bCs w:val="1"/>
                  <w:color w:val="0000EE"/>
                </w:rPr>
                <w:t>APPENDIX A –</w:t>
              </w:r>
            </w:hyperlink>
          </w:p>
        </w:tc>
        <w:tc>
          <w:tcPr>
            <w:tcW w:w="3380" w:type="dxa"/>
            <w:vAlign w:val="bottom"/>
            <w:gridSpan w:val="32"/>
          </w:tcPr>
          <w:p>
            <w:pPr>
              <w:spacing w:after="0"/>
              <w:rPr>
                <w:rFonts w:ascii="Arial" w:cs="Arial" w:eastAsia="Arial" w:hAnsi="Arial"/>
                <w:sz w:val="20"/>
                <w:szCs w:val="20"/>
                <w:b w:val="1"/>
                <w:bCs w:val="1"/>
                <w:color w:val="0000EE"/>
              </w:rPr>
            </w:pPr>
            <w:hyperlink w:anchor="page88">
              <w:r>
                <w:rPr>
                  <w:rFonts w:ascii="Arial" w:cs="Arial" w:eastAsia="Arial" w:hAnsi="Arial"/>
                  <w:sz w:val="20"/>
                  <w:szCs w:val="20"/>
                  <w:b w:val="1"/>
                  <w:bCs w:val="1"/>
                  <w:color w:val="0000EE"/>
                </w:rPr>
                <w:t>Reconciliation of GAAP and</w:t>
              </w:r>
            </w:hyperlink>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A-1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gridSpan w:val="14"/>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360" w:type="dxa"/>
            <w:vAlign w:val="bottom"/>
            <w:gridSpan w:val="31"/>
          </w:tcPr>
          <w:p>
            <w:pPr>
              <w:spacing w:after="0" w:line="196" w:lineRule="exact"/>
              <w:rPr>
                <w:rFonts w:ascii="Arial" w:cs="Arial" w:eastAsia="Arial" w:hAnsi="Arial"/>
                <w:sz w:val="20"/>
                <w:szCs w:val="20"/>
                <w:b w:val="1"/>
                <w:bCs w:val="1"/>
                <w:color w:val="0000EE"/>
              </w:rPr>
            </w:pPr>
            <w:hyperlink w:anchor="page88">
              <w:r>
                <w:rPr>
                  <w:rFonts w:ascii="Arial" w:cs="Arial" w:eastAsia="Arial" w:hAnsi="Arial"/>
                  <w:sz w:val="20"/>
                  <w:szCs w:val="20"/>
                  <w:b w:val="1"/>
                  <w:bCs w:val="1"/>
                  <w:color w:val="0000EE"/>
                </w:rPr>
                <w:t>Non-GAAP Financial Measures</w:t>
              </w:r>
            </w:hyperlink>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gridSpan w:val="7"/>
          </w:tcPr>
          <w:p>
            <w:pPr>
              <w:spacing w:after="0"/>
              <w:rPr>
                <w:rFonts w:ascii="Arial" w:cs="Arial" w:eastAsia="Arial" w:hAnsi="Arial"/>
                <w:sz w:val="20"/>
                <w:szCs w:val="20"/>
                <w:b w:val="1"/>
                <w:bCs w:val="1"/>
                <w:color w:val="0000EE"/>
              </w:rPr>
            </w:pPr>
            <w:hyperlink w:anchor="page90">
              <w:r>
                <w:rPr>
                  <w:rFonts w:ascii="Arial" w:cs="Arial" w:eastAsia="Arial" w:hAnsi="Arial"/>
                  <w:sz w:val="20"/>
                  <w:szCs w:val="20"/>
                  <w:b w:val="1"/>
                  <w:bCs w:val="1"/>
                  <w:color w:val="0000EE"/>
                </w:rPr>
                <w:t>APPENDIX B –</w:t>
              </w:r>
            </w:hyperlink>
          </w:p>
        </w:tc>
        <w:tc>
          <w:tcPr>
            <w:tcW w:w="3380" w:type="dxa"/>
            <w:vAlign w:val="bottom"/>
            <w:gridSpan w:val="32"/>
          </w:tcPr>
          <w:p>
            <w:pPr>
              <w:spacing w:after="0"/>
              <w:rPr>
                <w:rFonts w:ascii="Arial" w:cs="Arial" w:eastAsia="Arial" w:hAnsi="Arial"/>
                <w:sz w:val="20"/>
                <w:szCs w:val="20"/>
                <w:b w:val="1"/>
                <w:bCs w:val="1"/>
                <w:color w:val="0000EE"/>
              </w:rPr>
            </w:pPr>
            <w:hyperlink w:anchor="page90">
              <w:r>
                <w:rPr>
                  <w:rFonts w:ascii="Arial" w:cs="Arial" w:eastAsia="Arial" w:hAnsi="Arial"/>
                  <w:sz w:val="20"/>
                  <w:szCs w:val="20"/>
                  <w:b w:val="1"/>
                  <w:bCs w:val="1"/>
                  <w:color w:val="0000EE"/>
                </w:rPr>
                <w:t>Additional Information Regarding</w:t>
              </w:r>
            </w:hyperlink>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28"/>
          </w:tcPr>
          <w:p>
            <w:pPr>
              <w:spacing w:after="0" w:line="196" w:lineRule="exact"/>
              <w:rPr>
                <w:rFonts w:ascii="Arial" w:cs="Arial" w:eastAsia="Arial" w:hAnsi="Arial"/>
                <w:sz w:val="20"/>
                <w:szCs w:val="20"/>
                <w:b w:val="1"/>
                <w:bCs w:val="1"/>
                <w:color w:val="0000EE"/>
                <w:w w:val="93"/>
              </w:rPr>
            </w:pPr>
            <w:hyperlink w:anchor="page90">
              <w:r>
                <w:rPr>
                  <w:rFonts w:ascii="Arial" w:cs="Arial" w:eastAsia="Arial" w:hAnsi="Arial"/>
                  <w:sz w:val="20"/>
                  <w:szCs w:val="20"/>
                  <w:b w:val="1"/>
                  <w:bCs w:val="1"/>
                  <w:color w:val="0000EE"/>
                  <w:w w:val="93"/>
                </w:rPr>
                <w:t>Change of Independent Registered</w:t>
              </w:r>
            </w:hyperlink>
          </w:p>
        </w:tc>
        <w:tc>
          <w:tcPr>
            <w:tcW w:w="140" w:type="dxa"/>
            <w:vAlign w:val="bottom"/>
            <w:tcBorders>
              <w:bottom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B-1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30"/>
          </w:tcPr>
          <w:p>
            <w:pPr>
              <w:spacing w:after="0" w:line="196" w:lineRule="exact"/>
              <w:rPr>
                <w:rFonts w:ascii="Arial" w:cs="Arial" w:eastAsia="Arial" w:hAnsi="Arial"/>
                <w:sz w:val="20"/>
                <w:szCs w:val="20"/>
                <w:b w:val="1"/>
                <w:bCs w:val="1"/>
                <w:color w:val="0000EE"/>
              </w:rPr>
            </w:pPr>
            <w:hyperlink w:anchor="page90">
              <w:r>
                <w:rPr>
                  <w:rFonts w:ascii="Arial" w:cs="Arial" w:eastAsia="Arial" w:hAnsi="Arial"/>
                  <w:sz w:val="20"/>
                  <w:szCs w:val="20"/>
                  <w:b w:val="1"/>
                  <w:bCs w:val="1"/>
                  <w:color w:val="0000EE"/>
                </w:rPr>
                <w:t>Public Accounting Firms</w:t>
              </w:r>
            </w:hyperlink>
          </w:p>
        </w:tc>
        <w:tc>
          <w:tcPr>
            <w:tcW w:w="100" w:type="dxa"/>
            <w:vAlign w:val="bottom"/>
            <w:gridSpan w:val="2"/>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-6490970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38"/>
          <w:szCs w:val="38"/>
          <w:color w:val="0033A0"/>
        </w:rPr>
        <w:t>PROXY STATEMENT SUMMARY</w:t>
      </w:r>
    </w:p>
    <w:p>
      <w:pPr>
        <w:spacing w:after="0" w:line="19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b w:val="1"/>
          <w:bCs w:val="1"/>
          <w:color w:val="auto"/>
        </w:rPr>
        <w:t>This summary highlights information contained elsewhere in this Proxy Statement. It does not contain all of the information that you should consider. Please read the entire Proxy Statement carefully before voting.</w:t>
      </w:r>
    </w:p>
    <w:p>
      <w:pPr>
        <w:spacing w:after="0" w:line="388"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Agenda and Voting Recommendations</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78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Proposal</w:t>
            </w:r>
          </w:p>
        </w:tc>
        <w:tc>
          <w:tcPr>
            <w:tcW w:w="2920" w:type="dxa"/>
            <w:vAlign w:val="bottom"/>
            <w:tcBorders>
              <w:top w:val="single" w:sz="8" w:color="00A1DF"/>
              <w:bottom w:val="single" w:sz="8" w:color="00A1DF"/>
            </w:tcBorders>
          </w:tcPr>
          <w:p>
            <w:pPr>
              <w:jc w:val="center"/>
              <w:spacing w:after="0"/>
              <w:rPr>
                <w:sz w:val="20"/>
                <w:szCs w:val="20"/>
                <w:color w:val="auto"/>
              </w:rPr>
            </w:pPr>
            <w:r>
              <w:rPr>
                <w:rFonts w:ascii="Arial" w:cs="Arial" w:eastAsia="Arial" w:hAnsi="Arial"/>
                <w:sz w:val="16"/>
                <w:szCs w:val="16"/>
                <w:b w:val="1"/>
                <w:bCs w:val="1"/>
                <w:color w:val="00A1DF"/>
              </w:rPr>
              <w:t>Board Vote Recommendation</w:t>
            </w:r>
          </w:p>
        </w:tc>
        <w:tc>
          <w:tcPr>
            <w:tcW w:w="232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6"/>
                <w:szCs w:val="16"/>
                <w:b w:val="1"/>
                <w:bCs w:val="1"/>
                <w:color w:val="00A1DF"/>
              </w:rPr>
              <w:t>Page Reference</w:t>
            </w:r>
          </w:p>
        </w:tc>
        <w:tc>
          <w:tcPr>
            <w:tcW w:w="0" w:type="dxa"/>
            <w:vAlign w:val="bottom"/>
          </w:tcPr>
          <w:p>
            <w:pPr>
              <w:spacing w:after="0"/>
              <w:rPr>
                <w:sz w:val="1"/>
                <w:szCs w:val="1"/>
                <w:color w:val="auto"/>
              </w:rPr>
            </w:pPr>
          </w:p>
        </w:tc>
      </w:tr>
      <w:tr>
        <w:trPr>
          <w:trHeight w:val="250"/>
        </w:trPr>
        <w:tc>
          <w:tcPr>
            <w:tcW w:w="5780" w:type="dxa"/>
            <w:vAlign w:val="bottom"/>
            <w:shd w:val="clear" w:color="auto" w:fill="E5F5FB"/>
          </w:tcPr>
          <w:p>
            <w:pPr>
              <w:ind w:left="80"/>
              <w:spacing w:after="0"/>
              <w:rPr>
                <w:sz w:val="20"/>
                <w:szCs w:val="20"/>
                <w:color w:val="auto"/>
              </w:rPr>
            </w:pPr>
            <w:r>
              <w:rPr>
                <w:rFonts w:ascii="Arial" w:cs="Arial" w:eastAsia="Arial" w:hAnsi="Arial"/>
                <w:sz w:val="16"/>
                <w:szCs w:val="16"/>
                <w:b w:val="1"/>
                <w:bCs w:val="1"/>
                <w:color w:val="auto"/>
              </w:rPr>
              <w:t>MANAGEMENT PROPOSALS:</w:t>
            </w:r>
          </w:p>
        </w:tc>
        <w:tc>
          <w:tcPr>
            <w:tcW w:w="2920" w:type="dxa"/>
            <w:vAlign w:val="bottom"/>
            <w:shd w:val="clear" w:color="auto" w:fill="E5F5FB"/>
          </w:tcPr>
          <w:p>
            <w:pPr>
              <w:spacing w:after="0"/>
              <w:rPr>
                <w:sz w:val="21"/>
                <w:szCs w:val="21"/>
                <w:color w:val="auto"/>
              </w:rPr>
            </w:pPr>
          </w:p>
        </w:tc>
        <w:tc>
          <w:tcPr>
            <w:tcW w:w="2320" w:type="dxa"/>
            <w:vAlign w:val="bottom"/>
            <w:shd w:val="clear" w:color="auto" w:fill="E5F5F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xml:space="preserve">Item No. 1 </w:t>
            </w:r>
            <w:r>
              <w:rPr>
                <w:rFonts w:ascii="Arial" w:cs="Arial" w:eastAsia="Arial" w:hAnsi="Arial"/>
                <w:sz w:val="16"/>
                <w:szCs w:val="16"/>
                <w:color w:val="auto"/>
              </w:rPr>
              <w:t>–  Election of Directors</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33A0"/>
              </w:rPr>
              <w:t>FOR</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7</w:t>
            </w:r>
          </w:p>
        </w:tc>
        <w:tc>
          <w:tcPr>
            <w:tcW w:w="0" w:type="dxa"/>
            <w:vAlign w:val="bottom"/>
          </w:tcPr>
          <w:p>
            <w:pPr>
              <w:spacing w:after="0"/>
              <w:rPr>
                <w:sz w:val="1"/>
                <w:szCs w:val="1"/>
                <w:color w:val="auto"/>
              </w:rPr>
            </w:pPr>
          </w:p>
        </w:tc>
      </w:tr>
      <w:tr>
        <w:trPr>
          <w:trHeight w:val="231"/>
        </w:trPr>
        <w:tc>
          <w:tcPr>
            <w:tcW w:w="5780" w:type="dxa"/>
            <w:vAlign w:val="bottom"/>
          </w:tcPr>
          <w:p>
            <w:pPr>
              <w:ind w:left="80"/>
              <w:spacing w:after="0"/>
              <w:rPr>
                <w:sz w:val="20"/>
                <w:szCs w:val="20"/>
                <w:color w:val="auto"/>
              </w:rPr>
            </w:pPr>
            <w:r>
              <w:rPr>
                <w:rFonts w:ascii="Arial" w:cs="Arial" w:eastAsia="Arial" w:hAnsi="Arial"/>
                <w:sz w:val="16"/>
                <w:szCs w:val="16"/>
                <w:b w:val="1"/>
                <w:bCs w:val="1"/>
                <w:color w:val="auto"/>
              </w:rPr>
              <w:t xml:space="preserve">Item No. 2 </w:t>
            </w:r>
            <w:r>
              <w:rPr>
                <w:rFonts w:ascii="Arial" w:cs="Arial" w:eastAsia="Arial" w:hAnsi="Arial"/>
                <w:sz w:val="16"/>
                <w:szCs w:val="16"/>
                <w:color w:val="auto"/>
              </w:rPr>
              <w:t>–  Approval of, on an Advisory Basis,</w:t>
            </w:r>
          </w:p>
        </w:tc>
        <w:tc>
          <w:tcPr>
            <w:tcW w:w="2920" w:type="dxa"/>
            <w:vAlign w:val="bottom"/>
            <w:vMerge w:val="restart"/>
          </w:tcPr>
          <w:p>
            <w:pPr>
              <w:jc w:val="center"/>
              <w:spacing w:after="0"/>
              <w:rPr>
                <w:sz w:val="20"/>
                <w:szCs w:val="20"/>
                <w:color w:val="auto"/>
              </w:rPr>
            </w:pPr>
            <w:r>
              <w:rPr>
                <w:rFonts w:ascii="Arial" w:cs="Arial" w:eastAsia="Arial" w:hAnsi="Arial"/>
                <w:sz w:val="16"/>
                <w:szCs w:val="16"/>
                <w:b w:val="1"/>
                <w:bCs w:val="1"/>
                <w:color w:val="0033A0"/>
              </w:rPr>
              <w:t>FOR</w:t>
            </w: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87"/>
        </w:trPr>
        <w:tc>
          <w:tcPr>
            <w:tcW w:w="5780" w:type="dxa"/>
            <w:vAlign w:val="bottom"/>
            <w:vMerge w:val="restart"/>
          </w:tcPr>
          <w:p>
            <w:pPr>
              <w:ind w:left="1120"/>
              <w:spacing w:after="0"/>
              <w:rPr>
                <w:sz w:val="20"/>
                <w:szCs w:val="20"/>
                <w:color w:val="auto"/>
              </w:rPr>
            </w:pPr>
            <w:r>
              <w:rPr>
                <w:rFonts w:ascii="Arial" w:cs="Arial" w:eastAsia="Arial" w:hAnsi="Arial"/>
                <w:sz w:val="16"/>
                <w:szCs w:val="16"/>
                <w:color w:val="auto"/>
              </w:rPr>
              <w:t>Named Executive Officer Compensation</w:t>
            </w:r>
          </w:p>
        </w:tc>
        <w:tc>
          <w:tcPr>
            <w:tcW w:w="292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5780" w:type="dxa"/>
            <w:vAlign w:val="bottom"/>
            <w:tcBorders>
              <w:bottom w:val="single" w:sz="8" w:color="auto"/>
            </w:tcBorders>
            <w:vMerge w:val="continue"/>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780" w:type="dxa"/>
            <w:vAlign w:val="bottom"/>
          </w:tcPr>
          <w:p>
            <w:pPr>
              <w:ind w:left="80"/>
              <w:spacing w:after="0"/>
              <w:rPr>
                <w:sz w:val="20"/>
                <w:szCs w:val="20"/>
                <w:color w:val="auto"/>
              </w:rPr>
            </w:pPr>
            <w:r>
              <w:rPr>
                <w:rFonts w:ascii="Arial" w:cs="Arial" w:eastAsia="Arial" w:hAnsi="Arial"/>
                <w:sz w:val="16"/>
                <w:szCs w:val="16"/>
                <w:b w:val="1"/>
                <w:bCs w:val="1"/>
                <w:color w:val="auto"/>
              </w:rPr>
              <w:t xml:space="preserve">Item No. 3 </w:t>
            </w:r>
            <w:r>
              <w:rPr>
                <w:rFonts w:ascii="Arial" w:cs="Arial" w:eastAsia="Arial" w:hAnsi="Arial"/>
                <w:sz w:val="16"/>
                <w:szCs w:val="16"/>
                <w:color w:val="auto"/>
              </w:rPr>
              <w:t>–  Ratification of the Selection of</w:t>
            </w:r>
          </w:p>
        </w:tc>
        <w:tc>
          <w:tcPr>
            <w:tcW w:w="2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80" w:type="dxa"/>
            <w:vAlign w:val="bottom"/>
          </w:tcPr>
          <w:p>
            <w:pPr>
              <w:ind w:left="1120"/>
              <w:spacing w:after="0"/>
              <w:rPr>
                <w:sz w:val="20"/>
                <w:szCs w:val="20"/>
                <w:color w:val="auto"/>
              </w:rPr>
            </w:pPr>
            <w:r>
              <w:rPr>
                <w:rFonts w:ascii="Arial" w:cs="Arial" w:eastAsia="Arial" w:hAnsi="Arial"/>
                <w:sz w:val="16"/>
                <w:szCs w:val="16"/>
                <w:color w:val="auto"/>
              </w:rPr>
              <w:t>Ernst &amp; Young LLP as the Company’s Independent</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0033A0"/>
              </w:rPr>
              <w:t>FOR</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195"/>
        </w:trPr>
        <w:tc>
          <w:tcPr>
            <w:tcW w:w="5780" w:type="dxa"/>
            <w:vAlign w:val="bottom"/>
          </w:tcPr>
          <w:p>
            <w:pPr>
              <w:ind w:left="1120"/>
              <w:spacing w:after="0"/>
              <w:rPr>
                <w:sz w:val="20"/>
                <w:szCs w:val="20"/>
                <w:color w:val="auto"/>
              </w:rPr>
            </w:pPr>
            <w:r>
              <w:rPr>
                <w:rFonts w:ascii="Arial" w:cs="Arial" w:eastAsia="Arial" w:hAnsi="Arial"/>
                <w:sz w:val="16"/>
                <w:szCs w:val="16"/>
                <w:color w:val="auto"/>
              </w:rPr>
              <w:t>Registered Public Accounting Firm for 2018</w:t>
            </w:r>
          </w:p>
        </w:tc>
        <w:tc>
          <w:tcPr>
            <w:tcW w:w="29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780" w:type="dxa"/>
            <w:vAlign w:val="bottom"/>
            <w:tcBorders>
              <w:bottom w:val="single" w:sz="8" w:color="00A1DF"/>
            </w:tcBorders>
          </w:tcPr>
          <w:p>
            <w:pPr>
              <w:spacing w:after="0"/>
              <w:rPr>
                <w:sz w:val="11"/>
                <w:szCs w:val="11"/>
                <w:color w:val="auto"/>
              </w:rPr>
            </w:pPr>
          </w:p>
        </w:tc>
        <w:tc>
          <w:tcPr>
            <w:tcW w:w="2920" w:type="dxa"/>
            <w:vAlign w:val="bottom"/>
            <w:tcBorders>
              <w:bottom w:val="single" w:sz="8" w:color="00A1DF"/>
            </w:tcBorders>
          </w:tcPr>
          <w:p>
            <w:pPr>
              <w:spacing w:after="0"/>
              <w:rPr>
                <w:sz w:val="11"/>
                <w:szCs w:val="11"/>
                <w:color w:val="auto"/>
              </w:rPr>
            </w:pPr>
          </w:p>
        </w:tc>
        <w:tc>
          <w:tcPr>
            <w:tcW w:w="2320" w:type="dxa"/>
            <w:vAlign w:val="bottom"/>
            <w:tcBorders>
              <w:bottom w:val="single" w:sz="8" w:color="00A1DF"/>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780" w:type="dxa"/>
            <w:vAlign w:val="bottom"/>
            <w:shd w:val="clear" w:color="auto" w:fill="E5F5FB"/>
          </w:tcPr>
          <w:p>
            <w:pPr>
              <w:ind w:left="80"/>
              <w:spacing w:after="0"/>
              <w:rPr>
                <w:sz w:val="20"/>
                <w:szCs w:val="20"/>
                <w:color w:val="auto"/>
              </w:rPr>
            </w:pPr>
            <w:r>
              <w:rPr>
                <w:rFonts w:ascii="Arial" w:cs="Arial" w:eastAsia="Arial" w:hAnsi="Arial"/>
                <w:sz w:val="16"/>
                <w:szCs w:val="16"/>
                <w:b w:val="1"/>
                <w:bCs w:val="1"/>
                <w:color w:val="auto"/>
              </w:rPr>
              <w:t>SHAREHOLDER PROPOSALS:</w:t>
            </w:r>
          </w:p>
        </w:tc>
        <w:tc>
          <w:tcPr>
            <w:tcW w:w="2920" w:type="dxa"/>
            <w:vAlign w:val="bottom"/>
            <w:shd w:val="clear" w:color="auto" w:fill="E5F5FB"/>
          </w:tcPr>
          <w:p>
            <w:pPr>
              <w:spacing w:after="0"/>
              <w:rPr>
                <w:sz w:val="21"/>
                <w:szCs w:val="21"/>
                <w:color w:val="auto"/>
              </w:rPr>
            </w:pPr>
          </w:p>
        </w:tc>
        <w:tc>
          <w:tcPr>
            <w:tcW w:w="2320" w:type="dxa"/>
            <w:vAlign w:val="bottom"/>
            <w:shd w:val="clear" w:color="auto" w:fill="E5F5F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xml:space="preserve">Item No. 4 </w:t>
            </w:r>
            <w:r>
              <w:rPr>
                <w:rFonts w:ascii="Arial" w:cs="Arial" w:eastAsia="Arial" w:hAnsi="Arial"/>
                <w:sz w:val="16"/>
                <w:szCs w:val="16"/>
                <w:color w:val="auto"/>
              </w:rPr>
              <w:t>–  Independent Board Chairman</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33A0"/>
                <w:w w:val="99"/>
              </w:rPr>
              <w:t>AGAINST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xml:space="preserve">Item No. 5 </w:t>
            </w:r>
            <w:r>
              <w:rPr>
                <w:rFonts w:ascii="Arial" w:cs="Arial" w:eastAsia="Arial" w:hAnsi="Arial"/>
                <w:sz w:val="16"/>
                <w:szCs w:val="16"/>
                <w:color w:val="auto"/>
              </w:rPr>
              <w:t>–  Shareholder Right to Act by Written Consent</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33A0"/>
                <w:w w:val="99"/>
              </w:rPr>
              <w:t>AGAINST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xml:space="preserve">Item No. 6 </w:t>
            </w:r>
            <w:r>
              <w:rPr>
                <w:rFonts w:ascii="Arial" w:cs="Arial" w:eastAsia="Arial" w:hAnsi="Arial"/>
                <w:sz w:val="16"/>
                <w:szCs w:val="16"/>
                <w:color w:val="auto"/>
              </w:rPr>
              <w:t>–  Report on Greenhouse Gas Emissions and CAFE Standards</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33A0"/>
                <w:w w:val="99"/>
              </w:rPr>
              <w:t>AGAINST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316230</wp:posOffset>
            </wp:positionV>
            <wp:extent cx="6946265" cy="174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26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33A0"/>
        </w:rPr>
        <w:t>Composition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245745</wp:posOffset>
            </wp:positionV>
            <wp:extent cx="6182995" cy="144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299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00"/>
        <w:spacing w:after="0"/>
        <w:rPr>
          <w:sz w:val="20"/>
          <w:szCs w:val="20"/>
          <w:color w:val="auto"/>
        </w:rPr>
      </w:pPr>
      <w:r>
        <w:rPr>
          <w:rFonts w:ascii="Arial" w:cs="Arial" w:eastAsia="Arial" w:hAnsi="Arial"/>
          <w:sz w:val="14"/>
          <w:szCs w:val="14"/>
          <w:color w:val="0033A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The following table provides summary information about each director nominee. For more detailed information about our directors, see “Item No. 1— Election of Directors—Your Board’s Nominees for Director” on page 10.</w:t>
      </w: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1680" w:type="dxa"/>
            <w:vAlign w:val="bottom"/>
            <w:tcBorders>
              <w:top w:val="single" w:sz="8" w:color="00A1DF"/>
            </w:tcBorders>
          </w:tcPr>
          <w:p>
            <w:pPr>
              <w:spacing w:after="0"/>
              <w:rPr>
                <w:sz w:val="16"/>
                <w:szCs w:val="16"/>
                <w:color w:val="auto"/>
              </w:rPr>
            </w:pPr>
          </w:p>
        </w:tc>
        <w:tc>
          <w:tcPr>
            <w:tcW w:w="640" w:type="dxa"/>
            <w:vAlign w:val="bottom"/>
            <w:tcBorders>
              <w:top w:val="single" w:sz="8" w:color="00A1DF"/>
            </w:tcBorders>
          </w:tcPr>
          <w:p>
            <w:pPr>
              <w:spacing w:after="0"/>
              <w:rPr>
                <w:sz w:val="16"/>
                <w:szCs w:val="16"/>
                <w:color w:val="auto"/>
              </w:rPr>
            </w:pPr>
          </w:p>
        </w:tc>
        <w:tc>
          <w:tcPr>
            <w:tcW w:w="960" w:type="dxa"/>
            <w:vAlign w:val="bottom"/>
            <w:tcBorders>
              <w:top w:val="single" w:sz="8" w:color="00A1DF"/>
            </w:tcBorders>
          </w:tcPr>
          <w:p>
            <w:pPr>
              <w:jc w:val="center"/>
              <w:spacing w:after="0"/>
              <w:rPr>
                <w:sz w:val="20"/>
                <w:szCs w:val="20"/>
                <w:color w:val="auto"/>
              </w:rPr>
            </w:pPr>
            <w:r>
              <w:rPr>
                <w:rFonts w:ascii="Arial" w:cs="Arial" w:eastAsia="Arial" w:hAnsi="Arial"/>
                <w:sz w:val="16"/>
                <w:szCs w:val="16"/>
                <w:b w:val="1"/>
                <w:bCs w:val="1"/>
                <w:color w:val="00A1DF"/>
              </w:rPr>
              <w:t>Director</w:t>
            </w:r>
          </w:p>
        </w:tc>
        <w:tc>
          <w:tcPr>
            <w:tcW w:w="3160" w:type="dxa"/>
            <w:vAlign w:val="bottom"/>
            <w:tcBorders>
              <w:top w:val="single" w:sz="8" w:color="00A1DF"/>
            </w:tcBorders>
          </w:tcPr>
          <w:p>
            <w:pPr>
              <w:spacing w:after="0"/>
              <w:rPr>
                <w:sz w:val="16"/>
                <w:szCs w:val="16"/>
                <w:color w:val="auto"/>
              </w:rPr>
            </w:pPr>
          </w:p>
        </w:tc>
        <w:tc>
          <w:tcPr>
            <w:tcW w:w="1760" w:type="dxa"/>
            <w:vAlign w:val="bottom"/>
            <w:tcBorders>
              <w:top w:val="single" w:sz="8" w:color="00A1DF"/>
            </w:tcBorders>
          </w:tcPr>
          <w:p>
            <w:pPr>
              <w:spacing w:after="0"/>
              <w:rPr>
                <w:sz w:val="16"/>
                <w:szCs w:val="16"/>
                <w:color w:val="auto"/>
              </w:rPr>
            </w:pPr>
          </w:p>
        </w:tc>
        <w:tc>
          <w:tcPr>
            <w:tcW w:w="2820" w:type="dxa"/>
            <w:vAlign w:val="bottom"/>
            <w:tcBorders>
              <w:top w:val="single" w:sz="8" w:color="00A1DF"/>
            </w:tcBorders>
          </w:tcPr>
          <w:p>
            <w:pPr>
              <w:ind w:left="1120"/>
              <w:spacing w:after="0"/>
              <w:rPr>
                <w:sz w:val="20"/>
                <w:szCs w:val="20"/>
                <w:color w:val="auto"/>
              </w:rPr>
            </w:pPr>
            <w:r>
              <w:rPr>
                <w:rFonts w:ascii="Arial" w:cs="Arial" w:eastAsia="Arial" w:hAnsi="Arial"/>
                <w:sz w:val="16"/>
                <w:szCs w:val="16"/>
                <w:b w:val="1"/>
                <w:bCs w:val="1"/>
                <w:color w:val="00A1DF"/>
              </w:rPr>
              <w:t>Committee</w:t>
            </w:r>
          </w:p>
        </w:tc>
        <w:tc>
          <w:tcPr>
            <w:tcW w:w="0" w:type="dxa"/>
            <w:vAlign w:val="bottom"/>
          </w:tcPr>
          <w:p>
            <w:pPr>
              <w:spacing w:after="0"/>
              <w:rPr>
                <w:sz w:val="1"/>
                <w:szCs w:val="1"/>
                <w:color w:val="auto"/>
              </w:rPr>
            </w:pPr>
          </w:p>
        </w:tc>
      </w:tr>
      <w:tr>
        <w:trPr>
          <w:trHeight w:val="207"/>
        </w:trPr>
        <w:tc>
          <w:tcPr>
            <w:tcW w:w="1680" w:type="dxa"/>
            <w:vAlign w:val="bottom"/>
            <w:tcBorders>
              <w:bottom w:val="single" w:sz="8" w:color="00A1DF"/>
            </w:tcBorders>
          </w:tcPr>
          <w:p>
            <w:pPr>
              <w:ind w:left="580"/>
              <w:spacing w:after="0"/>
              <w:rPr>
                <w:sz w:val="20"/>
                <w:szCs w:val="20"/>
                <w:color w:val="auto"/>
              </w:rPr>
            </w:pPr>
            <w:r>
              <w:rPr>
                <w:rFonts w:ascii="Arial" w:cs="Arial" w:eastAsia="Arial" w:hAnsi="Arial"/>
                <w:sz w:val="16"/>
                <w:szCs w:val="16"/>
                <w:b w:val="1"/>
                <w:bCs w:val="1"/>
                <w:color w:val="00A1DF"/>
              </w:rPr>
              <w:t>Name</w:t>
            </w:r>
          </w:p>
        </w:tc>
        <w:tc>
          <w:tcPr>
            <w:tcW w:w="64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Age</w:t>
            </w:r>
          </w:p>
        </w:tc>
        <w:tc>
          <w:tcPr>
            <w:tcW w:w="96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rPr>
              <w:t>Since</w:t>
            </w:r>
          </w:p>
        </w:tc>
        <w:tc>
          <w:tcPr>
            <w:tcW w:w="3160" w:type="dxa"/>
            <w:vAlign w:val="bottom"/>
            <w:tcBorders>
              <w:bottom w:val="single" w:sz="8" w:color="00A1DF"/>
            </w:tcBorders>
          </w:tcPr>
          <w:p>
            <w:pPr>
              <w:ind w:left="1000"/>
              <w:spacing w:after="0"/>
              <w:rPr>
                <w:sz w:val="20"/>
                <w:szCs w:val="20"/>
                <w:color w:val="auto"/>
              </w:rPr>
            </w:pPr>
            <w:r>
              <w:rPr>
                <w:rFonts w:ascii="Arial" w:cs="Arial" w:eastAsia="Arial" w:hAnsi="Arial"/>
                <w:sz w:val="16"/>
                <w:szCs w:val="16"/>
                <w:b w:val="1"/>
                <w:bCs w:val="1"/>
                <w:color w:val="00A1DF"/>
              </w:rPr>
              <w:t>Principal Occupation</w:t>
            </w:r>
          </w:p>
        </w:tc>
        <w:tc>
          <w:tcPr>
            <w:tcW w:w="1760" w:type="dxa"/>
            <w:vAlign w:val="bottom"/>
            <w:tcBorders>
              <w:bottom w:val="single" w:sz="8" w:color="00A1DF"/>
            </w:tcBorders>
          </w:tcPr>
          <w:p>
            <w:pPr>
              <w:ind w:left="520"/>
              <w:spacing w:after="0"/>
              <w:rPr>
                <w:sz w:val="20"/>
                <w:szCs w:val="20"/>
                <w:color w:val="auto"/>
              </w:rPr>
            </w:pPr>
            <w:r>
              <w:rPr>
                <w:rFonts w:ascii="Arial" w:cs="Arial" w:eastAsia="Arial" w:hAnsi="Arial"/>
                <w:sz w:val="16"/>
                <w:szCs w:val="16"/>
                <w:b w:val="1"/>
                <w:bCs w:val="1"/>
                <w:color w:val="00A1DF"/>
              </w:rPr>
              <w:t>Independent</w:t>
            </w:r>
          </w:p>
        </w:tc>
        <w:tc>
          <w:tcPr>
            <w:tcW w:w="2820" w:type="dxa"/>
            <w:vAlign w:val="bottom"/>
            <w:tcBorders>
              <w:bottom w:val="single" w:sz="8" w:color="00A1DF"/>
            </w:tcBorders>
          </w:tcPr>
          <w:p>
            <w:pPr>
              <w:ind w:left="1020"/>
              <w:spacing w:after="0"/>
              <w:rPr>
                <w:sz w:val="20"/>
                <w:szCs w:val="20"/>
                <w:color w:val="auto"/>
              </w:rPr>
            </w:pPr>
            <w:r>
              <w:rPr>
                <w:rFonts w:ascii="Arial" w:cs="Arial" w:eastAsia="Arial" w:hAnsi="Arial"/>
                <w:sz w:val="16"/>
                <w:szCs w:val="16"/>
                <w:b w:val="1"/>
                <w:bCs w:val="1"/>
                <w:color w:val="00A1DF"/>
              </w:rPr>
              <w:t>Memberships</w:t>
            </w:r>
          </w:p>
        </w:tc>
        <w:tc>
          <w:tcPr>
            <w:tcW w:w="0" w:type="dxa"/>
            <w:vAlign w:val="bottom"/>
          </w:tcPr>
          <w:p>
            <w:pPr>
              <w:spacing w:after="0"/>
              <w:rPr>
                <w:sz w:val="1"/>
                <w:szCs w:val="1"/>
                <w:color w:val="auto"/>
              </w:rPr>
            </w:pPr>
          </w:p>
        </w:tc>
      </w:tr>
      <w:tr>
        <w:trPr>
          <w:trHeight w:val="184"/>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Mary T. Barra</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Chairman &amp;</w:t>
            </w:r>
          </w:p>
        </w:tc>
        <w:tc>
          <w:tcPr>
            <w:tcW w:w="1760" w:type="dxa"/>
            <w:vAlign w:val="bottom"/>
          </w:tcPr>
          <w:p>
            <w:pPr>
              <w:spacing w:after="0"/>
              <w:rPr>
                <w:sz w:val="16"/>
                <w:szCs w:val="16"/>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 xml:space="preserve">Executive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89"/>
        </w:trPr>
        <w:tc>
          <w:tcPr>
            <w:tcW w:w="1680" w:type="dxa"/>
            <w:vAlign w:val="bottom"/>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56</w:t>
            </w:r>
          </w:p>
        </w:tc>
        <w:tc>
          <w:tcPr>
            <w:tcW w:w="960" w:type="dxa"/>
            <w:vAlign w:val="bottom"/>
          </w:tcPr>
          <w:p>
            <w:pPr>
              <w:jc w:val="center"/>
              <w:spacing w:after="0"/>
              <w:rPr>
                <w:sz w:val="20"/>
                <w:szCs w:val="20"/>
                <w:color w:val="auto"/>
              </w:rPr>
            </w:pPr>
            <w:r>
              <w:rPr>
                <w:rFonts w:ascii="Arial" w:cs="Arial" w:eastAsia="Arial" w:hAnsi="Arial"/>
                <w:sz w:val="16"/>
                <w:szCs w:val="16"/>
                <w:color w:val="auto"/>
              </w:rPr>
              <w:t>2014</w:t>
            </w:r>
          </w:p>
        </w:tc>
        <w:tc>
          <w:tcPr>
            <w:tcW w:w="3160" w:type="dxa"/>
            <w:vAlign w:val="bottom"/>
          </w:tcPr>
          <w:p>
            <w:pPr>
              <w:ind w:left="160"/>
              <w:spacing w:after="0"/>
              <w:rPr>
                <w:sz w:val="20"/>
                <w:szCs w:val="20"/>
                <w:color w:val="auto"/>
              </w:rPr>
            </w:pPr>
            <w:r>
              <w:rPr>
                <w:rFonts w:ascii="Arial" w:cs="Arial" w:eastAsia="Arial" w:hAnsi="Arial"/>
                <w:sz w:val="16"/>
                <w:szCs w:val="16"/>
                <w:color w:val="auto"/>
              </w:rPr>
              <w:t>Chief Executive Officer,</w:t>
            </w:r>
          </w:p>
        </w:tc>
        <w:tc>
          <w:tcPr>
            <w:tcW w:w="176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General Motors Company</w:t>
            </w:r>
          </w:p>
        </w:tc>
        <w:tc>
          <w:tcPr>
            <w:tcW w:w="17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Independent Lead Director,</w:t>
            </w:r>
          </w:p>
        </w:tc>
        <w:tc>
          <w:tcPr>
            <w:tcW w:w="1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Theodore M. Solso</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71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3160" w:type="dxa"/>
            <w:vAlign w:val="bottom"/>
          </w:tcPr>
          <w:p>
            <w:pPr>
              <w:ind w:left="160"/>
              <w:spacing w:after="0"/>
              <w:rPr>
                <w:sz w:val="20"/>
                <w:szCs w:val="20"/>
                <w:color w:val="auto"/>
              </w:rPr>
            </w:pPr>
            <w:r>
              <w:rPr>
                <w:rFonts w:ascii="Arial" w:cs="Arial" w:eastAsia="Arial" w:hAnsi="Arial"/>
                <w:sz w:val="16"/>
                <w:szCs w:val="16"/>
                <w:color w:val="auto"/>
              </w:rPr>
              <w:t>General Motors Company, and</w:t>
            </w:r>
          </w:p>
        </w:tc>
        <w:tc>
          <w:tcPr>
            <w:tcW w:w="1760" w:type="dxa"/>
            <w:vAlign w:val="bottom"/>
          </w:tcPr>
          <w:p>
            <w:pPr>
              <w:spacing w:after="0"/>
              <w:rPr>
                <w:sz w:val="16"/>
                <w:szCs w:val="16"/>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Retired Chairman &amp; Chief</w:t>
            </w:r>
          </w:p>
        </w:tc>
        <w:tc>
          <w:tcPr>
            <w:tcW w:w="176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Executive Officer, Cummins, Inc.</w:t>
            </w:r>
          </w:p>
        </w:tc>
        <w:tc>
          <w:tcPr>
            <w:tcW w:w="17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ind w:left="160"/>
              <w:spacing w:after="0" w:line="165" w:lineRule="exact"/>
              <w:rPr>
                <w:sz w:val="20"/>
                <w:szCs w:val="20"/>
                <w:color w:val="auto"/>
              </w:rPr>
            </w:pPr>
            <w:r>
              <w:rPr>
                <w:rFonts w:ascii="Arial" w:cs="Arial" w:eastAsia="Arial" w:hAnsi="Arial"/>
                <w:sz w:val="16"/>
                <w:szCs w:val="16"/>
                <w:color w:val="auto"/>
              </w:rPr>
              <w:t>Retired Executive Vice President,</w:t>
            </w:r>
          </w:p>
        </w:tc>
        <w:tc>
          <w:tcPr>
            <w:tcW w:w="1760" w:type="dxa"/>
            <w:vAlign w:val="bottom"/>
          </w:tcPr>
          <w:p>
            <w:pPr>
              <w:spacing w:after="0"/>
              <w:rPr>
                <w:sz w:val="14"/>
                <w:szCs w:val="14"/>
                <w:color w:val="auto"/>
              </w:rPr>
            </w:pPr>
          </w:p>
        </w:tc>
        <w:tc>
          <w:tcPr>
            <w:tcW w:w="2820" w:type="dxa"/>
            <w:vAlign w:val="bottom"/>
          </w:tcPr>
          <w:p>
            <w:pPr>
              <w:ind w:left="280"/>
              <w:spacing w:after="0" w:line="165" w:lineRule="exact"/>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09"/>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Linda R. Gooden</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3160" w:type="dxa"/>
            <w:vAlign w:val="bottom"/>
          </w:tcPr>
          <w:p>
            <w:pPr>
              <w:ind w:left="160"/>
              <w:spacing w:after="0"/>
              <w:rPr>
                <w:sz w:val="20"/>
                <w:szCs w:val="20"/>
                <w:color w:val="auto"/>
              </w:rPr>
            </w:pPr>
            <w:r>
              <w:rPr>
                <w:rFonts w:ascii="Arial" w:cs="Arial" w:eastAsia="Arial" w:hAnsi="Arial"/>
                <w:sz w:val="16"/>
                <w:szCs w:val="16"/>
                <w:color w:val="auto"/>
              </w:rPr>
              <w:t>Information Systems &amp; Global</w:t>
            </w:r>
          </w:p>
        </w:tc>
        <w:tc>
          <w:tcPr>
            <w:tcW w:w="176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 xml:space="preserve">Cybersecurity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Solutions, Lockheed Martin</w:t>
            </w: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89"/>
        </w:trPr>
        <w:tc>
          <w:tcPr>
            <w:tcW w:w="1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Corporation</w:t>
            </w:r>
          </w:p>
        </w:tc>
        <w:tc>
          <w:tcPr>
            <w:tcW w:w="17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184"/>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Joseph Jimenez</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58</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3160" w:type="dxa"/>
            <w:vAlign w:val="bottom"/>
          </w:tcPr>
          <w:p>
            <w:pPr>
              <w:ind w:left="160"/>
              <w:spacing w:after="0"/>
              <w:rPr>
                <w:sz w:val="20"/>
                <w:szCs w:val="20"/>
                <w:color w:val="auto"/>
              </w:rPr>
            </w:pPr>
            <w:r>
              <w:rPr>
                <w:rFonts w:ascii="Arial" w:cs="Arial" w:eastAsia="Arial" w:hAnsi="Arial"/>
                <w:sz w:val="16"/>
                <w:szCs w:val="16"/>
                <w:color w:val="auto"/>
              </w:rPr>
              <w:t>Retired Chief Executive Officer,</w:t>
            </w: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Novartis AG</w:t>
            </w: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98"/>
        </w:trPr>
        <w:tc>
          <w:tcPr>
            <w:tcW w:w="1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Jane L. Mendillo</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Retired President &amp;</w:t>
            </w:r>
          </w:p>
        </w:tc>
        <w:tc>
          <w:tcPr>
            <w:tcW w:w="1760" w:type="dxa"/>
            <w:vAlign w:val="bottom"/>
          </w:tcPr>
          <w:p>
            <w:pPr>
              <w:spacing w:after="0"/>
              <w:rPr>
                <w:sz w:val="16"/>
                <w:szCs w:val="16"/>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59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2016</w:t>
            </w: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Chief Executive Officer,</w:t>
            </w:r>
          </w:p>
        </w:tc>
        <w:tc>
          <w:tcPr>
            <w:tcW w:w="17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87"/>
        </w:trPr>
        <w:tc>
          <w:tcPr>
            <w:tcW w:w="1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Harvard Management Company</w:t>
            </w:r>
          </w:p>
        </w:tc>
        <w:tc>
          <w:tcPr>
            <w:tcW w:w="17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Admiral</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69"/>
        </w:trPr>
        <w:tc>
          <w:tcPr>
            <w:tcW w:w="1680" w:type="dxa"/>
            <w:vAlign w:val="bottom"/>
            <w:vMerge w:val="continue"/>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71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2013</w:t>
            </w:r>
          </w:p>
        </w:tc>
        <w:tc>
          <w:tcPr>
            <w:tcW w:w="3160" w:type="dxa"/>
            <w:vAlign w:val="bottom"/>
          </w:tcPr>
          <w:p>
            <w:pPr>
              <w:ind w:left="160"/>
              <w:spacing w:after="0" w:line="169" w:lineRule="exact"/>
              <w:rPr>
                <w:sz w:val="20"/>
                <w:szCs w:val="20"/>
                <w:color w:val="auto"/>
              </w:rPr>
            </w:pPr>
            <w:r>
              <w:rPr>
                <w:rFonts w:ascii="Arial" w:cs="Arial" w:eastAsia="Arial" w:hAnsi="Arial"/>
                <w:sz w:val="16"/>
                <w:szCs w:val="16"/>
                <w:color w:val="auto"/>
              </w:rPr>
              <w:t>Former Chairman,</w:t>
            </w:r>
          </w:p>
        </w:tc>
        <w:tc>
          <w:tcPr>
            <w:tcW w:w="1760" w:type="dxa"/>
            <w:vAlign w:val="bottom"/>
          </w:tcPr>
          <w:p>
            <w:pPr>
              <w:spacing w:after="0"/>
              <w:rPr>
                <w:sz w:val="14"/>
                <w:szCs w:val="14"/>
                <w:color w:val="auto"/>
              </w:rPr>
            </w:pPr>
          </w:p>
        </w:tc>
        <w:tc>
          <w:tcPr>
            <w:tcW w:w="2820" w:type="dxa"/>
            <w:vAlign w:val="bottom"/>
          </w:tcPr>
          <w:p>
            <w:pPr>
              <w:ind w:left="280"/>
              <w:spacing w:after="0" w:line="169" w:lineRule="exact"/>
              <w:rPr>
                <w:sz w:val="20"/>
                <w:szCs w:val="20"/>
                <w:color w:val="auto"/>
              </w:rPr>
            </w:pPr>
            <w:r>
              <w:rPr>
                <w:rFonts w:ascii="Arial" w:cs="Arial" w:eastAsia="Arial" w:hAnsi="Arial"/>
                <w:sz w:val="16"/>
                <w:szCs w:val="16"/>
                <w:color w:val="auto"/>
              </w:rPr>
              <w:t>Cybersecurity</w:t>
            </w:r>
          </w:p>
        </w:tc>
        <w:tc>
          <w:tcPr>
            <w:tcW w:w="0" w:type="dxa"/>
            <w:vAlign w:val="bottom"/>
          </w:tcPr>
          <w:p>
            <w:pPr>
              <w:spacing w:after="0"/>
              <w:rPr>
                <w:sz w:val="1"/>
                <w:szCs w:val="1"/>
                <w:color w:val="auto"/>
              </w:rPr>
            </w:pPr>
          </w:p>
        </w:tc>
      </w:tr>
      <w:tr>
        <w:trPr>
          <w:trHeight w:val="120"/>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Michael G. Mullen</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Joint Chiefs of Staff</w:t>
            </w:r>
          </w:p>
        </w:tc>
        <w:tc>
          <w:tcPr>
            <w:tcW w:w="1760" w:type="dxa"/>
            <w:vAlign w:val="bottom"/>
          </w:tcPr>
          <w:p>
            <w:pPr>
              <w:spacing w:after="0"/>
              <w:rPr>
                <w:sz w:val="10"/>
                <w:szCs w:val="10"/>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69"/>
        </w:trPr>
        <w:tc>
          <w:tcPr>
            <w:tcW w:w="1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Risk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Retired Chairman &amp;</w:t>
            </w: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95"/>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James J. Mulva</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2820" w:type="dxa"/>
            <w:vAlign w:val="bottom"/>
            <w:vMerge w:val="restart"/>
          </w:tcPr>
          <w:p>
            <w:pPr>
              <w:ind w:left="280"/>
              <w:spacing w:after="0" w:line="169" w:lineRule="exact"/>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75"/>
        </w:trPr>
        <w:tc>
          <w:tcPr>
            <w:tcW w:w="168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71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Chief Executive Officer,</w:t>
            </w:r>
          </w:p>
        </w:tc>
        <w:tc>
          <w:tcPr>
            <w:tcW w:w="176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 xml:space="preserve">Finance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ConocoPhillips</w:t>
            </w:r>
          </w:p>
        </w:tc>
        <w:tc>
          <w:tcPr>
            <w:tcW w:w="176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98"/>
        </w:trPr>
        <w:tc>
          <w:tcPr>
            <w:tcW w:w="1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89"/>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Patricia F. Russo</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2009</w:t>
            </w:r>
          </w:p>
        </w:tc>
        <w:tc>
          <w:tcPr>
            <w:tcW w:w="3160" w:type="dxa"/>
            <w:vAlign w:val="bottom"/>
          </w:tcPr>
          <w:p>
            <w:pPr>
              <w:ind w:left="160"/>
              <w:spacing w:after="0"/>
              <w:rPr>
                <w:sz w:val="20"/>
                <w:szCs w:val="20"/>
                <w:color w:val="auto"/>
              </w:rPr>
            </w:pPr>
            <w:r>
              <w:rPr>
                <w:rFonts w:ascii="Arial" w:cs="Arial" w:eastAsia="Arial" w:hAnsi="Arial"/>
                <w:sz w:val="16"/>
                <w:szCs w:val="16"/>
                <w:color w:val="auto"/>
              </w:rPr>
              <w:t>Chairman, Hewlett Packard</w:t>
            </w: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160" w:type="dxa"/>
            <w:vAlign w:val="bottom"/>
            <w:vMerge w:val="restart"/>
          </w:tcPr>
          <w:p>
            <w:pPr>
              <w:ind w:left="160"/>
              <w:spacing w:after="0" w:line="169" w:lineRule="exact"/>
              <w:rPr>
                <w:sz w:val="20"/>
                <w:szCs w:val="20"/>
                <w:color w:val="auto"/>
              </w:rPr>
            </w:pPr>
            <w:r>
              <w:rPr>
                <w:rFonts w:ascii="Arial" w:cs="Arial" w:eastAsia="Arial" w:hAnsi="Arial"/>
                <w:sz w:val="16"/>
                <w:szCs w:val="16"/>
                <w:color w:val="auto"/>
              </w:rPr>
              <w:t>Enterprise Company</w:t>
            </w:r>
          </w:p>
        </w:tc>
        <w:tc>
          <w:tcPr>
            <w:tcW w:w="1760" w:type="dxa"/>
            <w:vAlign w:val="bottom"/>
          </w:tcPr>
          <w:p>
            <w:pPr>
              <w:spacing w:after="0"/>
              <w:rPr>
                <w:sz w:val="8"/>
                <w:szCs w:val="8"/>
                <w:color w:val="auto"/>
              </w:rPr>
            </w:pPr>
          </w:p>
        </w:tc>
        <w:tc>
          <w:tcPr>
            <w:tcW w:w="2820" w:type="dxa"/>
            <w:vAlign w:val="bottom"/>
            <w:vMerge w:val="restart"/>
          </w:tcPr>
          <w:p>
            <w:pPr>
              <w:ind w:left="280"/>
              <w:spacing w:after="0" w:line="169" w:lineRule="exact"/>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69"/>
        </w:trPr>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Governance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 xml:space="preserve">Audit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89"/>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Thomas M.</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Retired Executive Vice President</w:t>
            </w: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Cybersecurity</w:t>
            </w:r>
          </w:p>
        </w:tc>
        <w:tc>
          <w:tcPr>
            <w:tcW w:w="0" w:type="dxa"/>
            <w:vAlign w:val="bottom"/>
          </w:tcPr>
          <w:p>
            <w:pPr>
              <w:spacing w:after="0"/>
              <w:rPr>
                <w:sz w:val="1"/>
                <w:szCs w:val="1"/>
                <w:color w:val="auto"/>
              </w:rPr>
            </w:pPr>
          </w:p>
        </w:tc>
      </w:tr>
      <w:tr>
        <w:trPr>
          <w:trHeight w:val="75"/>
        </w:trPr>
        <w:tc>
          <w:tcPr>
            <w:tcW w:w="168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2011</w:t>
            </w: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&amp; Chief Financial Officer,</w:t>
            </w:r>
          </w:p>
        </w:tc>
        <w:tc>
          <w:tcPr>
            <w:tcW w:w="1760" w:type="dxa"/>
            <w:vAlign w:val="bottom"/>
          </w:tcPr>
          <w:p>
            <w:pPr>
              <w:spacing w:after="0"/>
              <w:rPr>
                <w:sz w:val="6"/>
                <w:szCs w:val="6"/>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15"/>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Schoewe</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Wal-Mart Stores, Inc.</w:t>
            </w: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89"/>
        </w:trPr>
        <w:tc>
          <w:tcPr>
            <w:tcW w:w="1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Risk</w:t>
            </w:r>
          </w:p>
        </w:tc>
        <w:tc>
          <w:tcPr>
            <w:tcW w:w="0" w:type="dxa"/>
            <w:vAlign w:val="bottom"/>
          </w:tcPr>
          <w:p>
            <w:pPr>
              <w:spacing w:after="0"/>
              <w:rPr>
                <w:sz w:val="1"/>
                <w:szCs w:val="1"/>
                <w:color w:val="auto"/>
              </w:rPr>
            </w:pPr>
          </w:p>
        </w:tc>
      </w:tr>
      <w:tr>
        <w:trPr>
          <w:trHeight w:val="167"/>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Carol M.</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ind w:left="160"/>
              <w:spacing w:after="0" w:line="168" w:lineRule="exact"/>
              <w:rPr>
                <w:sz w:val="20"/>
                <w:szCs w:val="20"/>
                <w:color w:val="auto"/>
              </w:rPr>
            </w:pPr>
            <w:r>
              <w:rPr>
                <w:rFonts w:ascii="Arial" w:cs="Arial" w:eastAsia="Arial" w:hAnsi="Arial"/>
                <w:sz w:val="16"/>
                <w:szCs w:val="16"/>
                <w:color w:val="auto"/>
              </w:rPr>
              <w:t>Retired Dean, Ivey Business</w:t>
            </w:r>
          </w:p>
        </w:tc>
        <w:tc>
          <w:tcPr>
            <w:tcW w:w="1760" w:type="dxa"/>
            <w:vAlign w:val="bottom"/>
          </w:tcPr>
          <w:p>
            <w:pPr>
              <w:spacing w:after="0"/>
              <w:rPr>
                <w:sz w:val="14"/>
                <w:szCs w:val="14"/>
                <w:color w:val="auto"/>
              </w:rPr>
            </w:pPr>
          </w:p>
        </w:tc>
        <w:tc>
          <w:tcPr>
            <w:tcW w:w="2820" w:type="dxa"/>
            <w:vAlign w:val="bottom"/>
          </w:tcPr>
          <w:p>
            <w:pPr>
              <w:ind w:left="280"/>
              <w:spacing w:after="0" w:line="168" w:lineRule="exact"/>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95"/>
        </w:trPr>
        <w:tc>
          <w:tcPr>
            <w:tcW w:w="1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67</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2009</w:t>
            </w: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School, The University of</w:t>
            </w: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 xml:space="preserve">Executive Compensation – </w:t>
            </w:r>
            <w:r>
              <w:rPr>
                <w:rFonts w:ascii="Arial" w:cs="Arial" w:eastAsia="Arial" w:hAnsi="Arial"/>
                <w:sz w:val="16"/>
                <w:szCs w:val="16"/>
                <w:b w:val="1"/>
                <w:bCs w:val="1"/>
                <w:color w:val="00A1DF"/>
              </w:rPr>
              <w:t>Chair</w:t>
            </w:r>
          </w:p>
        </w:tc>
        <w:tc>
          <w:tcPr>
            <w:tcW w:w="0" w:type="dxa"/>
            <w:vAlign w:val="bottom"/>
          </w:tcPr>
          <w:p>
            <w:pPr>
              <w:spacing w:after="0"/>
              <w:rPr>
                <w:sz w:val="1"/>
                <w:szCs w:val="1"/>
                <w:color w:val="auto"/>
              </w:rPr>
            </w:pPr>
          </w:p>
        </w:tc>
      </w:tr>
      <w:tr>
        <w:trPr>
          <w:trHeight w:val="115"/>
        </w:trPr>
        <w:tc>
          <w:tcPr>
            <w:tcW w:w="1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Stephenson</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60" w:type="dxa"/>
            <w:vAlign w:val="bottom"/>
            <w:vMerge w:val="restart"/>
          </w:tcPr>
          <w:p>
            <w:pPr>
              <w:ind w:left="160"/>
              <w:spacing w:after="0"/>
              <w:rPr>
                <w:sz w:val="20"/>
                <w:szCs w:val="20"/>
                <w:color w:val="auto"/>
              </w:rPr>
            </w:pPr>
            <w:r>
              <w:rPr>
                <w:rFonts w:ascii="Arial" w:cs="Arial" w:eastAsia="Arial" w:hAnsi="Arial"/>
                <w:sz w:val="16"/>
                <w:szCs w:val="16"/>
                <w:color w:val="auto"/>
              </w:rPr>
              <w:t>Western Ontario</w:t>
            </w:r>
          </w:p>
        </w:tc>
        <w:tc>
          <w:tcPr>
            <w:tcW w:w="1760" w:type="dxa"/>
            <w:vAlign w:val="bottom"/>
          </w:tcPr>
          <w:p>
            <w:pPr>
              <w:spacing w:after="0"/>
              <w:rPr>
                <w:sz w:val="8"/>
                <w:szCs w:val="8"/>
                <w:color w:val="auto"/>
              </w:rPr>
            </w:pPr>
          </w:p>
        </w:tc>
        <w:tc>
          <w:tcPr>
            <w:tcW w:w="2820" w:type="dxa"/>
            <w:vAlign w:val="bottom"/>
            <w:vMerge w:val="restart"/>
          </w:tcPr>
          <w:p>
            <w:pPr>
              <w:ind w:left="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98"/>
        </w:trPr>
        <w:tc>
          <w:tcPr>
            <w:tcW w:w="1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President &amp;</w:t>
            </w:r>
          </w:p>
        </w:tc>
        <w:tc>
          <w:tcPr>
            <w:tcW w:w="1760" w:type="dxa"/>
            <w:vAlign w:val="bottom"/>
          </w:tcPr>
          <w:p>
            <w:pPr>
              <w:spacing w:after="0"/>
              <w:rPr>
                <w:sz w:val="23"/>
                <w:szCs w:val="23"/>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Committee memberships to be</w:t>
            </w:r>
          </w:p>
        </w:tc>
        <w:tc>
          <w:tcPr>
            <w:tcW w:w="0" w:type="dxa"/>
            <w:vAlign w:val="bottom"/>
          </w:tcPr>
          <w:p>
            <w:pPr>
              <w:spacing w:after="0"/>
              <w:rPr>
                <w:sz w:val="1"/>
                <w:szCs w:val="1"/>
                <w:color w:val="auto"/>
              </w:rPr>
            </w:pPr>
          </w:p>
        </w:tc>
      </w:tr>
      <w:tr>
        <w:trPr>
          <w:trHeight w:val="189"/>
        </w:trPr>
        <w:tc>
          <w:tcPr>
            <w:tcW w:w="1680" w:type="dxa"/>
            <w:vAlign w:val="bottom"/>
          </w:tcPr>
          <w:p>
            <w:pPr>
              <w:ind w:left="80"/>
              <w:spacing w:after="0"/>
              <w:rPr>
                <w:sz w:val="20"/>
                <w:szCs w:val="20"/>
                <w:color w:val="auto"/>
              </w:rPr>
            </w:pPr>
            <w:r>
              <w:rPr>
                <w:rFonts w:ascii="Arial" w:cs="Arial" w:eastAsia="Arial" w:hAnsi="Arial"/>
                <w:sz w:val="16"/>
                <w:szCs w:val="16"/>
                <w:b w:val="1"/>
                <w:bCs w:val="1"/>
                <w:color w:val="auto"/>
              </w:rPr>
              <w:t>Devin N. Wenig</w:t>
            </w:r>
          </w:p>
        </w:tc>
        <w:tc>
          <w:tcPr>
            <w:tcW w:w="640" w:type="dxa"/>
            <w:vAlign w:val="bottom"/>
          </w:tcPr>
          <w:p>
            <w:pPr>
              <w:jc w:val="center"/>
              <w:spacing w:after="0"/>
              <w:rPr>
                <w:sz w:val="20"/>
                <w:szCs w:val="20"/>
                <w:color w:val="auto"/>
              </w:rPr>
            </w:pPr>
            <w:r>
              <w:rPr>
                <w:rFonts w:ascii="Arial" w:cs="Arial" w:eastAsia="Arial" w:hAnsi="Arial"/>
                <w:sz w:val="16"/>
                <w:szCs w:val="16"/>
                <w:color w:val="auto"/>
              </w:rPr>
              <w:t>51</w:t>
            </w:r>
          </w:p>
        </w:tc>
        <w:tc>
          <w:tcPr>
            <w:tcW w:w="960" w:type="dxa"/>
            <w:vAlign w:val="bottom"/>
          </w:tcPr>
          <w:p>
            <w:pPr>
              <w:jc w:val="center"/>
              <w:spacing w:after="0"/>
              <w:rPr>
                <w:sz w:val="20"/>
                <w:szCs w:val="20"/>
                <w:color w:val="auto"/>
              </w:rPr>
            </w:pPr>
            <w:r>
              <w:rPr>
                <w:rFonts w:ascii="Arial" w:cs="Arial" w:eastAsia="Arial" w:hAnsi="Arial"/>
                <w:sz w:val="16"/>
                <w:szCs w:val="16"/>
                <w:color w:val="auto"/>
              </w:rPr>
              <w:t>2018</w:t>
            </w:r>
          </w:p>
        </w:tc>
        <w:tc>
          <w:tcPr>
            <w:tcW w:w="3160" w:type="dxa"/>
            <w:vAlign w:val="bottom"/>
          </w:tcPr>
          <w:p>
            <w:pPr>
              <w:ind w:left="160"/>
              <w:spacing w:after="0"/>
              <w:rPr>
                <w:sz w:val="20"/>
                <w:szCs w:val="20"/>
                <w:color w:val="auto"/>
              </w:rPr>
            </w:pPr>
            <w:r>
              <w:rPr>
                <w:rFonts w:ascii="Arial" w:cs="Arial" w:eastAsia="Arial" w:hAnsi="Arial"/>
                <w:sz w:val="16"/>
                <w:szCs w:val="16"/>
                <w:color w:val="auto"/>
              </w:rPr>
              <w:t>Chief Executive Officer,</w:t>
            </w:r>
          </w:p>
        </w:tc>
        <w:tc>
          <w:tcPr>
            <w:tcW w:w="1760" w:type="dxa"/>
            <w:vAlign w:val="bottom"/>
          </w:tcPr>
          <w:p>
            <w:pPr>
              <w:spacing w:after="0"/>
              <w:rPr>
                <w:sz w:val="16"/>
                <w:szCs w:val="16"/>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determined at the Board’s June</w:t>
            </w: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eBay Inc.</w:t>
            </w:r>
          </w:p>
        </w:tc>
        <w:tc>
          <w:tcPr>
            <w:tcW w:w="176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2018 meeting</w:t>
            </w:r>
          </w:p>
        </w:tc>
        <w:tc>
          <w:tcPr>
            <w:tcW w:w="0" w:type="dxa"/>
            <w:vAlign w:val="bottom"/>
          </w:tcPr>
          <w:p>
            <w:pPr>
              <w:spacing w:after="0"/>
              <w:rPr>
                <w:sz w:val="1"/>
                <w:szCs w:val="1"/>
                <w:color w:val="auto"/>
              </w:rPr>
            </w:pPr>
          </w:p>
        </w:tc>
      </w:tr>
      <w:tr>
        <w:trPr>
          <w:trHeight w:val="114"/>
        </w:trPr>
        <w:tc>
          <w:tcPr>
            <w:tcW w:w="1680" w:type="dxa"/>
            <w:vAlign w:val="bottom"/>
            <w:tcBorders>
              <w:bottom w:val="single" w:sz="8" w:color="0033A0"/>
            </w:tcBorders>
          </w:tcPr>
          <w:p>
            <w:pPr>
              <w:spacing w:after="0"/>
              <w:rPr>
                <w:sz w:val="9"/>
                <w:szCs w:val="9"/>
                <w:color w:val="auto"/>
              </w:rPr>
            </w:pPr>
          </w:p>
        </w:tc>
        <w:tc>
          <w:tcPr>
            <w:tcW w:w="640" w:type="dxa"/>
            <w:vAlign w:val="bottom"/>
            <w:tcBorders>
              <w:bottom w:val="single" w:sz="8" w:color="0033A0"/>
            </w:tcBorders>
          </w:tcPr>
          <w:p>
            <w:pPr>
              <w:spacing w:after="0"/>
              <w:rPr>
                <w:sz w:val="9"/>
                <w:szCs w:val="9"/>
                <w:color w:val="auto"/>
              </w:rPr>
            </w:pPr>
          </w:p>
        </w:tc>
        <w:tc>
          <w:tcPr>
            <w:tcW w:w="960" w:type="dxa"/>
            <w:vAlign w:val="bottom"/>
            <w:tcBorders>
              <w:bottom w:val="single" w:sz="8" w:color="0033A0"/>
            </w:tcBorders>
          </w:tcPr>
          <w:p>
            <w:pPr>
              <w:spacing w:after="0"/>
              <w:rPr>
                <w:sz w:val="9"/>
                <w:szCs w:val="9"/>
                <w:color w:val="auto"/>
              </w:rPr>
            </w:pPr>
          </w:p>
        </w:tc>
        <w:tc>
          <w:tcPr>
            <w:tcW w:w="3160" w:type="dxa"/>
            <w:vAlign w:val="bottom"/>
            <w:tcBorders>
              <w:bottom w:val="single" w:sz="8" w:color="0033A0"/>
            </w:tcBorders>
          </w:tcPr>
          <w:p>
            <w:pPr>
              <w:spacing w:after="0"/>
              <w:rPr>
                <w:sz w:val="9"/>
                <w:szCs w:val="9"/>
                <w:color w:val="auto"/>
              </w:rPr>
            </w:pPr>
          </w:p>
        </w:tc>
        <w:tc>
          <w:tcPr>
            <w:tcW w:w="1760" w:type="dxa"/>
            <w:vAlign w:val="bottom"/>
            <w:tcBorders>
              <w:bottom w:val="single" w:sz="8" w:color="0033A0"/>
            </w:tcBorders>
          </w:tcPr>
          <w:p>
            <w:pPr>
              <w:spacing w:after="0"/>
              <w:rPr>
                <w:sz w:val="9"/>
                <w:szCs w:val="9"/>
                <w:color w:val="auto"/>
              </w:rPr>
            </w:pPr>
          </w:p>
        </w:tc>
        <w:tc>
          <w:tcPr>
            <w:tcW w:w="2820" w:type="dxa"/>
            <w:vAlign w:val="bottom"/>
            <w:tcBorders>
              <w:bottom w:val="single" w:sz="8" w:color="0033A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-4424680</wp:posOffset>
            </wp:positionV>
            <wp:extent cx="12890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-3935730</wp:posOffset>
            </wp:positionV>
            <wp:extent cx="12890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-3558540</wp:posOffset>
            </wp:positionV>
            <wp:extent cx="12890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-3241040</wp:posOffset>
            </wp:positionV>
            <wp:extent cx="12890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-2812415</wp:posOffset>
            </wp:positionV>
            <wp:extent cx="12890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-2314575</wp:posOffset>
            </wp:positionV>
            <wp:extent cx="12890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-1817370</wp:posOffset>
            </wp:positionV>
            <wp:extent cx="12890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-1259840</wp:posOffset>
            </wp:positionV>
            <wp:extent cx="12890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-762635</wp:posOffset>
            </wp:positionV>
            <wp:extent cx="12890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-316865</wp:posOffset>
            </wp:positionV>
            <wp:extent cx="12890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wp:posOffset>
            </wp:positionV>
            <wp:extent cx="617474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Governance Highlights</w:t>
      </w:r>
    </w:p>
    <w:p>
      <w:pPr>
        <w:spacing w:after="0" w:line="17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We recognize that strong corporate governance contributes to long-term shareholder value. We are committed to sound governance practices, including those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302895</wp:posOffset>
            </wp:positionV>
            <wp:extent cx="6946265" cy="7915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265" cy="791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100"/>
        <w:spacing w:after="0"/>
        <w:rPr>
          <w:sz w:val="20"/>
          <w:szCs w:val="20"/>
          <w:color w:val="auto"/>
        </w:rPr>
      </w:pPr>
      <w:r>
        <w:rPr>
          <w:rFonts w:ascii="Arial" w:cs="Arial" w:eastAsia="Arial" w:hAnsi="Arial"/>
          <w:sz w:val="14"/>
          <w:szCs w:val="14"/>
          <w:color w:val="0033A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20"/>
          </w:cols>
          <w:pgMar w:left="240" w:top="459" w:right="439" w:bottom="464"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2017 Performance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7031990" cy="2941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199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33A0"/>
        </w:rPr>
        <w:t>A Year of Transformation</w:t>
      </w:r>
    </w:p>
    <w:p>
      <w:pPr>
        <w:spacing w:after="0" w:line="133"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Sweeping change accompanied record performance at General Motors in 2017. To continue focusing resources on its most profitable franchises, GM sold its Opel/Vauxhall and GM Financial European operations, and exited South and East Africa, and India. To advance its vision of a zero emissions world, GM laid out plans to introduce at least 20 new all-electric vehicles that will launch by 2023. The Company also recently filed a Safety Petition asking the U.S. Department of Transportation to allow GM to safely deploy its fourth-generation self-driving Cruise AV on public roads. This vehicle eliminates the steering wheel, pedals, and other unnecessary manual controls. GM expects to deploy self-driving vehicles at scale in a dense urban environment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237490</wp:posOffset>
            </wp:positionV>
            <wp:extent cx="7023100" cy="659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3100" cy="65976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40" w:right="2020"/>
        <w:spacing w:after="0" w:line="281" w:lineRule="auto"/>
        <w:rPr>
          <w:sz w:val="20"/>
          <w:szCs w:val="20"/>
          <w:color w:val="auto"/>
        </w:rPr>
      </w:pPr>
      <w:r>
        <w:rPr>
          <w:rFonts w:ascii="Arial" w:cs="Arial" w:eastAsia="Arial" w:hAnsi="Arial"/>
          <w:sz w:val="16"/>
          <w:szCs w:val="16"/>
          <w:i w:val="1"/>
          <w:iCs w:val="1"/>
          <w:color w:val="auto"/>
        </w:rPr>
        <w:t>“The actions we took to further strengthen our core business and advance our vision for personal mobility made 2017 a transformative year. We will continue executing our plan and reshaping our company to position it for long-term success.”</w:t>
      </w:r>
    </w:p>
    <w:p>
      <w:pPr>
        <w:spacing w:after="0" w:line="5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Mary Barra, Chairman &amp; CEO</w:t>
      </w:r>
    </w:p>
    <w:p>
      <w:pPr>
        <w:sectPr>
          <w:pgSz w:w="11900" w:h="16838" w:orient="portrait"/>
          <w:cols w:equalWidth="0" w:num="1">
            <w:col w:w="11220"/>
          </w:cols>
          <w:pgMar w:left="240" w:top="459" w:right="439" w:bottom="1045" w:gutter="0" w:footer="0" w:header="0"/>
        </w:sect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Shareholder Return</w:t>
      </w:r>
    </w:p>
    <w:p>
      <w:pPr>
        <w:spacing w:after="0" w:line="133"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GM returned $6.7 billion to shareholders in 2017 through share buybacks of $4.5 billion and dividends of $2.2 billion. Since 2012, GM has returned more than $25 billion, which represents more than 90% of available free cash flow generated over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3353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A0"/>
        </w:rPr>
        <w:t>COMPARISON OF CUMULATIVE TOTAL RETURN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Cumulative Value of $100 Investment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134620</wp:posOffset>
            </wp:positionV>
            <wp:extent cx="2744470" cy="1903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4470" cy="1903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33A0"/>
        </w:rPr>
        <w:t>J.D. Power Awards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Chevrolet was J.D. Power’s most awarded brand in 2017, as six different Chevrolet cars, trucks, and SUVs won a total of nine awards in J.D. Power’s 2017 Vehicle Dependability, Initial Quality, and APEAL Studies. Chevrolet also earned high marks in the 2018 J.D. Power Customer Service Index (“CSI”) Study and the 2017 Sales Satisfaction Index (“SSI”) Survey. In addition, Buick and Chevrolet led the way as the two General Motors brands earning six awards and delivering more Top Three segment model rankings than any other company in the J.D. Power and Associates 2018 U.S. Vehicle Dependability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130175</wp:posOffset>
            </wp:positionV>
            <wp:extent cx="2426970" cy="1509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6970" cy="15093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9" w:right="439" w:bottom="10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wp:posOffset>
            </wp:positionV>
            <wp:extent cx="617474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045"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Executive Compensation Highlights</w:t>
      </w:r>
    </w:p>
    <w:p>
      <w:pPr>
        <w:spacing w:after="0" w:line="176"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We provide highlights of our compensation program below. Please review our Compensation Discussion and Analysis and compensation-related tables beginning on page 35 of this Proxy Statement for a complete understanding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123190</wp:posOffset>
            </wp:positionV>
            <wp:extent cx="6946265" cy="1818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26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hanging="316"/>
        <w:spacing w:after="0"/>
        <w:tabs>
          <w:tab w:leader="none" w:pos="520" w:val="left"/>
        </w:tabs>
        <w:numPr>
          <w:ilvl w:val="0"/>
          <w:numId w:val="8"/>
        </w:numPr>
        <w:rPr>
          <w:rFonts w:ascii="Arial" w:cs="Arial" w:eastAsia="Arial" w:hAnsi="Arial"/>
          <w:sz w:val="18"/>
          <w:szCs w:val="18"/>
          <w:b w:val="1"/>
          <w:bCs w:val="1"/>
          <w:color w:val="0033A0"/>
        </w:rPr>
      </w:pPr>
      <w:r>
        <w:rPr>
          <w:rFonts w:ascii="Arial" w:cs="Arial" w:eastAsia="Arial" w:hAnsi="Arial"/>
          <w:sz w:val="22"/>
          <w:szCs w:val="22"/>
          <w:b w:val="1"/>
          <w:bCs w:val="1"/>
          <w:color w:val="0033A0"/>
        </w:rPr>
        <w:t>Performance-Based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91440</wp:posOffset>
            </wp:positionV>
            <wp:extent cx="5805805" cy="2830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0580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hanging="316"/>
        <w:spacing w:after="0"/>
        <w:tabs>
          <w:tab w:leader="none" w:pos="520" w:val="left"/>
        </w:tabs>
        <w:numPr>
          <w:ilvl w:val="0"/>
          <w:numId w:val="9"/>
        </w:numPr>
        <w:rPr>
          <w:rFonts w:ascii="Arial" w:cs="Arial" w:eastAsia="Arial" w:hAnsi="Arial"/>
          <w:sz w:val="18"/>
          <w:szCs w:val="18"/>
          <w:b w:val="1"/>
          <w:bCs w:val="1"/>
          <w:color w:val="0033A0"/>
        </w:rPr>
      </w:pPr>
      <w:r>
        <w:rPr>
          <w:rFonts w:ascii="Arial" w:cs="Arial" w:eastAsia="Arial" w:hAnsi="Arial"/>
          <w:sz w:val="22"/>
          <w:szCs w:val="22"/>
          <w:b w:val="1"/>
          <w:bCs w:val="1"/>
          <w:color w:val="0033A0"/>
        </w:rPr>
        <w:t>2017 Summary Compensation Snapshot</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2120" w:type="dxa"/>
            <w:vAlign w:val="bottom"/>
            <w:tcBorders>
              <w:top w:val="single" w:sz="8" w:color="00A1DF"/>
            </w:tcBorders>
          </w:tcPr>
          <w:p>
            <w:pPr>
              <w:spacing w:after="0"/>
              <w:rPr>
                <w:sz w:val="13"/>
                <w:szCs w:val="13"/>
                <w:color w:val="auto"/>
              </w:rPr>
            </w:pPr>
          </w:p>
        </w:tc>
        <w:tc>
          <w:tcPr>
            <w:tcW w:w="1180" w:type="dxa"/>
            <w:vAlign w:val="bottom"/>
            <w:tcBorders>
              <w:top w:val="single" w:sz="8" w:color="00A1DF"/>
            </w:tcBorders>
          </w:tcPr>
          <w:p>
            <w:pPr>
              <w:spacing w:after="0"/>
              <w:rPr>
                <w:sz w:val="13"/>
                <w:szCs w:val="13"/>
                <w:color w:val="auto"/>
              </w:rPr>
            </w:pPr>
          </w:p>
        </w:tc>
        <w:tc>
          <w:tcPr>
            <w:tcW w:w="940" w:type="dxa"/>
            <w:vAlign w:val="bottom"/>
            <w:tcBorders>
              <w:top w:val="single" w:sz="8" w:color="00A1DF"/>
            </w:tcBorders>
          </w:tcPr>
          <w:p>
            <w:pPr>
              <w:spacing w:after="0"/>
              <w:rPr>
                <w:sz w:val="13"/>
                <w:szCs w:val="13"/>
                <w:color w:val="auto"/>
              </w:rPr>
            </w:pPr>
          </w:p>
        </w:tc>
        <w:tc>
          <w:tcPr>
            <w:tcW w:w="1040" w:type="dxa"/>
            <w:vAlign w:val="bottom"/>
            <w:tcBorders>
              <w:top w:val="single" w:sz="8" w:color="00A1DF"/>
            </w:tcBorders>
          </w:tcPr>
          <w:p>
            <w:pPr>
              <w:spacing w:after="0"/>
              <w:rPr>
                <w:sz w:val="13"/>
                <w:szCs w:val="13"/>
                <w:color w:val="auto"/>
              </w:rPr>
            </w:pPr>
          </w:p>
        </w:tc>
        <w:tc>
          <w:tcPr>
            <w:tcW w:w="920" w:type="dxa"/>
            <w:vAlign w:val="bottom"/>
            <w:tcBorders>
              <w:top w:val="single" w:sz="8" w:color="00A1DF"/>
            </w:tcBorders>
          </w:tcPr>
          <w:p>
            <w:pPr>
              <w:spacing w:after="0"/>
              <w:rPr>
                <w:sz w:val="13"/>
                <w:szCs w:val="13"/>
                <w:color w:val="auto"/>
              </w:rPr>
            </w:pPr>
          </w:p>
        </w:tc>
        <w:tc>
          <w:tcPr>
            <w:tcW w:w="1260" w:type="dxa"/>
            <w:vAlign w:val="bottom"/>
            <w:tcBorders>
              <w:top w:val="single" w:sz="8" w:color="00A1DF"/>
            </w:tcBorders>
          </w:tcPr>
          <w:p>
            <w:pPr>
              <w:spacing w:after="0"/>
              <w:rPr>
                <w:sz w:val="13"/>
                <w:szCs w:val="13"/>
                <w:color w:val="auto"/>
              </w:rPr>
            </w:pPr>
          </w:p>
        </w:tc>
        <w:tc>
          <w:tcPr>
            <w:tcW w:w="128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Change in</w:t>
            </w:r>
          </w:p>
        </w:tc>
        <w:tc>
          <w:tcPr>
            <w:tcW w:w="1300" w:type="dxa"/>
            <w:vAlign w:val="bottom"/>
            <w:tcBorders>
              <w:top w:val="single" w:sz="8" w:color="00A1DF"/>
            </w:tcBorders>
          </w:tcPr>
          <w:p>
            <w:pPr>
              <w:spacing w:after="0"/>
              <w:rPr>
                <w:sz w:val="13"/>
                <w:szCs w:val="13"/>
                <w:color w:val="auto"/>
              </w:rPr>
            </w:pPr>
          </w:p>
        </w:tc>
        <w:tc>
          <w:tcPr>
            <w:tcW w:w="980" w:type="dxa"/>
            <w:vAlign w:val="bottom"/>
            <w:tcBorders>
              <w:top w:val="single" w:sz="8" w:color="00A1DF"/>
            </w:tcBorders>
          </w:tcPr>
          <w:p>
            <w:pPr>
              <w:spacing w:after="0"/>
              <w:rPr>
                <w:sz w:val="13"/>
                <w:szCs w:val="13"/>
                <w:color w:val="auto"/>
              </w:rPr>
            </w:pPr>
          </w:p>
        </w:tc>
      </w:tr>
      <w:tr>
        <w:trPr>
          <w:trHeight w:val="162"/>
        </w:trPr>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Pension</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Value and</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Nonequity</w:t>
            </w:r>
          </w:p>
        </w:tc>
        <w:tc>
          <w:tcPr>
            <w:tcW w:w="12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NQ Deferred</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00A1DF"/>
              </w:rPr>
              <w:t>Stock</w:t>
            </w: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Option</w:t>
            </w:r>
          </w:p>
        </w:tc>
        <w:tc>
          <w:tcPr>
            <w:tcW w:w="126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Incentive Plan</w:t>
            </w:r>
          </w:p>
        </w:tc>
        <w:tc>
          <w:tcPr>
            <w:tcW w:w="12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Compensation</w:t>
            </w:r>
          </w:p>
        </w:tc>
        <w:tc>
          <w:tcPr>
            <w:tcW w:w="130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All Other</w:t>
            </w:r>
          </w:p>
        </w:tc>
        <w:tc>
          <w:tcPr>
            <w:tcW w:w="9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Salary</w:t>
            </w: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Bonus</w:t>
            </w:r>
          </w:p>
        </w:tc>
        <w:tc>
          <w:tcPr>
            <w:tcW w:w="10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00A1DF"/>
              </w:rPr>
              <w:t>Awards</w:t>
            </w: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Awards</w:t>
            </w:r>
          </w:p>
        </w:tc>
        <w:tc>
          <w:tcPr>
            <w:tcW w:w="126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Compensation</w:t>
            </w:r>
          </w:p>
        </w:tc>
        <w:tc>
          <w:tcPr>
            <w:tcW w:w="128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Earnings</w:t>
            </w:r>
          </w:p>
        </w:tc>
        <w:tc>
          <w:tcPr>
            <w:tcW w:w="130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Compensation</w:t>
            </w:r>
          </w:p>
        </w:tc>
        <w:tc>
          <w:tcPr>
            <w:tcW w:w="9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Total</w:t>
            </w:r>
          </w:p>
        </w:tc>
      </w:tr>
      <w:tr>
        <w:trPr>
          <w:trHeight w:val="197"/>
        </w:trPr>
        <w:tc>
          <w:tcPr>
            <w:tcW w:w="212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w:t>
            </w:r>
          </w:p>
        </w:tc>
        <w:tc>
          <w:tcPr>
            <w:tcW w:w="118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94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040" w:type="dxa"/>
            <w:vAlign w:val="bottom"/>
            <w:tcBorders>
              <w:bottom w:val="single" w:sz="8" w:color="00A1DF"/>
            </w:tcBorders>
          </w:tcPr>
          <w:p>
            <w:pPr>
              <w:jc w:val="right"/>
              <w:ind w:right="63"/>
              <w:spacing w:after="0"/>
              <w:rPr>
                <w:sz w:val="20"/>
                <w:szCs w:val="20"/>
                <w:color w:val="auto"/>
              </w:rPr>
            </w:pPr>
            <w:r>
              <w:rPr>
                <w:rFonts w:ascii="Arial" w:cs="Arial" w:eastAsia="Arial" w:hAnsi="Arial"/>
                <w:sz w:val="15"/>
                <w:szCs w:val="15"/>
                <w:b w:val="1"/>
                <w:bCs w:val="1"/>
                <w:color w:val="00A1DF"/>
              </w:rPr>
              <w:t>($)</w:t>
            </w:r>
          </w:p>
        </w:tc>
        <w:tc>
          <w:tcPr>
            <w:tcW w:w="92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260" w:type="dxa"/>
            <w:vAlign w:val="bottom"/>
            <w:tcBorders>
              <w:bottom w:val="single" w:sz="8" w:color="00A1DF"/>
            </w:tcBorders>
          </w:tcPr>
          <w:p>
            <w:pPr>
              <w:jc w:val="right"/>
              <w:ind w:right="23"/>
              <w:spacing w:after="0"/>
              <w:rPr>
                <w:sz w:val="20"/>
                <w:szCs w:val="20"/>
                <w:color w:val="auto"/>
              </w:rPr>
            </w:pPr>
            <w:r>
              <w:rPr>
                <w:rFonts w:ascii="Arial" w:cs="Arial" w:eastAsia="Arial" w:hAnsi="Arial"/>
                <w:sz w:val="15"/>
                <w:szCs w:val="15"/>
                <w:b w:val="1"/>
                <w:bCs w:val="1"/>
                <w:color w:val="00A1DF"/>
              </w:rPr>
              <w:t>($)</w:t>
            </w:r>
          </w:p>
        </w:tc>
        <w:tc>
          <w:tcPr>
            <w:tcW w:w="128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30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9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r>
      <w:tr>
        <w:trPr>
          <w:trHeight w:val="219"/>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Mary T. Barra</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2,100,000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10,737,570</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3,250,003</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4,956,000</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52,792</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861,683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21,958,048</w:t>
            </w:r>
          </w:p>
        </w:tc>
      </w:tr>
      <w:tr>
        <w:trPr>
          <w:trHeight w:val="223"/>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Charles K. Stevens, III</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1,100,000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3,076,744</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931,251</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1,622,500</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54,114</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316,430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7,101,039</w:t>
            </w:r>
          </w:p>
        </w:tc>
      </w:tr>
      <w:tr>
        <w:trPr>
          <w:trHeight w:val="223"/>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Daniel Ammann</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1,450,000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4,078,222</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1,234,378</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2,138,800</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356,918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9,258,318</w:t>
            </w:r>
          </w:p>
        </w:tc>
      </w:tr>
      <w:tr>
        <w:trPr>
          <w:trHeight w:val="223"/>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Mark L. Reuss</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1,200,000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3,345,168</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1,012,504</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1,770,000</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54,390</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344,446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7,726,508</w:t>
            </w:r>
          </w:p>
        </w:tc>
      </w:tr>
      <w:tr>
        <w:trPr>
          <w:trHeight w:val="223"/>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Alan S. Batey</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1,025,000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2,224,928</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673,426</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1,447,800</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316,601</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287,373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5,975,128</w:t>
            </w:r>
          </w:p>
        </w:tc>
      </w:tr>
      <w:tr>
        <w:trPr>
          <w:trHeight w:val="223"/>
        </w:trPr>
        <w:tc>
          <w:tcPr>
            <w:tcW w:w="21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auto"/>
              </w:rPr>
              <w:t>Karl-Thomas Neumann</w:t>
            </w:r>
          </w:p>
        </w:tc>
        <w:tc>
          <w:tcPr>
            <w:tcW w:w="118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916,936</w:t>
            </w:r>
          </w:p>
        </w:tc>
        <w:tc>
          <w:tcPr>
            <w:tcW w:w="94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2,000,000</w:t>
            </w:r>
          </w:p>
        </w:tc>
        <w:tc>
          <w:tcPr>
            <w:tcW w:w="1040" w:type="dxa"/>
            <w:vAlign w:val="bottom"/>
            <w:tcBorders>
              <w:bottom w:val="single" w:sz="8" w:color="0033A0"/>
            </w:tcBorders>
          </w:tcPr>
          <w:p>
            <w:pPr>
              <w:jc w:val="right"/>
              <w:ind w:right="63"/>
              <w:spacing w:after="0"/>
              <w:rPr>
                <w:sz w:val="20"/>
                <w:szCs w:val="20"/>
                <w:color w:val="auto"/>
              </w:rPr>
            </w:pPr>
            <w:r>
              <w:rPr>
                <w:rFonts w:ascii="Arial" w:cs="Arial" w:eastAsia="Arial" w:hAnsi="Arial"/>
                <w:sz w:val="15"/>
                <w:szCs w:val="15"/>
                <w:color w:val="auto"/>
              </w:rPr>
              <w:t>1,961,676</w:t>
            </w:r>
          </w:p>
        </w:tc>
        <w:tc>
          <w:tcPr>
            <w:tcW w:w="92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593,751</w:t>
            </w:r>
          </w:p>
        </w:tc>
        <w:tc>
          <w:tcPr>
            <w:tcW w:w="1260" w:type="dxa"/>
            <w:vAlign w:val="bottom"/>
            <w:tcBorders>
              <w:bottom w:val="single" w:sz="8" w:color="0033A0"/>
            </w:tcBorders>
          </w:tcPr>
          <w:p>
            <w:pPr>
              <w:jc w:val="right"/>
              <w:ind w:right="23"/>
              <w:spacing w:after="0"/>
              <w:rPr>
                <w:sz w:val="20"/>
                <w:szCs w:val="20"/>
                <w:color w:val="auto"/>
              </w:rPr>
            </w:pPr>
            <w:r>
              <w:rPr>
                <w:rFonts w:ascii="Arial" w:cs="Arial" w:eastAsia="Arial" w:hAnsi="Arial"/>
                <w:sz w:val="15"/>
                <w:szCs w:val="15"/>
                <w:color w:val="auto"/>
              </w:rPr>
              <w:t>1,276,317</w:t>
            </w:r>
          </w:p>
        </w:tc>
        <w:tc>
          <w:tcPr>
            <w:tcW w:w="128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126,796</w:t>
            </w:r>
          </w:p>
        </w:tc>
        <w:tc>
          <w:tcPr>
            <w:tcW w:w="130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12,563</w:t>
            </w:r>
          </w:p>
        </w:tc>
        <w:tc>
          <w:tcPr>
            <w:tcW w:w="9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6,888,039</w:t>
            </w: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Note: For additional information on the table above, please see the Summary Compensation Table in “Executive Compensation” on page 57.</w:t>
      </w:r>
    </w:p>
    <w:p>
      <w:pPr>
        <w:spacing w:after="0" w:line="353" w:lineRule="exact"/>
        <w:rPr>
          <w:sz w:val="20"/>
          <w:szCs w:val="20"/>
          <w:color w:val="auto"/>
        </w:rPr>
      </w:pPr>
    </w:p>
    <w:p>
      <w:pPr>
        <w:ind w:left="11100"/>
        <w:spacing w:after="0"/>
        <w:rPr>
          <w:sz w:val="20"/>
          <w:szCs w:val="20"/>
          <w:color w:val="auto"/>
        </w:rPr>
      </w:pPr>
      <w:r>
        <w:rPr>
          <w:rFonts w:ascii="Arial" w:cs="Arial" w:eastAsia="Arial" w:hAnsi="Arial"/>
          <w:sz w:val="14"/>
          <w:szCs w:val="14"/>
          <w:color w:val="0033A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Environmental and Sustainability Performance</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Our vision for the future can be summed up with three numbers: </w:t>
      </w:r>
      <w:r>
        <w:rPr>
          <w:rFonts w:ascii="Arial" w:cs="Arial" w:eastAsia="Arial" w:hAnsi="Arial"/>
          <w:sz w:val="16"/>
          <w:szCs w:val="16"/>
          <w:b w:val="1"/>
          <w:bCs w:val="1"/>
          <w:color w:val="00A1DF"/>
        </w:rPr>
        <w:t>zero</w:t>
      </w:r>
      <w:r>
        <w:rPr>
          <w:rFonts w:ascii="Arial" w:cs="Arial" w:eastAsia="Arial" w:hAnsi="Arial"/>
          <w:sz w:val="16"/>
          <w:szCs w:val="16"/>
          <w:b w:val="1"/>
          <w:bCs w:val="1"/>
          <w:color w:val="auto"/>
        </w:rPr>
        <w:t xml:space="preserve"> crashes, </w:t>
      </w:r>
      <w:r>
        <w:rPr>
          <w:rFonts w:ascii="Arial" w:cs="Arial" w:eastAsia="Arial" w:hAnsi="Arial"/>
          <w:sz w:val="16"/>
          <w:szCs w:val="16"/>
          <w:b w:val="1"/>
          <w:bCs w:val="1"/>
          <w:color w:val="00A1DF"/>
        </w:rPr>
        <w:t>zero</w:t>
      </w:r>
      <w:r>
        <w:rPr>
          <w:rFonts w:ascii="Arial" w:cs="Arial" w:eastAsia="Arial" w:hAnsi="Arial"/>
          <w:sz w:val="16"/>
          <w:szCs w:val="16"/>
          <w:b w:val="1"/>
          <w:bCs w:val="1"/>
          <w:color w:val="auto"/>
        </w:rPr>
        <w:t xml:space="preserve"> emissions, and </w:t>
      </w:r>
      <w:r>
        <w:rPr>
          <w:rFonts w:ascii="Arial" w:cs="Arial" w:eastAsia="Arial" w:hAnsi="Arial"/>
          <w:sz w:val="16"/>
          <w:szCs w:val="16"/>
          <w:b w:val="1"/>
          <w:bCs w:val="1"/>
          <w:color w:val="00A1DF"/>
        </w:rPr>
        <w:t>zero</w:t>
      </w:r>
      <w:r>
        <w:rPr>
          <w:rFonts w:ascii="Arial" w:cs="Arial" w:eastAsia="Arial" w:hAnsi="Arial"/>
          <w:sz w:val="16"/>
          <w:szCs w:val="16"/>
          <w:b w:val="1"/>
          <w:bCs w:val="1"/>
          <w:color w:val="auto"/>
        </w:rPr>
        <w:t xml:space="preserve"> congestion.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151765</wp:posOffset>
            </wp:positionV>
            <wp:extent cx="8890" cy="2915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29159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151765</wp:posOffset>
            </wp:positionV>
            <wp:extent cx="8890" cy="2915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291592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333333"/>
        </w:rPr>
        <w:t>ZERO CRASHES</w:t>
      </w:r>
    </w:p>
    <w:p>
      <w:pPr>
        <w:spacing w:after="0" w:line="333"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b w:val="1"/>
          <w:bCs w:val="1"/>
          <w:color w:val="auto"/>
        </w:rPr>
        <w:t>GM’s number one priority is safety. We are developing new technologies to help keep our customers safe.</w:t>
      </w:r>
    </w:p>
    <w:p>
      <w:pPr>
        <w:spacing w:after="0" w:line="85" w:lineRule="exact"/>
        <w:rPr>
          <w:sz w:val="20"/>
          <w:szCs w:val="20"/>
          <w:color w:val="auto"/>
        </w:rPr>
      </w:pPr>
    </w:p>
    <w:p>
      <w:pPr>
        <w:jc w:val="both"/>
        <w:ind w:left="3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GM’s Cruise AV has the potential to provide a</w:t>
      </w:r>
      <w:r>
        <w:rPr>
          <w:rFonts w:ascii="Arial" w:cs="Arial" w:eastAsia="Arial" w:hAnsi="Arial"/>
          <w:sz w:val="16"/>
          <w:szCs w:val="16"/>
          <w:color w:val="00A1DF"/>
        </w:rPr>
        <w:t xml:space="preserve"> </w:t>
      </w:r>
      <w:r>
        <w:rPr>
          <w:rFonts w:ascii="Arial" w:cs="Arial" w:eastAsia="Arial" w:hAnsi="Arial"/>
          <w:sz w:val="16"/>
          <w:szCs w:val="16"/>
          <w:color w:val="000000"/>
        </w:rPr>
        <w:t>level of safety far beyond the capabilities of human drivers.</w:t>
      </w:r>
    </w:p>
    <w:p>
      <w:pPr>
        <w:spacing w:after="0" w:line="81" w:lineRule="exact"/>
        <w:rPr>
          <w:sz w:val="20"/>
          <w:szCs w:val="20"/>
          <w:color w:val="auto"/>
        </w:rPr>
      </w:pPr>
    </w:p>
    <w:p>
      <w:pPr>
        <w:jc w:val="both"/>
        <w:ind w:left="3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We launched Super Cruise, the world’s first</w:t>
      </w:r>
      <w:r>
        <w:rPr>
          <w:rFonts w:ascii="Arial" w:cs="Arial" w:eastAsia="Arial" w:hAnsi="Arial"/>
          <w:sz w:val="16"/>
          <w:szCs w:val="16"/>
          <w:color w:val="00A1DF"/>
        </w:rPr>
        <w:t xml:space="preserve"> </w:t>
      </w:r>
      <w:r>
        <w:rPr>
          <w:rFonts w:ascii="Arial" w:cs="Arial" w:eastAsia="Arial" w:hAnsi="Arial"/>
          <w:sz w:val="16"/>
          <w:szCs w:val="16"/>
          <w:color w:val="000000"/>
        </w:rPr>
        <w:t>hands-free highway driving technology, on the Cadillac CT6.</w:t>
      </w:r>
    </w:p>
    <w:p>
      <w:pPr>
        <w:spacing w:after="0" w:line="81" w:lineRule="exact"/>
        <w:rPr>
          <w:sz w:val="20"/>
          <w:szCs w:val="20"/>
          <w:color w:val="auto"/>
        </w:rPr>
      </w:pPr>
    </w:p>
    <w:p>
      <w:pPr>
        <w:jc w:val="both"/>
        <w:ind w:left="3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 offers 53 global models with forward</w:t>
      </w:r>
      <w:r>
        <w:rPr>
          <w:rFonts w:ascii="Arial" w:cs="Arial" w:eastAsia="Arial" w:hAnsi="Arial"/>
          <w:sz w:val="16"/>
          <w:szCs w:val="16"/>
          <w:color w:val="00A1DF"/>
        </w:rPr>
        <w:t xml:space="preserve"> </w:t>
      </w:r>
      <w:r>
        <w:rPr>
          <w:rFonts w:ascii="Arial" w:cs="Arial" w:eastAsia="Arial" w:hAnsi="Arial"/>
          <w:sz w:val="16"/>
          <w:szCs w:val="16"/>
          <w:color w:val="000000"/>
        </w:rPr>
        <w:t>collision alert and lane departure warning and 40 models with side blind zone alert.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left="-19"/>
        <w:spacing w:after="0"/>
        <w:rPr>
          <w:sz w:val="20"/>
          <w:szCs w:val="20"/>
          <w:color w:val="auto"/>
        </w:rPr>
      </w:pPr>
      <w:r>
        <w:rPr>
          <w:rFonts w:ascii="Arial" w:cs="Arial" w:eastAsia="Arial" w:hAnsi="Arial"/>
          <w:sz w:val="20"/>
          <w:szCs w:val="20"/>
          <w:b w:val="1"/>
          <w:bCs w:val="1"/>
          <w:color w:val="333333"/>
        </w:rPr>
        <w:t>ZERO EMISSIONS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GM is committed to an all-electric, zero emissions future. We are working to make cars more efficient and embrace environmentally conscious options.</w:t>
      </w:r>
    </w:p>
    <w:p>
      <w:pPr>
        <w:spacing w:after="0" w:line="92" w:lineRule="exact"/>
        <w:rPr>
          <w:sz w:val="20"/>
          <w:szCs w:val="20"/>
          <w:color w:val="auto"/>
        </w:rPr>
      </w:pPr>
    </w:p>
    <w:p>
      <w:pPr>
        <w:jc w:val="both"/>
        <w:ind w:left="180" w:right="20" w:hanging="161"/>
        <w:spacing w:after="0" w:line="27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w:t>
      </w:r>
      <w:r>
        <w:rPr>
          <w:sz w:val="20"/>
          <w:szCs w:val="20"/>
          <w:color w:val="auto"/>
        </w:rPr>
        <w:t xml:space="preserve"> </w:t>
      </w:r>
      <w:r>
        <w:rPr>
          <w:rFonts w:ascii="Arial" w:cs="Arial" w:eastAsia="Arial" w:hAnsi="Arial"/>
          <w:sz w:val="16"/>
          <w:szCs w:val="16"/>
          <w:color w:val="auto"/>
        </w:rPr>
        <w:t>will introduce 20 new all-electric vehicles by 2023.</w:t>
      </w:r>
    </w:p>
    <w:p>
      <w:pPr>
        <w:spacing w:after="0" w:line="87"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In</w:t>
      </w:r>
      <w:r>
        <w:rPr>
          <w:sz w:val="20"/>
          <w:szCs w:val="20"/>
          <w:color w:val="auto"/>
        </w:rPr>
        <w:t xml:space="preserve"> </w:t>
      </w:r>
      <w:r>
        <w:rPr>
          <w:rFonts w:ascii="Arial" w:cs="Arial" w:eastAsia="Arial" w:hAnsi="Arial"/>
          <w:sz w:val="16"/>
          <w:szCs w:val="16"/>
          <w:color w:val="auto"/>
        </w:rPr>
        <w:t>2018, GM will increase Bolt EV production at its Orion Assembly Plant north of Detroit.</w:t>
      </w:r>
    </w:p>
    <w:p>
      <w:pPr>
        <w:spacing w:after="0" w:line="290"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w:t>
      </w:r>
      <w:r>
        <w:rPr>
          <w:sz w:val="20"/>
          <w:szCs w:val="20"/>
          <w:color w:val="auto"/>
        </w:rPr>
        <w:t xml:space="preserve"> </w:t>
      </w:r>
      <w:r>
        <w:rPr>
          <w:rFonts w:ascii="Arial" w:cs="Arial" w:eastAsia="Arial" w:hAnsi="Arial"/>
          <w:sz w:val="16"/>
          <w:szCs w:val="16"/>
          <w:color w:val="auto"/>
        </w:rPr>
        <w:t>has committed to using 100% renewable energy in its operations by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970915</wp:posOffset>
            </wp:positionV>
            <wp:extent cx="6997700" cy="358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3584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333333"/>
        </w:rPr>
        <w:t>ZERO CONGESTION</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GM is building autonomous, connected, and shared personal mobility options that will help end the congestion that wastes our time and money.</w:t>
      </w:r>
    </w:p>
    <w:p>
      <w:pPr>
        <w:spacing w:after="0" w:line="92" w:lineRule="exact"/>
        <w:rPr>
          <w:sz w:val="20"/>
          <w:szCs w:val="20"/>
          <w:color w:val="auto"/>
        </w:rPr>
      </w:pPr>
    </w:p>
    <w:p>
      <w:pPr>
        <w:jc w:val="both"/>
        <w:ind w:left="16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Maven Gig members have driven more</w:t>
      </w:r>
      <w:r>
        <w:rPr>
          <w:rFonts w:ascii="Arial" w:cs="Arial" w:eastAsia="Arial" w:hAnsi="Arial"/>
          <w:sz w:val="16"/>
          <w:szCs w:val="16"/>
          <w:color w:val="00A1DF"/>
        </w:rPr>
        <w:t xml:space="preserve"> </w:t>
      </w:r>
      <w:r>
        <w:rPr>
          <w:rFonts w:ascii="Arial" w:cs="Arial" w:eastAsia="Arial" w:hAnsi="Arial"/>
          <w:sz w:val="16"/>
          <w:szCs w:val="16"/>
          <w:color w:val="000000"/>
        </w:rPr>
        <w:t>than 6.5 million all-electric miles since February 2017, saving an estimated 250,000 gallons of gas.</w:t>
      </w:r>
    </w:p>
    <w:p>
      <w:pPr>
        <w:spacing w:after="0" w:line="80" w:lineRule="exact"/>
        <w:rPr>
          <w:sz w:val="20"/>
          <w:szCs w:val="20"/>
          <w:color w:val="auto"/>
        </w:rPr>
      </w:pPr>
    </w:p>
    <w:p>
      <w:pPr>
        <w:jc w:val="both"/>
        <w:ind w:left="160" w:hanging="161"/>
        <w:spacing w:after="0" w:line="287" w:lineRule="auto"/>
        <w:tabs>
          <w:tab w:leader="none" w:pos="140" w:val="left"/>
        </w:tabs>
        <w:rPr>
          <w:sz w:val="20"/>
          <w:szCs w:val="20"/>
          <w:color w:val="auto"/>
        </w:rPr>
      </w:pPr>
      <w:r>
        <w:rPr>
          <w:rFonts w:ascii="Arial" w:cs="Arial" w:eastAsia="Arial" w:hAnsi="Arial"/>
          <w:sz w:val="16"/>
          <w:szCs w:val="16"/>
          <w:b w:val="1"/>
          <w:bCs w:val="1"/>
          <w:color w:val="00A1DF"/>
        </w:rPr>
        <w:t>u</w:t>
      </w:r>
      <w:r>
        <w:rPr>
          <w:sz w:val="20"/>
          <w:szCs w:val="20"/>
          <w:color w:val="auto"/>
        </w:rPr>
        <w:tab/>
      </w:r>
      <w:r>
        <w:rPr>
          <w:rFonts w:ascii="Arial" w:cs="Arial" w:eastAsia="Arial" w:hAnsi="Arial"/>
          <w:sz w:val="16"/>
          <w:szCs w:val="16"/>
          <w:b w:val="1"/>
          <w:bCs w:val="1"/>
          <w:color w:val="auto"/>
        </w:rPr>
        <w:t>As of March 2018, more than 250 million Maven miles have been driven.</w:t>
      </w:r>
    </w:p>
    <w:p>
      <w:pPr>
        <w:spacing w:after="0" w:line="262" w:lineRule="exact"/>
        <w:rPr>
          <w:sz w:val="20"/>
          <w:szCs w:val="20"/>
          <w:color w:val="auto"/>
        </w:rPr>
      </w:pPr>
    </w:p>
    <w:p>
      <w:pPr>
        <w:jc w:val="both"/>
        <w:ind w:left="160" w:hanging="161"/>
        <w:spacing w:after="0" w:line="258" w:lineRule="auto"/>
        <w:rPr>
          <w:sz w:val="20"/>
          <w:szCs w:val="20"/>
          <w:color w:val="auto"/>
        </w:rPr>
      </w:pPr>
      <w:r>
        <w:rPr>
          <w:rFonts w:ascii="Arial" w:cs="Arial" w:eastAsia="Arial" w:hAnsi="Arial"/>
          <w:sz w:val="16"/>
          <w:szCs w:val="16"/>
          <w:b w:val="1"/>
          <w:bCs w:val="1"/>
          <w:color w:val="00A1DF"/>
        </w:rPr>
        <w:t xml:space="preserve">u </w:t>
      </w:r>
      <w:r>
        <w:rPr>
          <w:rFonts w:ascii="Arial" w:cs="Arial" w:eastAsia="Arial" w:hAnsi="Arial"/>
          <w:sz w:val="16"/>
          <w:szCs w:val="16"/>
          <w:b w:val="1"/>
          <w:bCs w:val="1"/>
          <w:color w:val="000000"/>
        </w:rPr>
        <w:t>In 2018, GM submitted a petition to the</w:t>
      </w:r>
      <w:r>
        <w:rPr>
          <w:rFonts w:ascii="Arial" w:cs="Arial" w:eastAsia="Arial" w:hAnsi="Arial"/>
          <w:sz w:val="16"/>
          <w:szCs w:val="16"/>
          <w:b w:val="1"/>
          <w:bCs w:val="1"/>
          <w:color w:val="00A1DF"/>
        </w:rPr>
        <w:t xml:space="preserve"> </w:t>
      </w:r>
      <w:r>
        <w:rPr>
          <w:rFonts w:ascii="Arial" w:cs="Arial" w:eastAsia="Arial" w:hAnsi="Arial"/>
          <w:sz w:val="16"/>
          <w:szCs w:val="16"/>
          <w:b w:val="1"/>
          <w:bCs w:val="1"/>
          <w:color w:val="000000"/>
        </w:rPr>
        <w:t>U.S. Department of Transportation seeking permission to begin operating fully autonomous vehicles, without steering wheels or pedals, at scale in a dense urban environment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360045</wp:posOffset>
            </wp:positionV>
            <wp:extent cx="2134870" cy="3481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34870" cy="3481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60" w:space="600"/>
            <w:col w:w="3280" w:space="480"/>
            <w:col w:w="3200"/>
          </w:cols>
          <w:pgMar w:left="240" w:top="459" w:right="4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both"/>
        <w:ind w:left="200" w:right="20"/>
        <w:spacing w:after="0" w:line="266" w:lineRule="auto"/>
        <w:rPr>
          <w:sz w:val="20"/>
          <w:szCs w:val="20"/>
          <w:color w:val="auto"/>
        </w:rPr>
      </w:pPr>
      <w:r>
        <w:rPr>
          <w:rFonts w:ascii="Arial" w:cs="Arial" w:eastAsia="Arial" w:hAnsi="Arial"/>
          <w:sz w:val="16"/>
          <w:szCs w:val="16"/>
          <w:b w:val="1"/>
          <w:bCs w:val="1"/>
          <w:color w:val="auto"/>
        </w:rPr>
        <w:t>In 2017, GM documented existing practices by memorializing and publishing policies for shareholders, including:</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Conflict Minerals Policy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Global Environmental Policy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Human Rights Policy</w:t>
      </w:r>
    </w:p>
    <w:p>
      <w:pPr>
        <w:spacing w:after="0" w:line="140" w:lineRule="exact"/>
        <w:rPr>
          <w:sz w:val="20"/>
          <w:szCs w:val="20"/>
          <w:color w:val="auto"/>
        </w:rPr>
      </w:pPr>
    </w:p>
    <w:p>
      <w:pPr>
        <w:jc w:val="both"/>
        <w:ind w:left="3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Global Integrity Policy, Gifts, Entertainment</w:t>
      </w:r>
      <w:r>
        <w:rPr>
          <w:rFonts w:ascii="Arial" w:cs="Arial" w:eastAsia="Arial" w:hAnsi="Arial"/>
          <w:sz w:val="16"/>
          <w:szCs w:val="16"/>
          <w:color w:val="00A1DF"/>
        </w:rPr>
        <w:t xml:space="preserve"> </w:t>
      </w:r>
      <w:r>
        <w:rPr>
          <w:rFonts w:ascii="Arial" w:cs="Arial" w:eastAsia="Arial" w:hAnsi="Arial"/>
          <w:sz w:val="16"/>
          <w:szCs w:val="16"/>
          <w:color w:val="000000"/>
        </w:rPr>
        <w:t>and Anti-Corruption</w:t>
      </w:r>
    </w:p>
    <w:p>
      <w:pPr>
        <w:spacing w:after="0" w:line="64" w:lineRule="exact"/>
        <w:rPr>
          <w:sz w:val="20"/>
          <w:szCs w:val="20"/>
          <w:color w:val="auto"/>
        </w:rPr>
      </w:pPr>
    </w:p>
    <w:p>
      <w:pPr>
        <w:ind w:left="200" w:right="440"/>
        <w:spacing w:after="0" w:line="45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Global Speak-Up! Non-Retaliation Policy</w:t>
      </w:r>
      <w:r>
        <w:rPr>
          <w:rFonts w:ascii="Arial" w:cs="Arial" w:eastAsia="Arial" w:hAnsi="Arial"/>
          <w:sz w:val="16"/>
          <w:szCs w:val="16"/>
          <w:color w:val="00A1DF"/>
        </w:rPr>
        <w:t xml:space="preserve"> u </w:t>
      </w:r>
      <w:r>
        <w:rPr>
          <w:rFonts w:ascii="Arial" w:cs="Arial" w:eastAsia="Arial" w:hAnsi="Arial"/>
          <w:sz w:val="16"/>
          <w:szCs w:val="16"/>
          <w:color w:val="000000"/>
        </w:rPr>
        <w:t>Supplier Code of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333333"/>
        </w:rPr>
        <w:t>LEADERS 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1741170" cy="626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000000"/>
                        </a:clrFrom>
                        <a:clrTo>
                          <a:srgbClr val="000000">
                            <a:alpha val="0"/>
                          </a:srgbClr>
                        </a:clrTo>
                      </a:clrChange>
                      <a:extLst>
                        <a:ext uri="{28A0092B-C50C-407E-A947-70E740481C1C}"/>
                      </a:extLst>
                    </a:blip>
                    <a:srcRect/>
                    <a:stretch>
                      <a:fillRect/>
                    </a:stretch>
                  </pic:blipFill>
                  <pic:spPr bwMode="auto">
                    <a:xfrm>
                      <a:off x="0" y="0"/>
                      <a:ext cx="1741170" cy="6261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137160</wp:posOffset>
            </wp:positionV>
            <wp:extent cx="1741170" cy="626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7411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Dow Jones Sustainability World Index included GM for the first time and Dow Jones Sustainability North America Index included GM as the only automaker for the third consecutive year.</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Other third parties regularly recognize our leadership. A few of those awards include:</w:t>
      </w:r>
    </w:p>
    <w:p>
      <w:pPr>
        <w:spacing w:after="0" w:line="275" w:lineRule="exact"/>
        <w:rPr>
          <w:sz w:val="20"/>
          <w:szCs w:val="20"/>
          <w:color w:val="auto"/>
        </w:rPr>
      </w:pPr>
    </w:p>
    <w:p>
      <w:pPr>
        <w:jc w:val="both"/>
        <w:ind w:left="180" w:hanging="161"/>
        <w:spacing w:after="0" w:line="227"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CDP (Carbon Disclosure Project) named</w:t>
      </w:r>
      <w:r>
        <w:rPr>
          <w:rFonts w:ascii="Arial" w:cs="Arial" w:eastAsia="Arial" w:hAnsi="Arial"/>
          <w:sz w:val="16"/>
          <w:szCs w:val="16"/>
          <w:color w:val="00A1DF"/>
        </w:rPr>
        <w:t xml:space="preserve"> </w:t>
      </w:r>
      <w:r>
        <w:rPr>
          <w:rFonts w:ascii="Arial" w:cs="Arial" w:eastAsia="Arial" w:hAnsi="Arial"/>
          <w:sz w:val="16"/>
          <w:szCs w:val="16"/>
          <w:color w:val="000000"/>
        </w:rPr>
        <w:t>GM to the Global Climate A List in 2016 for its performance and disclosure of its CO</w:t>
      </w:r>
      <w:r>
        <w:rPr>
          <w:rFonts w:ascii="Arial" w:cs="Arial" w:eastAsia="Arial" w:hAnsi="Arial"/>
          <w:sz w:val="27"/>
          <w:szCs w:val="27"/>
          <w:color w:val="000000"/>
          <w:vertAlign w:val="superscript"/>
        </w:rPr>
        <w:t>2</w:t>
      </w:r>
      <w:r>
        <w:rPr>
          <w:rFonts w:ascii="Arial" w:cs="Arial" w:eastAsia="Arial" w:hAnsi="Arial"/>
          <w:sz w:val="16"/>
          <w:szCs w:val="16"/>
          <w:color w:val="000000"/>
        </w:rPr>
        <w:t xml:space="preserve"> and climate impacts and to the Water A List in 2017 for its effective water management practices.</w:t>
      </w:r>
    </w:p>
    <w:p>
      <w:pPr>
        <w:spacing w:after="0" w:line="106" w:lineRule="exact"/>
        <w:rPr>
          <w:sz w:val="20"/>
          <w:szCs w:val="20"/>
          <w:color w:val="auto"/>
        </w:rPr>
      </w:pPr>
    </w:p>
    <w:p>
      <w:pPr>
        <w:jc w:val="both"/>
        <w:ind w:left="180" w:right="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U.S. Energy Star Partner of the Year –</w:t>
      </w:r>
      <w:r>
        <w:rPr>
          <w:rFonts w:ascii="Arial" w:cs="Arial" w:eastAsia="Arial" w:hAnsi="Arial"/>
          <w:sz w:val="16"/>
          <w:szCs w:val="16"/>
          <w:color w:val="00A1DF"/>
        </w:rPr>
        <w:t xml:space="preserve"> </w:t>
      </w:r>
      <w:r>
        <w:rPr>
          <w:rFonts w:ascii="Arial" w:cs="Arial" w:eastAsia="Arial" w:hAnsi="Arial"/>
          <w:sz w:val="16"/>
          <w:szCs w:val="16"/>
          <w:color w:val="000000"/>
        </w:rPr>
        <w:t>Sustained Excellence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424180</wp:posOffset>
            </wp:positionV>
            <wp:extent cx="6946265" cy="668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265" cy="668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sz w:val="1"/>
          <w:szCs w:val="1"/>
          <w:color w:val="auto"/>
        </w:rPr>
        <w:drawing>
          <wp:inline distT="0" distB="0" distL="0" distR="0">
            <wp:extent cx="308610" cy="2146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8610" cy="214630"/>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21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 xml:space="preserve">For additional information, please read our Sustainability Report, available at: </w:t>
      </w:r>
      <w:r>
        <w:rPr>
          <w:rFonts w:ascii="Arial" w:cs="Arial" w:eastAsia="Arial" w:hAnsi="Arial"/>
          <w:sz w:val="16"/>
          <w:szCs w:val="16"/>
          <w:i w:val="1"/>
          <w:iCs w:val="1"/>
          <w:color w:val="00A1DF"/>
        </w:rPr>
        <w:t>gmsustainability.com</w:t>
      </w:r>
      <w:r>
        <w:rPr>
          <w:rFonts w:ascii="Arial" w:cs="Arial" w:eastAsia="Arial" w:hAnsi="Arial"/>
          <w:sz w:val="16"/>
          <w:szCs w:val="16"/>
          <w:color w:val="000000"/>
        </w:rPr>
        <w:t>, which includes</w:t>
      </w:r>
      <w:r>
        <w:rPr>
          <w:rFonts w:ascii="Arial" w:cs="Arial" w:eastAsia="Arial" w:hAnsi="Arial"/>
          <w:sz w:val="16"/>
          <w:szCs w:val="16"/>
          <w:i w:val="1"/>
          <w:iCs w:val="1"/>
          <w:color w:val="00A1DF"/>
        </w:rPr>
        <w:t xml:space="preserve"> </w:t>
      </w:r>
      <w:r>
        <w:rPr>
          <w:rFonts w:ascii="Arial" w:cs="Arial" w:eastAsia="Arial" w:hAnsi="Arial"/>
          <w:sz w:val="16"/>
          <w:szCs w:val="16"/>
          <w:color w:val="000000"/>
        </w:rPr>
        <w:t>information about how our sustainability strategy integrates with corporate performance and other topics, such as:</w:t>
      </w:r>
    </w:p>
    <w:p>
      <w:pPr>
        <w:spacing w:after="0" w:line="99" w:lineRule="exact"/>
        <w:rPr>
          <w:sz w:val="20"/>
          <w:szCs w:val="20"/>
          <w:color w:val="auto"/>
        </w:rPr>
      </w:pPr>
    </w:p>
    <w:p>
      <w:pPr>
        <w:jc w:val="both"/>
        <w:ind w:left="160" w:right="24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 initiatives to service communities</w:t>
      </w:r>
      <w:r>
        <w:rPr>
          <w:rFonts w:ascii="Arial" w:cs="Arial" w:eastAsia="Arial" w:hAnsi="Arial"/>
          <w:sz w:val="16"/>
          <w:szCs w:val="16"/>
          <w:color w:val="00A1DF"/>
        </w:rPr>
        <w:t xml:space="preserve"> </w:t>
      </w:r>
      <w:r>
        <w:rPr>
          <w:rFonts w:ascii="Arial" w:cs="Arial" w:eastAsia="Arial" w:hAnsi="Arial"/>
          <w:sz w:val="16"/>
          <w:szCs w:val="16"/>
          <w:color w:val="000000"/>
        </w:rPr>
        <w:t>and youth in science, technology, engineering and math (STEM).</w:t>
      </w:r>
    </w:p>
    <w:p>
      <w:pPr>
        <w:spacing w:after="0" w:line="81" w:lineRule="exact"/>
        <w:rPr>
          <w:sz w:val="20"/>
          <w:szCs w:val="20"/>
          <w:color w:val="auto"/>
        </w:rPr>
      </w:pPr>
    </w:p>
    <w:p>
      <w:pPr>
        <w:ind w:left="160" w:right="20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Actions GM has taken to maintain and</w:t>
      </w:r>
      <w:r>
        <w:rPr>
          <w:rFonts w:ascii="Arial" w:cs="Arial" w:eastAsia="Arial" w:hAnsi="Arial"/>
          <w:sz w:val="16"/>
          <w:szCs w:val="16"/>
          <w:color w:val="00A1DF"/>
        </w:rPr>
        <w:t xml:space="preserve"> </w:t>
      </w:r>
      <w:r>
        <w:rPr>
          <w:rFonts w:ascii="Arial" w:cs="Arial" w:eastAsia="Arial" w:hAnsi="Arial"/>
          <w:sz w:val="16"/>
          <w:szCs w:val="16"/>
          <w:color w:val="000000"/>
        </w:rPr>
        <w:t>improve a responsible supply chain.</w:t>
      </w:r>
    </w:p>
    <w:p>
      <w:pPr>
        <w:spacing w:after="0" w:line="64" w:lineRule="exact"/>
        <w:rPr>
          <w:sz w:val="20"/>
          <w:szCs w:val="20"/>
          <w:color w:val="auto"/>
        </w:rPr>
      </w:pPr>
    </w:p>
    <w:p>
      <w:pPr>
        <w:ind w:left="160" w:right="1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Efforts GM has led to create a diverse</w:t>
      </w:r>
      <w:r>
        <w:rPr>
          <w:rFonts w:ascii="Arial" w:cs="Arial" w:eastAsia="Arial" w:hAnsi="Arial"/>
          <w:sz w:val="16"/>
          <w:szCs w:val="16"/>
          <w:color w:val="00A1DF"/>
        </w:rPr>
        <w:t xml:space="preserve"> </w:t>
      </w:r>
      <w:r>
        <w:rPr>
          <w:rFonts w:ascii="Arial" w:cs="Arial" w:eastAsia="Arial" w:hAnsi="Arial"/>
          <w:sz w:val="16"/>
          <w:szCs w:val="16"/>
          <w:color w:val="000000"/>
        </w:rPr>
        <w:t>and safe workplace of choice.</w:t>
      </w:r>
    </w:p>
    <w:p>
      <w:pPr>
        <w:spacing w:after="0" w:line="1631" w:lineRule="exact"/>
        <w:rPr>
          <w:sz w:val="20"/>
          <w:szCs w:val="20"/>
          <w:color w:val="auto"/>
        </w:rPr>
      </w:pPr>
    </w:p>
    <w:p>
      <w:pPr>
        <w:sectPr>
          <w:pgSz w:w="11900" w:h="16838" w:orient="portrait"/>
          <w:cols w:equalWidth="0" w:num="3">
            <w:col w:w="3660" w:space="600"/>
            <w:col w:w="3280" w:space="480"/>
            <w:col w:w="32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wp:posOffset>
            </wp:positionV>
            <wp:extent cx="617474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00A1DF"/>
        </w:rPr>
        <w:t xml:space="preserve">ITEM NO. 1 </w:t>
      </w:r>
      <w:r>
        <w:rPr>
          <w:rFonts w:ascii="Arial" w:cs="Arial" w:eastAsia="Arial" w:hAnsi="Arial"/>
          <w:sz w:val="38"/>
          <w:szCs w:val="38"/>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184785</wp:posOffset>
            </wp:positionV>
            <wp:extent cx="6946265" cy="977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26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Overview of Your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316230</wp:posOffset>
            </wp:positionV>
            <wp:extent cx="6182995" cy="6491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82995" cy="649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6277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627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wp:posOffset>
            </wp:positionV>
            <wp:extent cx="617474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p>
      <w:pPr>
        <w:ind w:left="520" w:hanging="316"/>
        <w:spacing w:after="0"/>
        <w:tabs>
          <w:tab w:leader="none" w:pos="520" w:val="left"/>
        </w:tabs>
        <w:numPr>
          <w:ilvl w:val="0"/>
          <w:numId w:val="10"/>
        </w:numPr>
        <w:rPr>
          <w:rFonts w:ascii="Arial" w:cs="Arial" w:eastAsia="Arial" w:hAnsi="Arial"/>
          <w:sz w:val="18"/>
          <w:szCs w:val="18"/>
          <w:b w:val="1"/>
          <w:bCs w:val="1"/>
          <w:color w:val="0033A0"/>
        </w:rPr>
      </w:pPr>
      <w:r>
        <w:rPr>
          <w:rFonts w:ascii="Arial" w:cs="Arial" w:eastAsia="Arial" w:hAnsi="Arial"/>
          <w:sz w:val="22"/>
          <w:szCs w:val="22"/>
          <w:b w:val="1"/>
          <w:bCs w:val="1"/>
          <w:color w:val="0033A0"/>
        </w:rPr>
        <w:t>Diversity of Skills, Qualifications, and Experience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Your Board nominees offer a diverse range of skills and experience in relevant areas.</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280" w:type="dxa"/>
            <w:vAlign w:val="bottom"/>
          </w:tcPr>
          <w:p>
            <w:pPr>
              <w:jc w:val="center"/>
              <w:spacing w:after="0"/>
              <w:rPr>
                <w:sz w:val="20"/>
                <w:szCs w:val="20"/>
                <w:color w:val="auto"/>
              </w:rPr>
            </w:pPr>
            <w:r>
              <w:rPr>
                <w:rFonts w:ascii="Arial" w:cs="Arial" w:eastAsia="Arial" w:hAnsi="Arial"/>
                <w:sz w:val="13"/>
                <w:szCs w:val="13"/>
                <w:b w:val="1"/>
                <w:bCs w:val="1"/>
                <w:color w:val="00A1DF"/>
                <w:w w:val="97"/>
              </w:rPr>
              <w:t>SKILL/</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1"/>
        </w:trPr>
        <w:tc>
          <w:tcPr>
            <w:tcW w:w="128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00A1DF"/>
                <w:w w:val="96"/>
              </w:rPr>
              <w:t>QUALIFICATION</w:t>
            </w:r>
          </w:p>
        </w:tc>
        <w:tc>
          <w:tcPr>
            <w:tcW w:w="8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3"/>
              </w:rPr>
              <w:t>BARRA</w:t>
            </w:r>
          </w:p>
        </w:tc>
        <w:tc>
          <w:tcPr>
            <w:tcW w:w="82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6"/>
              </w:rPr>
              <w:t>SOLSO</w:t>
            </w:r>
          </w:p>
        </w:tc>
        <w:tc>
          <w:tcPr>
            <w:tcW w:w="90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6"/>
              </w:rPr>
              <w:t>GOODEN</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9"/>
              </w:rPr>
              <w:t>JIMENEZ</w:t>
            </w:r>
          </w:p>
        </w:tc>
        <w:tc>
          <w:tcPr>
            <w:tcW w:w="9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7"/>
              </w:rPr>
              <w:t>MENDILLO</w:t>
            </w:r>
          </w:p>
        </w:tc>
        <w:tc>
          <w:tcPr>
            <w:tcW w:w="88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5"/>
              </w:rPr>
              <w:t>MULLEN</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0"/>
              </w:rPr>
              <w:t>MULVA</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9"/>
              </w:rPr>
              <w:t>RUSSO</w:t>
            </w:r>
          </w:p>
        </w:tc>
        <w:tc>
          <w:tcPr>
            <w:tcW w:w="900" w:type="dxa"/>
            <w:vAlign w:val="bottom"/>
            <w:tcBorders>
              <w:bottom w:val="single" w:sz="8" w:color="00A1DF"/>
            </w:tcBorders>
          </w:tcPr>
          <w:p>
            <w:pPr>
              <w:jc w:val="center"/>
              <w:ind w:left="5"/>
              <w:spacing w:after="0"/>
              <w:rPr>
                <w:sz w:val="20"/>
                <w:szCs w:val="20"/>
                <w:color w:val="auto"/>
              </w:rPr>
            </w:pPr>
            <w:r>
              <w:rPr>
                <w:rFonts w:ascii="Arial" w:cs="Arial" w:eastAsia="Arial" w:hAnsi="Arial"/>
                <w:sz w:val="13"/>
                <w:szCs w:val="13"/>
                <w:b w:val="1"/>
                <w:bCs w:val="1"/>
                <w:color w:val="auto"/>
                <w:w w:val="98"/>
              </w:rPr>
              <w:t>SCHOEWE</w:t>
            </w:r>
          </w:p>
        </w:tc>
        <w:tc>
          <w:tcPr>
            <w:tcW w:w="1120" w:type="dxa"/>
            <w:vAlign w:val="bottom"/>
            <w:tcBorders>
              <w:bottom w:val="single" w:sz="8" w:color="00A1DF"/>
            </w:tcBorders>
          </w:tcPr>
          <w:p>
            <w:pPr>
              <w:jc w:val="center"/>
              <w:ind w:right="5"/>
              <w:spacing w:after="0"/>
              <w:rPr>
                <w:sz w:val="20"/>
                <w:szCs w:val="20"/>
                <w:color w:val="auto"/>
              </w:rPr>
            </w:pPr>
            <w:r>
              <w:rPr>
                <w:rFonts w:ascii="Arial" w:cs="Arial" w:eastAsia="Arial" w:hAnsi="Arial"/>
                <w:sz w:val="13"/>
                <w:szCs w:val="13"/>
                <w:b w:val="1"/>
                <w:bCs w:val="1"/>
                <w:color w:val="auto"/>
                <w:w w:val="98"/>
              </w:rPr>
              <w:t>STEPHENSON</w:t>
            </w:r>
          </w:p>
        </w:tc>
        <w:tc>
          <w:tcPr>
            <w:tcW w:w="840" w:type="dxa"/>
            <w:vAlign w:val="bottom"/>
            <w:tcBorders>
              <w:bottom w:val="single" w:sz="8" w:color="00A1DF"/>
            </w:tcBorders>
          </w:tcPr>
          <w:p>
            <w:pPr>
              <w:jc w:val="center"/>
              <w:spacing w:after="0"/>
              <w:rPr>
                <w:sz w:val="20"/>
                <w:szCs w:val="20"/>
                <w:color w:val="auto"/>
              </w:rPr>
            </w:pPr>
            <w:r>
              <w:rPr>
                <w:rFonts w:ascii="Arial" w:cs="Arial" w:eastAsia="Arial" w:hAnsi="Arial"/>
                <w:sz w:val="13"/>
                <w:szCs w:val="13"/>
                <w:b w:val="1"/>
                <w:bCs w:val="1"/>
                <w:color w:val="auto"/>
                <w:w w:val="95"/>
              </w:rPr>
              <w:t>WENIG</w:t>
            </w:r>
          </w:p>
        </w:tc>
      </w:tr>
      <w:tr>
        <w:trPr>
          <w:trHeight w:val="33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43"/>
        </w:trPr>
        <w:tc>
          <w:tcPr>
            <w:tcW w:w="1280" w:type="dxa"/>
            <w:vAlign w:val="bottom"/>
            <w:tcBorders>
              <w:bottom w:val="single" w:sz="8" w:color="auto"/>
            </w:tcBorders>
            <w:shd w:val="clear" w:color="auto" w:fill="E5F5FB"/>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418"/>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38"/>
        </w:trPr>
        <w:tc>
          <w:tcPr>
            <w:tcW w:w="1280" w:type="dxa"/>
            <w:vAlign w:val="bottom"/>
            <w:tcBorders>
              <w:bottom w:val="single" w:sz="8" w:color="auto"/>
            </w:tcBorders>
            <w:shd w:val="clear" w:color="auto" w:fill="E5F5FB"/>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left="5"/>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97"/>
        </w:trPr>
        <w:tc>
          <w:tcPr>
            <w:tcW w:w="1280" w:type="dxa"/>
            <w:vAlign w:val="bottom"/>
            <w:tcBorders>
              <w:bottom w:val="single" w:sz="8" w:color="auto"/>
            </w:tcBorders>
            <w:shd w:val="clear" w:color="auto" w:fill="E5F5FB"/>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377"/>
        </w:trPr>
        <w:tc>
          <w:tcPr>
            <w:tcW w:w="1280" w:type="dxa"/>
            <w:vAlign w:val="bottom"/>
            <w:shd w:val="clear" w:color="auto" w:fill="E5F5FB"/>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87"/>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1120" w:type="dxa"/>
            <w:vAlign w:val="bottom"/>
          </w:tcPr>
          <w:p>
            <w:pPr>
              <w:jc w:val="center"/>
              <w:ind w:right="5"/>
              <w:spacing w:after="0"/>
              <w:rPr>
                <w:sz w:val="20"/>
                <w:szCs w:val="20"/>
                <w:color w:val="auto"/>
              </w:rPr>
            </w:pPr>
            <w:r>
              <w:rPr>
                <w:rFonts w:ascii="Arial" w:cs="Arial" w:eastAsia="Arial" w:hAnsi="Arial"/>
                <w:sz w:val="15"/>
                <w:szCs w:val="15"/>
                <w:color w:val="auto"/>
                <w:w w:val="87"/>
              </w:rPr>
              <w:t>●</w:t>
            </w:r>
          </w:p>
        </w:tc>
        <w:tc>
          <w:tcPr>
            <w:tcW w:w="840" w:type="dxa"/>
            <w:vAlign w:val="bottom"/>
          </w:tcPr>
          <w:p>
            <w:pPr>
              <w:spacing w:after="0"/>
              <w:rPr>
                <w:sz w:val="24"/>
                <w:szCs w:val="24"/>
                <w:color w:val="auto"/>
              </w:rPr>
            </w:pPr>
          </w:p>
        </w:tc>
      </w:tr>
      <w:tr>
        <w:trPr>
          <w:trHeight w:val="197"/>
        </w:trPr>
        <w:tc>
          <w:tcPr>
            <w:tcW w:w="1280" w:type="dxa"/>
            <w:vAlign w:val="bottom"/>
            <w:tcBorders>
              <w:bottom w:val="single" w:sz="8" w:color="0033A0"/>
            </w:tcBorders>
            <w:shd w:val="clear" w:color="auto" w:fill="E5F5FB"/>
          </w:tcPr>
          <w:p>
            <w:pPr>
              <w:spacing w:after="0"/>
              <w:rPr>
                <w:sz w:val="17"/>
                <w:szCs w:val="17"/>
                <w:color w:val="auto"/>
              </w:rPr>
            </w:pPr>
          </w:p>
        </w:tc>
        <w:tc>
          <w:tcPr>
            <w:tcW w:w="820" w:type="dxa"/>
            <w:vAlign w:val="bottom"/>
            <w:tcBorders>
              <w:bottom w:val="single" w:sz="8" w:color="0033A0"/>
            </w:tcBorders>
          </w:tcPr>
          <w:p>
            <w:pPr>
              <w:spacing w:after="0"/>
              <w:rPr>
                <w:sz w:val="17"/>
                <w:szCs w:val="17"/>
                <w:color w:val="auto"/>
              </w:rPr>
            </w:pPr>
          </w:p>
        </w:tc>
        <w:tc>
          <w:tcPr>
            <w:tcW w:w="820" w:type="dxa"/>
            <w:vAlign w:val="bottom"/>
            <w:tcBorders>
              <w:bottom w:val="single" w:sz="8" w:color="0033A0"/>
            </w:tcBorders>
          </w:tcPr>
          <w:p>
            <w:pPr>
              <w:spacing w:after="0"/>
              <w:rPr>
                <w:sz w:val="17"/>
                <w:szCs w:val="17"/>
                <w:color w:val="auto"/>
              </w:rPr>
            </w:pPr>
          </w:p>
        </w:tc>
        <w:tc>
          <w:tcPr>
            <w:tcW w:w="90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940" w:type="dxa"/>
            <w:vAlign w:val="bottom"/>
            <w:tcBorders>
              <w:bottom w:val="single" w:sz="8" w:color="0033A0"/>
            </w:tcBorders>
          </w:tcPr>
          <w:p>
            <w:pPr>
              <w:spacing w:after="0"/>
              <w:rPr>
                <w:sz w:val="17"/>
                <w:szCs w:val="17"/>
                <w:color w:val="auto"/>
              </w:rPr>
            </w:pPr>
          </w:p>
        </w:tc>
        <w:tc>
          <w:tcPr>
            <w:tcW w:w="88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c>
          <w:tcPr>
            <w:tcW w:w="900" w:type="dxa"/>
            <w:vAlign w:val="bottom"/>
            <w:tcBorders>
              <w:bottom w:val="single" w:sz="8" w:color="0033A0"/>
            </w:tcBorders>
          </w:tcPr>
          <w:p>
            <w:pPr>
              <w:spacing w:after="0"/>
              <w:rPr>
                <w:sz w:val="17"/>
                <w:szCs w:val="17"/>
                <w:color w:val="auto"/>
              </w:rPr>
            </w:pPr>
          </w:p>
        </w:tc>
        <w:tc>
          <w:tcPr>
            <w:tcW w:w="1120" w:type="dxa"/>
            <w:vAlign w:val="bottom"/>
            <w:tcBorders>
              <w:bottom w:val="single" w:sz="8" w:color="0033A0"/>
            </w:tcBorders>
          </w:tcPr>
          <w:p>
            <w:pPr>
              <w:spacing w:after="0"/>
              <w:rPr>
                <w:sz w:val="17"/>
                <w:szCs w:val="17"/>
                <w:color w:val="auto"/>
              </w:rPr>
            </w:pPr>
          </w:p>
        </w:tc>
        <w:tc>
          <w:tcPr>
            <w:tcW w:w="840" w:type="dxa"/>
            <w:vAlign w:val="bottom"/>
            <w:tcBorders>
              <w:bottom w:val="single" w:sz="8" w:color="0033A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-3395345</wp:posOffset>
            </wp:positionV>
            <wp:extent cx="70294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-3018155</wp:posOffset>
            </wp:positionV>
            <wp:extent cx="70294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-2589530</wp:posOffset>
            </wp:positionV>
            <wp:extent cx="70294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-2211705</wp:posOffset>
            </wp:positionV>
            <wp:extent cx="702945"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-1834515</wp:posOffset>
            </wp:positionV>
            <wp:extent cx="702945"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-1457325</wp:posOffset>
            </wp:positionV>
            <wp:extent cx="70294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-1080135</wp:posOffset>
            </wp:positionV>
            <wp:extent cx="702945"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-702310</wp:posOffset>
            </wp:positionV>
            <wp:extent cx="70294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 cy="3086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-325120</wp:posOffset>
            </wp:positionV>
            <wp:extent cx="70294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308610"/>
                    </a:xfrm>
                    <a:prstGeom prst="rect">
                      <a:avLst/>
                    </a:prstGeom>
                    <a:noFill/>
                  </pic:spPr>
                </pic:pic>
              </a:graphicData>
            </a:graphic>
          </wp:anchor>
        </w:drawing>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Membership Criteria, Refreshment, and Succession Planning</w:t>
      </w:r>
    </w:p>
    <w:p>
      <w:pPr>
        <w:spacing w:after="0" w:line="189"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selection of qualified directors is fundamental to the Board’s successful oversight of GM’s strategy and enterprise risks. As a result, ensuring your Board is composed of directors who bring diverse viewpoints and perspectives, exhibit a variety of skills, professional experiences, and backgrounds, and effectively represent the long-term interests of shareholders is critical to your Board and the Governance Committee. The priorities for recruiting new directors are continually evolving based on the Company’s strategic needs and the skills composition of your Board at any particular time. These dynamic priorities ensure the Board remains a strategic asset capable of addressing the risks, trends, and opportunities that GM will face in the future. In evaluating potential director candidates, the Governance Committee considers, among other factors, the criteria shown above in the skills and qualifications matrix for your current directors and any additional characteristics that it believes one or more directors should possess based on an assessment of the needs of the Board at that time. In every case, director candidates must be able to contribute significantly to your Board’s discussion and decision-making on the broad array of complex issues facing GM. The Governance Committee also engages a reputable, qualified search firm that uses our skills matrix to inform the search and help identify and evaluate potential candidates.</w:t>
      </w:r>
    </w:p>
    <w:p>
      <w:pPr>
        <w:spacing w:after="0" w:line="293" w:lineRule="exact"/>
        <w:rPr>
          <w:sz w:val="20"/>
          <w:szCs w:val="20"/>
          <w:color w:val="auto"/>
        </w:rPr>
      </w:pPr>
    </w:p>
    <w:p>
      <w:pPr>
        <w:ind w:left="520" w:hanging="316"/>
        <w:spacing w:after="0"/>
        <w:tabs>
          <w:tab w:leader="none" w:pos="520" w:val="left"/>
        </w:tabs>
        <w:numPr>
          <w:ilvl w:val="0"/>
          <w:numId w:val="11"/>
        </w:numPr>
        <w:rPr>
          <w:rFonts w:ascii="Arial" w:cs="Arial" w:eastAsia="Arial" w:hAnsi="Arial"/>
          <w:sz w:val="18"/>
          <w:szCs w:val="18"/>
          <w:b w:val="1"/>
          <w:bCs w:val="1"/>
          <w:color w:val="0033A0"/>
        </w:rPr>
      </w:pPr>
      <w:r>
        <w:rPr>
          <w:rFonts w:ascii="Arial" w:cs="Arial" w:eastAsia="Arial" w:hAnsi="Arial"/>
          <w:sz w:val="22"/>
          <w:szCs w:val="22"/>
          <w:b w:val="1"/>
          <w:bCs w:val="1"/>
          <w:color w:val="0033A0"/>
        </w:rPr>
        <w:t>Board Diversity</w:t>
      </w:r>
    </w:p>
    <w:p>
      <w:pPr>
        <w:spacing w:after="0" w:line="200"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The Governance Committee considers individuals with a broad range of business experience and varied backgrounds. Although GM does not have a formal policy governing diversity among directors, your Board strives to identify candidates with diverse backgrounds. We recognize the value of overall diversity and consider members’ and candidates’ opinions, perspectives, personal and professional experiences, and backgrounds, including gender, race, ethnicity, and country of origin. We believe that the judgment and perspectives offered by a diverse board of directors improves the quality of decision making and enhances the Company’s business performance. We also believe such diversity can help the Board respond more effectively to the needs of customers, shareholders, employees, suppliers, and other stakeholders.</w:t>
      </w:r>
    </w:p>
    <w:p>
      <w:pPr>
        <w:spacing w:after="0" w:line="141" w:lineRule="exact"/>
        <w:rPr>
          <w:sz w:val="20"/>
          <w:szCs w:val="20"/>
          <w:color w:val="auto"/>
        </w:rPr>
      </w:pPr>
    </w:p>
    <w:p>
      <w:pPr>
        <w:ind w:left="11100"/>
        <w:spacing w:after="0"/>
        <w:rPr>
          <w:sz w:val="20"/>
          <w:szCs w:val="20"/>
          <w:color w:val="auto"/>
        </w:rPr>
      </w:pPr>
      <w:r>
        <w:rPr>
          <w:rFonts w:ascii="Arial" w:cs="Arial" w:eastAsia="Arial" w:hAnsi="Arial"/>
          <w:sz w:val="14"/>
          <w:szCs w:val="14"/>
          <w:color w:val="0033A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20" w:hanging="316"/>
        <w:spacing w:after="0"/>
        <w:tabs>
          <w:tab w:leader="none" w:pos="520" w:val="left"/>
        </w:tabs>
        <w:numPr>
          <w:ilvl w:val="0"/>
          <w:numId w:val="12"/>
        </w:numPr>
        <w:rPr>
          <w:rFonts w:ascii="Arial" w:cs="Arial" w:eastAsia="Arial" w:hAnsi="Arial"/>
          <w:sz w:val="18"/>
          <w:szCs w:val="18"/>
          <w:b w:val="1"/>
          <w:bCs w:val="1"/>
          <w:color w:val="0033A0"/>
        </w:rPr>
      </w:pPr>
      <w:r>
        <w:rPr>
          <w:rFonts w:ascii="Arial" w:cs="Arial" w:eastAsia="Arial" w:hAnsi="Arial"/>
          <w:sz w:val="22"/>
          <w:szCs w:val="22"/>
          <w:b w:val="1"/>
          <w:bCs w:val="1"/>
          <w:color w:val="0033A0"/>
        </w:rPr>
        <w:t>Candidate Recommendations</w:t>
      </w:r>
    </w:p>
    <w:p>
      <w:pPr>
        <w:spacing w:after="0" w:line="20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Governance Committee will consider persons recommended by shareholders for election to the Board. The Governance Committee will review the qualifications and experience of each recommended candidate using the same criteria for candidates proposed by Board members and communicate its decision to the candidate or the person who made the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306705</wp:posOffset>
            </wp:positionV>
            <wp:extent cx="6946265" cy="668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62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hanging="316"/>
        <w:spacing w:after="0"/>
        <w:tabs>
          <w:tab w:leader="none" w:pos="520" w:val="left"/>
        </w:tabs>
        <w:numPr>
          <w:ilvl w:val="0"/>
          <w:numId w:val="13"/>
        </w:numPr>
        <w:rPr>
          <w:rFonts w:ascii="Arial" w:cs="Arial" w:eastAsia="Arial" w:hAnsi="Arial"/>
          <w:sz w:val="18"/>
          <w:szCs w:val="18"/>
          <w:b w:val="1"/>
          <w:bCs w:val="1"/>
          <w:color w:val="0033A0"/>
        </w:rPr>
      </w:pPr>
      <w:r>
        <w:rPr>
          <w:rFonts w:ascii="Arial" w:cs="Arial" w:eastAsia="Arial" w:hAnsi="Arial"/>
          <w:sz w:val="22"/>
          <w:szCs w:val="22"/>
          <w:b w:val="1"/>
          <w:bCs w:val="1"/>
          <w:color w:val="0033A0"/>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151765</wp:posOffset>
            </wp:positionV>
            <wp:extent cx="6860540" cy="2838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605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Your Board’s Nominees for Director</w:t>
      </w:r>
    </w:p>
    <w:p>
      <w:pPr>
        <w:spacing w:after="0" w:line="17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Set forth below is other information about our director nominees, including their name and age, recent employment or principal occupation, their period of service as a GM director, the names of other public companies for which they currently serve as a director or have served as a director in the past, and a summary of their specific experiences, qualifications, attributes, and skills. We believe each of your Board’s nominees is highly qualified with unique experiences that are particularly beneficial to GM. Collectively, we believe these director nominees represent the best mix of expertise, qualifications, and skills to advance GM’s business strategy and serve the interest of all of our shareholders by driving long-term shareholder value.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 xml:space="preserve">The Board of Directors recommends a vote </w:t>
      </w:r>
      <w:r>
        <w:rPr>
          <w:rFonts w:ascii="Arial" w:cs="Arial" w:eastAsia="Arial" w:hAnsi="Arial"/>
          <w:sz w:val="20"/>
          <w:szCs w:val="20"/>
          <w:b w:val="1"/>
          <w:bCs w:val="1"/>
          <w:u w:val="single" w:color="auto"/>
          <w:color w:val="00A1DF"/>
        </w:rPr>
        <w:t>FOR</w:t>
      </w:r>
      <w:r>
        <w:rPr>
          <w:rFonts w:ascii="Arial" w:cs="Arial" w:eastAsia="Arial" w:hAnsi="Arial"/>
          <w:sz w:val="20"/>
          <w:szCs w:val="20"/>
          <w:b w:val="1"/>
          <w:bCs w:val="1"/>
          <w:color w:val="0033A0"/>
        </w:rPr>
        <w:t xml:space="preserve"> each of the nominees below.</w:t>
      </w:r>
    </w:p>
    <w:p>
      <w:pPr>
        <w:spacing w:after="0" w:line="356"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0033A0"/>
        </w:rPr>
        <w:t>Mary T. Barra</w:t>
      </w:r>
    </w:p>
    <w:p>
      <w:pPr>
        <w:spacing w:after="0" w:line="108"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Chairman &amp; Chief Executive Officer,</w:t>
      </w:r>
    </w:p>
    <w:p>
      <w:pPr>
        <w:spacing w:after="0" w:line="14"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General Motors Company</w:t>
      </w:r>
    </w:p>
    <w:p>
      <w:pPr>
        <w:spacing w:after="0" w:line="320"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56 years old</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2014</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(Chair)</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Walt Disney Company</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 Dynamics Corporation (2011 to 2017)</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Ms. Barra has served as Chairman of GM’s Board of Directors since January 2016 and Chief Executive Officer of GM since January 2014. Prior to that time, she served as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at GM in 1980.</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20" w:hanging="316"/>
        <w:spacing w:after="0" w:line="250" w:lineRule="auto"/>
        <w:tabs>
          <w:tab w:leader="none" w:pos="449"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GM and in other key leadership positions at the Company, including experience in operational excellence, strategic planning, purchasing and supply chain, human resources, and manufacturing and engineering.</w:t>
      </w:r>
    </w:p>
    <w:p>
      <w:pPr>
        <w:ind w:left="500" w:hanging="296"/>
        <w:spacing w:after="0"/>
        <w:tabs>
          <w:tab w:leader="none" w:pos="50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In-depth knowledge of the global automotive industry.</w:t>
      </w:r>
    </w:p>
    <w:p>
      <w:pPr>
        <w:spacing w:after="0" w:line="18" w:lineRule="exact"/>
        <w:rPr>
          <w:rFonts w:ascii="Arial" w:cs="Arial" w:eastAsia="Arial" w:hAnsi="Arial"/>
          <w:sz w:val="16"/>
          <w:szCs w:val="16"/>
          <w:color w:val="00A1DF"/>
        </w:rPr>
      </w:pPr>
    </w:p>
    <w:p>
      <w:pPr>
        <w:ind w:left="520" w:right="20" w:hanging="316"/>
        <w:spacing w:after="0" w:line="255" w:lineRule="auto"/>
        <w:tabs>
          <w:tab w:leader="none" w:pos="449"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Deep understanding of GM’s strengths, weaknesses, opportunities, challenges, risks, and corporate culture.</w:t>
      </w:r>
    </w:p>
    <w:p>
      <w:pPr>
        <w:ind w:left="520" w:hanging="316"/>
        <w:spacing w:after="0" w:line="255" w:lineRule="auto"/>
        <w:tabs>
          <w:tab w:leader="none" w:pos="440"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Ability to drive the efficient execution of GM’s strategic plan and vision for the future.</w:t>
      </w:r>
    </w:p>
    <w:p>
      <w:pPr>
        <w:ind w:left="520" w:hanging="316"/>
        <w:spacing w:after="0" w:line="255" w:lineRule="auto"/>
        <w:tabs>
          <w:tab w:leader="none" w:pos="449"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Strong leadership and management skills coupled with extensive engineering and global product development experience.</w:t>
      </w:r>
    </w:p>
    <w:p>
      <w:pPr>
        <w:ind w:left="520" w:hanging="316"/>
        <w:spacing w:after="0" w:line="278" w:lineRule="auto"/>
        <w:tabs>
          <w:tab w:leader="none" w:pos="449" w:val="left"/>
        </w:tabs>
        <w:numPr>
          <w:ilvl w:val="0"/>
          <w:numId w:val="14"/>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88265</wp:posOffset>
            </wp:positionV>
            <wp:extent cx="686054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
        <w:spacing w:after="0"/>
        <w:rPr>
          <w:sz w:val="20"/>
          <w:szCs w:val="20"/>
          <w:color w:val="auto"/>
        </w:rPr>
      </w:pPr>
      <w:r>
        <w:rPr>
          <w:rFonts w:ascii="Arial" w:cs="Arial" w:eastAsia="Arial" w:hAnsi="Arial"/>
          <w:sz w:val="18"/>
          <w:szCs w:val="18"/>
          <w:b w:val="1"/>
          <w:bCs w:val="1"/>
          <w:color w:val="0033A0"/>
        </w:rPr>
        <w:t>Theodore M. Solso</w:t>
      </w:r>
    </w:p>
    <w:p>
      <w:pPr>
        <w:spacing w:after="0" w:line="108" w:lineRule="exact"/>
        <w:rPr>
          <w:sz w:val="20"/>
          <w:szCs w:val="20"/>
          <w:color w:val="auto"/>
        </w:rPr>
      </w:pPr>
    </w:p>
    <w:p>
      <w:pPr>
        <w:jc w:val="center"/>
        <w:ind w:left="448" w:right="32"/>
        <w:spacing w:after="0" w:line="251" w:lineRule="auto"/>
        <w:rPr>
          <w:sz w:val="20"/>
          <w:szCs w:val="20"/>
          <w:color w:val="auto"/>
        </w:rPr>
      </w:pPr>
      <w:r>
        <w:rPr>
          <w:rFonts w:ascii="Arial" w:cs="Arial" w:eastAsia="Arial" w:hAnsi="Arial"/>
          <w:sz w:val="18"/>
          <w:szCs w:val="18"/>
          <w:i w:val="1"/>
          <w:iCs w:val="1"/>
          <w:color w:val="auto"/>
        </w:rPr>
        <w:t>Independent Lead Director, General Motors Company and Retired Chairman &amp; Chief Executive Officer, Cummins, Inc.</w:t>
      </w:r>
    </w:p>
    <w:p>
      <w:pPr>
        <w:spacing w:after="0" w:line="98"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71 years old</w:t>
      </w:r>
    </w:p>
    <w:p>
      <w:pPr>
        <w:spacing w:after="0" w:line="10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Director since: 2012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Executive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Ball Corporation (Lead Director)</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Ashland Inc. (1999 to 2012) (Lead director 2003 to 2010)</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8" w:right="40"/>
        <w:spacing w:after="0" w:line="250" w:lineRule="auto"/>
        <w:rPr>
          <w:sz w:val="20"/>
          <w:szCs w:val="20"/>
          <w:color w:val="auto"/>
        </w:rPr>
      </w:pPr>
      <w:r>
        <w:rPr>
          <w:rFonts w:ascii="Arial" w:cs="Arial" w:eastAsia="Arial" w:hAnsi="Arial"/>
          <w:sz w:val="16"/>
          <w:szCs w:val="16"/>
          <w:color w:val="auto"/>
        </w:rPr>
        <w:t>Mr. Solso served as Non-Executive Chairman of the GM Board of Directors from 2014 to 2016. He was Chairman and Chief Executive Officer of Cummins, Inc. (“Cummins”) from 2000 until his retirement in 2011 and President and Chief Operating Officer of Cummins from 1995 to 2000.</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8" w:right="40" w:hanging="328"/>
        <w:spacing w:after="0" w:line="252" w:lineRule="auto"/>
        <w:tabs>
          <w:tab w:leader="none" w:pos="257"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Cummins, including automotive-related experience and experience in finance, accounting, and vehicle and workplace safety.</w:t>
      </w:r>
    </w:p>
    <w:p>
      <w:pPr>
        <w:spacing w:after="0" w:line="1" w:lineRule="exact"/>
        <w:rPr>
          <w:rFonts w:ascii="Arial" w:cs="Arial" w:eastAsia="Arial" w:hAnsi="Arial"/>
          <w:sz w:val="16"/>
          <w:szCs w:val="16"/>
          <w:color w:val="00A1DF"/>
        </w:rPr>
      </w:pPr>
    </w:p>
    <w:p>
      <w:pPr>
        <w:ind w:left="328" w:right="40" w:hanging="328"/>
        <w:spacing w:after="0" w:line="252" w:lineRule="auto"/>
        <w:tabs>
          <w:tab w:leader="none" w:pos="257"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Background leading a company through strong financial performance and shareholder returns, international growth, and business restructurings.</w:t>
      </w:r>
    </w:p>
    <w:p>
      <w:pPr>
        <w:spacing w:after="0" w:line="1" w:lineRule="exact"/>
        <w:rPr>
          <w:rFonts w:ascii="Arial" w:cs="Arial" w:eastAsia="Arial" w:hAnsi="Arial"/>
          <w:sz w:val="16"/>
          <w:szCs w:val="16"/>
          <w:color w:val="00A1DF"/>
        </w:rPr>
      </w:pPr>
    </w:p>
    <w:p>
      <w:pPr>
        <w:ind w:left="328" w:right="40" w:hanging="328"/>
        <w:spacing w:after="0" w:line="251" w:lineRule="auto"/>
        <w:tabs>
          <w:tab w:leader="none" w:pos="257"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environmental issues, corporate responsibility, diversity, and human rights issues, gained as the CEO of Cummins and the lead director of GM and other large global public companies.</w:t>
      </w:r>
    </w:p>
    <w:p>
      <w:pPr>
        <w:ind w:left="328" w:right="40" w:hanging="328"/>
        <w:spacing w:after="0" w:line="251" w:lineRule="auto"/>
        <w:tabs>
          <w:tab w:leader="none" w:pos="257"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Extensive experience in automotive manufacturing and engineering, including with respect to emissions reduction technology, development of diesel engines, and compliance with challenging emissions laws and regulations.</w:t>
      </w:r>
    </w:p>
    <w:p>
      <w:pPr>
        <w:ind w:left="328" w:right="40" w:hanging="328"/>
        <w:spacing w:after="0" w:line="262" w:lineRule="auto"/>
        <w:tabs>
          <w:tab w:leader="none" w:pos="257" w:val="left"/>
        </w:tabs>
        <w:numPr>
          <w:ilvl w:val="0"/>
          <w:numId w:val="15"/>
        </w:numPr>
        <w:rPr>
          <w:rFonts w:ascii="Arial" w:cs="Arial" w:eastAsia="Arial" w:hAnsi="Arial"/>
          <w:sz w:val="16"/>
          <w:szCs w:val="16"/>
          <w:color w:val="00A1DF"/>
        </w:rPr>
      </w:pPr>
      <w:r>
        <w:rPr>
          <w:rFonts w:ascii="Arial" w:cs="Arial" w:eastAsia="Arial" w:hAnsi="Arial"/>
          <w:sz w:val="16"/>
          <w:szCs w:val="16"/>
          <w:color w:val="auto"/>
        </w:rPr>
        <w:t>Valuable insight into advancing the business priorities of GM’s international operations gained as the U.S. Chairman of the U.S.-Brazil CEO Forum.</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11</w:t>
      </w:r>
    </w:p>
    <w:p>
      <w:pPr>
        <w:sectPr>
          <w:pgSz w:w="11900" w:h="16838" w:orient="portrait"/>
          <w:cols w:equalWidth="0" w:num="2">
            <w:col w:w="5500" w:space="552"/>
            <w:col w:w="5208"/>
          </w:cols>
          <w:pgMar w:left="240" w:top="459" w:right="3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0033A0"/>
        </w:rPr>
        <w:t>Linda R. Gooden</w:t>
      </w:r>
    </w:p>
    <w:p>
      <w:pPr>
        <w:spacing w:after="0" w:line="108"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Retired Executive Vice President, Information Systems &amp;</w:t>
      </w:r>
    </w:p>
    <w:p>
      <w:pPr>
        <w:spacing w:after="0" w:line="14"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Global Solutions, Lockheed Martin Corporation</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65 years old</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2015</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Cybersecurity (Chair), Executive, Risk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auto"/>
        </w:rPr>
        <w:t>Automatic Data Processing, Inc., The Home Depot, Inc., WGL Holdings, Inc., and Washington Gas &amp; Light Company, a subsidiary of WGL Holdings, Inc.</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Ms. Gooden served as Executive Vice President, Information Systems &amp; Global Solutions of Lockheed Martin Corporation (“Lockheed”) from 2007 to 2013. She was Deputy Executive Vice President, Information and Technology Services of Lockheed from October to December 2006; and President, Information Technology of Lockheed from 1997 to December 2006.</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20" w:right="20" w:hanging="316"/>
        <w:spacing w:after="0" w:line="251" w:lineRule="auto"/>
        <w:tabs>
          <w:tab w:leader="none" w:pos="449"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through various leadership positions at Lockheed, including experience in technology, innovation, acquisitions, divestitures, business restructuring, finance, and risk management.</w:t>
      </w:r>
    </w:p>
    <w:p>
      <w:pPr>
        <w:ind w:left="520" w:hanging="316"/>
        <w:spacing w:after="0" w:line="251" w:lineRule="auto"/>
        <w:tabs>
          <w:tab w:leader="none" w:pos="449"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Valuable insight into GM’s information technology (“IT”) function, technology systems and processes, and cybersecurity framework, including those related to mobility and autonomous vehicles, gained through various leadership roles at Lockheed.</w:t>
      </w:r>
    </w:p>
    <w:p>
      <w:pPr>
        <w:jc w:val="right"/>
        <w:ind w:left="520" w:hanging="316"/>
        <w:spacing w:after="0" w:line="255" w:lineRule="auto"/>
        <w:tabs>
          <w:tab w:leader="none" w:pos="449"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Extensive expertise in cybersecurity and IT as well as significant operational, strategic planning, and government relations experience.</w:t>
      </w:r>
    </w:p>
    <w:p>
      <w:pPr>
        <w:ind w:left="520" w:hanging="316"/>
        <w:spacing w:after="0" w:line="278" w:lineRule="auto"/>
        <w:tabs>
          <w:tab w:leader="none" w:pos="449" w:val="left"/>
        </w:tabs>
        <w:numPr>
          <w:ilvl w:val="0"/>
          <w:numId w:val="16"/>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other large global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940"/>
        <w:spacing w:after="0"/>
        <w:rPr>
          <w:sz w:val="20"/>
          <w:szCs w:val="20"/>
          <w:color w:val="auto"/>
        </w:rPr>
      </w:pPr>
      <w:r>
        <w:rPr>
          <w:rFonts w:ascii="Arial" w:cs="Arial" w:eastAsia="Arial" w:hAnsi="Arial"/>
          <w:sz w:val="14"/>
          <w:szCs w:val="14"/>
          <w:color w:val="0033A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0033A0"/>
        </w:rPr>
        <w:t>Joseph Jimenez</w:t>
      </w:r>
    </w:p>
    <w:p>
      <w:pPr>
        <w:spacing w:after="0" w:line="108" w:lineRule="exact"/>
        <w:rPr>
          <w:sz w:val="20"/>
          <w:szCs w:val="20"/>
          <w:color w:val="auto"/>
        </w:rPr>
      </w:pPr>
    </w:p>
    <w:p>
      <w:pPr>
        <w:ind w:left="828"/>
        <w:spacing w:after="0"/>
        <w:rPr>
          <w:sz w:val="20"/>
          <w:szCs w:val="20"/>
          <w:color w:val="auto"/>
        </w:rPr>
      </w:pPr>
      <w:r>
        <w:rPr>
          <w:rFonts w:ascii="Arial" w:cs="Arial" w:eastAsia="Arial" w:hAnsi="Arial"/>
          <w:sz w:val="18"/>
          <w:szCs w:val="18"/>
          <w:i w:val="1"/>
          <w:iCs w:val="1"/>
          <w:color w:val="auto"/>
        </w:rPr>
        <w:t>Retired Chief Executive Officer, Novartis AG</w:t>
      </w:r>
    </w:p>
    <w:p>
      <w:pPr>
        <w:spacing w:after="0" w:line="32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58 years old</w:t>
      </w:r>
    </w:p>
    <w:p>
      <w:pPr>
        <w:spacing w:after="0" w:line="10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Director since: 2015</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Executive Compensation, Governance and Corporate Responsibility</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Procter &amp; Gamble Co.</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Colgate-Palmolive Company (2010 to 2015)</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8"/>
        <w:spacing w:after="0" w:line="247" w:lineRule="auto"/>
        <w:rPr>
          <w:sz w:val="20"/>
          <w:szCs w:val="20"/>
          <w:color w:val="auto"/>
        </w:rPr>
      </w:pPr>
      <w:r>
        <w:rPr>
          <w:rFonts w:ascii="Arial" w:cs="Arial" w:eastAsia="Arial" w:hAnsi="Arial"/>
          <w:sz w:val="16"/>
          <w:szCs w:val="16"/>
          <w:color w:val="auto"/>
        </w:rPr>
        <w:t>Mr. Jimenez served as Chief Executive Officer of Novartis AG (“Novartis”) from 2010 until his retirement in 2017. He was Head of Novartis’ Pharmaceuticals Division from October 2007 to 2010 and Head of Novartis’ Consumer Health Division from April to October 2007. Prior to joining Novartis, Mr. Jimenez served as Advisor to the Blackstone Group L.P., a private equity firm, from 2006 to 2007. He was President and Chief Executive Officer of H.J. Heinz Company (“Heinz”) North America from 2002 to 2006 and Executive Vice President, President and Chief Executive Officer of Heinz Europe from 1999 to 2002. Prior to joining Heinz, Mr. Jimenez held various leadership positions at ConAgra Foods Inc. (“ConAgra”), including President and Senior Vice President of two operating divisions from 1993 to 1998.</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8" w:hanging="328"/>
        <w:spacing w:after="0" w:line="251" w:lineRule="auto"/>
        <w:tabs>
          <w:tab w:leader="none" w:pos="257"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Novartis and in other senior leadership positions in the consumer products industry, including experience in international operations, strategic planning, and finance.</w:t>
      </w:r>
    </w:p>
    <w:p>
      <w:pPr>
        <w:ind w:left="328" w:hanging="328"/>
        <w:spacing w:after="0" w:line="251" w:lineRule="auto"/>
        <w:tabs>
          <w:tab w:leader="none" w:pos="257"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Valuable insight into GM’s strategy to enhance the customer experience and earn customers for life gained through various senior leadership positions at Heinz and ConAgra and as a director of Colgate-Palmolive Company.</w:t>
      </w:r>
    </w:p>
    <w:p>
      <w:pPr>
        <w:ind w:left="328" w:hanging="328"/>
        <w:spacing w:after="0" w:line="255" w:lineRule="auto"/>
        <w:tabs>
          <w:tab w:leader="none" w:pos="257"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Experience executing business restructurings and significant business transformations at both Heinz and Novartis.</w:t>
      </w:r>
    </w:p>
    <w:p>
      <w:pPr>
        <w:ind w:left="328" w:hanging="328"/>
        <w:spacing w:after="0" w:line="262" w:lineRule="auto"/>
        <w:tabs>
          <w:tab w:leader="none" w:pos="257" w:val="left"/>
        </w:tabs>
        <w:numPr>
          <w:ilvl w:val="0"/>
          <w:numId w:val="17"/>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the CEO of Novartis and a director of GM and other large global public companies.</w:t>
      </w:r>
    </w:p>
    <w:p>
      <w:pPr>
        <w:sectPr>
          <w:pgSz w:w="11900" w:h="16838" w:orient="portrait"/>
          <w:cols w:equalWidth="0" w:num="2">
            <w:col w:w="5500" w:space="552"/>
            <w:col w:w="5168"/>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0033A0"/>
        </w:rPr>
        <w:t>Jane L. Mendillo</w:t>
      </w:r>
    </w:p>
    <w:p>
      <w:pPr>
        <w:spacing w:after="0" w:line="108"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Retired President &amp; Chief Executive Officer,</w:t>
      </w:r>
    </w:p>
    <w:p>
      <w:pPr>
        <w:spacing w:after="0" w:line="14"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Harvard Management Company</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59 years old</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2016</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Finance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Lazard Ltd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Ms. Mendillo served as President and Chief Executive Officer of the Harvard Management Company (“HMC”) from 2008 to 2014, managing Harvard University’s approximately $37 billion global endowment and related assets. Prior to joining HMC, she was Chief Investment Officer of Wellesley College from 2002 to 2008; and prior to that, she spent 15 years at HMC in various other investment roles. She also served as Chair of the investment committee of the Partners Healthcare System; a member of the board of directors and investment committee of the Mellon Foundation; Senior Investment Advisor and Trustee to the Old Mountain Private Trust Company; and a member of the Board and Executive Committee of Berklee College of Music.</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20" w:hanging="316"/>
        <w:spacing w:after="0" w:line="255" w:lineRule="auto"/>
        <w:tabs>
          <w:tab w:leader="none" w:pos="449"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HMC, including experience in risk and crisis management.</w:t>
      </w:r>
    </w:p>
    <w:p>
      <w:pPr>
        <w:ind w:left="520" w:hanging="316"/>
        <w:spacing w:after="0" w:line="255" w:lineRule="auto"/>
        <w:tabs>
          <w:tab w:leader="none" w:pos="449"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Deep capital markets expertise gained from her more than 30 years managing globally diverse endowments and investment portfolios.</w:t>
      </w:r>
    </w:p>
    <w:p>
      <w:pPr>
        <w:ind w:left="520" w:hanging="316"/>
        <w:spacing w:after="0" w:line="255" w:lineRule="auto"/>
        <w:tabs>
          <w:tab w:leader="none" w:pos="449"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Valuable insight into GM’s disciplined capital allocation framework and its financial policies and strategies.</w:t>
      </w:r>
    </w:p>
    <w:p>
      <w:pPr>
        <w:ind w:left="520" w:hanging="316"/>
        <w:spacing w:after="0" w:line="278" w:lineRule="auto"/>
        <w:tabs>
          <w:tab w:leader="none" w:pos="449" w:val="left"/>
        </w:tabs>
        <w:numPr>
          <w:ilvl w:val="0"/>
          <w:numId w:val="18"/>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another large global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1297305</wp:posOffset>
            </wp:positionV>
            <wp:extent cx="686054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
        <w:spacing w:after="0"/>
        <w:rPr>
          <w:sz w:val="20"/>
          <w:szCs w:val="20"/>
          <w:color w:val="auto"/>
        </w:rPr>
      </w:pPr>
      <w:r>
        <w:rPr>
          <w:rFonts w:ascii="Arial" w:cs="Arial" w:eastAsia="Arial" w:hAnsi="Arial"/>
          <w:sz w:val="18"/>
          <w:szCs w:val="18"/>
          <w:b w:val="1"/>
          <w:bCs w:val="1"/>
          <w:color w:val="0033A0"/>
        </w:rPr>
        <w:t>Admiral Michael G. Mullen</w:t>
      </w:r>
    </w:p>
    <w:p>
      <w:pPr>
        <w:spacing w:after="0" w:line="108" w:lineRule="exact"/>
        <w:rPr>
          <w:sz w:val="20"/>
          <w:szCs w:val="20"/>
          <w:color w:val="auto"/>
        </w:rPr>
      </w:pPr>
    </w:p>
    <w:p>
      <w:pPr>
        <w:ind w:left="1048"/>
        <w:spacing w:after="0"/>
        <w:rPr>
          <w:sz w:val="20"/>
          <w:szCs w:val="20"/>
          <w:color w:val="auto"/>
        </w:rPr>
      </w:pPr>
      <w:r>
        <w:rPr>
          <w:rFonts w:ascii="Arial" w:cs="Arial" w:eastAsia="Arial" w:hAnsi="Arial"/>
          <w:sz w:val="18"/>
          <w:szCs w:val="18"/>
          <w:i w:val="1"/>
          <w:iCs w:val="1"/>
          <w:color w:val="auto"/>
        </w:rPr>
        <w:t>Former Chairman, Joint Chiefs of Staff</w:t>
      </w:r>
    </w:p>
    <w:p>
      <w:pPr>
        <w:spacing w:after="0" w:line="32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71 years old</w:t>
      </w:r>
    </w:p>
    <w:p>
      <w:pPr>
        <w:spacing w:after="0" w:line="10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Director since: 2013</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Audit, Cybersecurity, Executive, Risk (Chair)</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Sprint Corporation</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8" w:right="40"/>
        <w:spacing w:after="0" w:line="248" w:lineRule="auto"/>
        <w:rPr>
          <w:sz w:val="20"/>
          <w:szCs w:val="20"/>
          <w:color w:val="auto"/>
        </w:rPr>
      </w:pPr>
      <w:r>
        <w:rPr>
          <w:rFonts w:ascii="Arial" w:cs="Arial" w:eastAsia="Arial" w:hAnsi="Arial"/>
          <w:sz w:val="16"/>
          <w:szCs w:val="16"/>
          <w:color w:val="auto"/>
        </w:rPr>
        <w:t>Admiral Mullen served as the 17th Chairman of the Joint Chiefs of Staff from 2007 until his retirement in 2011, one of his four different four-star assignments; the others included the 28th Chief of Naval Operations from 2005 to 2007; Commander, U.S. Naval Forces Europe/Allied Joint Force Command Naples from 2004 to 2005; and the 32nd Vice Chief Naval Officer from 2003 to 2004. Admiral Mullen has been President of MGM Consulting LLC since 2012, and he serves as a Charles and Marie Robertson Visiting Professor at the Woodrow Wilson School of Public and International Affairs at Princeton University.</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8" w:right="40" w:hanging="328"/>
        <w:spacing w:after="0" w:line="251" w:lineRule="auto"/>
        <w:tabs>
          <w:tab w:leader="none" w:pos="257"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Extensive senior leadership experience gained over a 43-year career in the U.S. military, including four-star assignments in the U.S. Navy, which were equivalent to the Navy’s Chief Executive Officer, Chief Operating Officer, and Chief Financial Officer, and culminating in his appointment as Chairman of the Joint Chiefs of Staff.</w:t>
      </w:r>
    </w:p>
    <w:p>
      <w:pPr>
        <w:spacing w:after="0" w:line="185" w:lineRule="exact"/>
        <w:rPr>
          <w:rFonts w:ascii="Arial" w:cs="Arial" w:eastAsia="Arial" w:hAnsi="Arial"/>
          <w:sz w:val="16"/>
          <w:szCs w:val="16"/>
          <w:color w:val="00A1DF"/>
        </w:rPr>
      </w:pPr>
    </w:p>
    <w:p>
      <w:pPr>
        <w:ind w:left="328" w:right="40" w:hanging="328"/>
        <w:spacing w:after="0" w:line="251" w:lineRule="auto"/>
        <w:tabs>
          <w:tab w:leader="none" w:pos="257"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Valuable insight into GM’s IT function, technology systems and processes, and cybersecurity framework gained through overseeing the rapid development and deployment of innovative technologies for effective 21st-century military solutions.</w:t>
      </w:r>
    </w:p>
    <w:p>
      <w:pPr>
        <w:ind w:left="328" w:right="40" w:hanging="328"/>
        <w:spacing w:after="0" w:line="251" w:lineRule="auto"/>
        <w:tabs>
          <w:tab w:leader="none" w:pos="257"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Deep experience leading change in complex organizations, strategic planning, budget policy, risk and crisis management, executive development and succession planning, diversity implementation, cybersecurity, and technical innovation.</w:t>
      </w:r>
    </w:p>
    <w:p>
      <w:pPr>
        <w:ind w:left="328" w:right="40" w:hanging="328"/>
        <w:spacing w:after="0" w:line="252" w:lineRule="auto"/>
        <w:tabs>
          <w:tab w:leader="none" w:pos="257"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Experience in navigating geopolitical risks, succession planning, diversity, accountability, crisis management, public policy, and safety culture.</w:t>
      </w:r>
    </w:p>
    <w:p>
      <w:pPr>
        <w:spacing w:after="0" w:line="1" w:lineRule="exact"/>
        <w:rPr>
          <w:rFonts w:ascii="Arial" w:cs="Arial" w:eastAsia="Arial" w:hAnsi="Arial"/>
          <w:sz w:val="16"/>
          <w:szCs w:val="16"/>
          <w:color w:val="00A1DF"/>
        </w:rPr>
      </w:pPr>
    </w:p>
    <w:p>
      <w:pPr>
        <w:ind w:left="328" w:right="40" w:hanging="328"/>
        <w:spacing w:after="0" w:line="262" w:lineRule="auto"/>
        <w:tabs>
          <w:tab w:leader="none" w:pos="257" w:val="left"/>
        </w:tabs>
        <w:numPr>
          <w:ilvl w:val="0"/>
          <w:numId w:val="19"/>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long-tenured military leader and a director of GM and another large global public company.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13</w:t>
      </w:r>
    </w:p>
    <w:p>
      <w:pPr>
        <w:sectPr>
          <w:pgSz w:w="11900" w:h="16838" w:orient="portrait"/>
          <w:cols w:equalWidth="0" w:num="2">
            <w:col w:w="5500" w:space="552"/>
            <w:col w:w="5208"/>
          </w:cols>
          <w:pgMar w:left="240" w:top="459" w:right="3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0033A0"/>
        </w:rPr>
        <w:t>James J. Mulva</w:t>
      </w:r>
    </w:p>
    <w:p>
      <w:pPr>
        <w:spacing w:after="0" w:line="108"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Retired Chairman &amp; Chief Executive Officer, ConocoPhillips</w:t>
      </w:r>
    </w:p>
    <w:p>
      <w:pPr>
        <w:spacing w:after="0" w:line="12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71 years old</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2012</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Executive Compensation, Finance (Chair), Risk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 Electric Company and Baker Hughes, a GE company</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Statoil ASA (2013 to 2015)</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Mulva served as Chairman and Chief Executive Officer of ConocoPhillips from 2004 until his retirement in 2012. He was Chairman, President, and Chief Executive Officer of ConocoPhillips from 2004 to 2008 and President and Chief Executive Officer of ConocoPhillips from 2002 to 2004.</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20" w:hanging="316"/>
        <w:spacing w:after="0" w:line="252" w:lineRule="auto"/>
        <w:tabs>
          <w:tab w:leader="none" w:pos="449"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ConocoPhillips, including experience in finance and international business.</w:t>
      </w:r>
    </w:p>
    <w:p>
      <w:pPr>
        <w:spacing w:after="0" w:line="1" w:lineRule="exact"/>
        <w:rPr>
          <w:rFonts w:ascii="Arial" w:cs="Arial" w:eastAsia="Arial" w:hAnsi="Arial"/>
          <w:sz w:val="16"/>
          <w:szCs w:val="16"/>
          <w:color w:val="00A1DF"/>
        </w:rPr>
      </w:pPr>
    </w:p>
    <w:p>
      <w:pPr>
        <w:ind w:left="520" w:hanging="316"/>
        <w:spacing w:after="0" w:line="256" w:lineRule="auto"/>
        <w:tabs>
          <w:tab w:leader="none" w:pos="449"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Significant strategic business experience, including with respect to mergers and acquisitions, business restructurings, joint ventures, and the successful navigation of the highly competitive energy industry.</w:t>
      </w:r>
    </w:p>
    <w:p>
      <w:pPr>
        <w:spacing w:after="0" w:line="181" w:lineRule="exact"/>
        <w:rPr>
          <w:rFonts w:ascii="Arial" w:cs="Arial" w:eastAsia="Arial" w:hAnsi="Arial"/>
          <w:sz w:val="16"/>
          <w:szCs w:val="16"/>
          <w:color w:val="00A1DF"/>
        </w:rPr>
      </w:pPr>
    </w:p>
    <w:p>
      <w:pPr>
        <w:ind w:left="520" w:hanging="316"/>
        <w:spacing w:after="0" w:line="252" w:lineRule="auto"/>
        <w:tabs>
          <w:tab w:leader="none" w:pos="449"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Valuable insight into GM’s manufacturing and safety strategies gained through experience in global manufacturing at ConocoPhillips with a focus on risk management.</w:t>
      </w:r>
    </w:p>
    <w:p>
      <w:pPr>
        <w:spacing w:after="0" w:line="1" w:lineRule="exact"/>
        <w:rPr>
          <w:rFonts w:ascii="Arial" w:cs="Arial" w:eastAsia="Arial" w:hAnsi="Arial"/>
          <w:sz w:val="16"/>
          <w:szCs w:val="16"/>
          <w:color w:val="00A1DF"/>
        </w:rPr>
      </w:pPr>
    </w:p>
    <w:p>
      <w:pPr>
        <w:ind w:left="520" w:right="20" w:hanging="316"/>
        <w:spacing w:after="0" w:line="262" w:lineRule="auto"/>
        <w:tabs>
          <w:tab w:leader="none" w:pos="449" w:val="left"/>
        </w:tabs>
        <w:numPr>
          <w:ilvl w:val="0"/>
          <w:numId w:val="20"/>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the CEO of ConocoPhillips and a director of GM and other large global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940"/>
        <w:spacing w:after="0"/>
        <w:rPr>
          <w:sz w:val="20"/>
          <w:szCs w:val="20"/>
          <w:color w:val="auto"/>
        </w:rPr>
      </w:pPr>
      <w:r>
        <w:rPr>
          <w:rFonts w:ascii="Arial" w:cs="Arial" w:eastAsia="Arial" w:hAnsi="Arial"/>
          <w:sz w:val="14"/>
          <w:szCs w:val="14"/>
          <w:color w:val="0033A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0033A0"/>
        </w:rPr>
        <w:t>Patricia F. Russo</w:t>
      </w:r>
    </w:p>
    <w:p>
      <w:pPr>
        <w:spacing w:after="0" w:line="108" w:lineRule="exact"/>
        <w:rPr>
          <w:sz w:val="20"/>
          <w:szCs w:val="20"/>
          <w:color w:val="auto"/>
        </w:rPr>
      </w:pPr>
    </w:p>
    <w:p>
      <w:pPr>
        <w:jc w:val="center"/>
        <w:ind w:right="-7"/>
        <w:spacing w:after="0"/>
        <w:rPr>
          <w:sz w:val="20"/>
          <w:szCs w:val="20"/>
          <w:color w:val="auto"/>
        </w:rPr>
      </w:pPr>
      <w:r>
        <w:rPr>
          <w:rFonts w:ascii="Arial" w:cs="Arial" w:eastAsia="Arial" w:hAnsi="Arial"/>
          <w:sz w:val="18"/>
          <w:szCs w:val="18"/>
          <w:i w:val="1"/>
          <w:iCs w:val="1"/>
          <w:color w:val="auto"/>
        </w:rPr>
        <w:t>Chairman, Hewlett Packard Enterprise Company</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65 years old</w:t>
      </w:r>
    </w:p>
    <w:p>
      <w:pPr>
        <w:spacing w:after="0" w:line="10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Director since: 2009</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8" w:right="620"/>
        <w:spacing w:after="0" w:line="260" w:lineRule="auto"/>
        <w:rPr>
          <w:sz w:val="20"/>
          <w:szCs w:val="20"/>
          <w:color w:val="auto"/>
        </w:rPr>
      </w:pPr>
      <w:r>
        <w:rPr>
          <w:rFonts w:ascii="Arial" w:cs="Arial" w:eastAsia="Arial" w:hAnsi="Arial"/>
          <w:sz w:val="16"/>
          <w:szCs w:val="16"/>
          <w:color w:val="auto"/>
        </w:rPr>
        <w:t>Executive, Executive Compensation, Finance, Governance and Corporate Responsibility (Chair)</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Arconic Inc. (formerly Alcoa) (Interim-Chairman April 2017 to October 2017 and Lead Director May 2015 to April 2017), Hewlett Packard Enterprise Company (Chairman), KKR Management LLC (the managing partner of KKR &amp; Co. L.P.), and Merck &amp; Co. Inc.</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color w:val="auto"/>
        </w:rPr>
        <w:t>Hewlett-Packard Company (2011 to 2015) (Lead Director 2014 to 2015)</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Ms. Russo served as Lead Director of the Hewlett-Packard Company Board of Directors from 2014 to 2015. She was Lead Director of the GM Board of Directors from March 2010 to January 2014. She also served as Chief Executive Officer of Alcatel-Lucent S.A. (“Alcatel-Lucent”) from 2006 to 2008; Chairman and Chief Executive Officer of Lucent Technologies, Inc. (“Lucent”) from 2003 to 2006; and President and Chief Executive Officer of Lucent from 2002 to 2006.</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8" w:hanging="328"/>
        <w:spacing w:after="0" w:line="252" w:lineRule="auto"/>
        <w:tabs>
          <w:tab w:leader="none" w:pos="257"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Extensive senior leadership gained as the CEO of Alcatel-Lucent and Lucent, including experience in corporate strategy, finance, sales and marketing, technology, and leadership development.</w:t>
      </w:r>
    </w:p>
    <w:p>
      <w:pPr>
        <w:spacing w:after="0" w:line="1" w:lineRule="exact"/>
        <w:rPr>
          <w:rFonts w:ascii="Arial" w:cs="Arial" w:eastAsia="Arial" w:hAnsi="Arial"/>
          <w:sz w:val="16"/>
          <w:szCs w:val="16"/>
          <w:color w:val="00A1DF"/>
        </w:rPr>
      </w:pPr>
    </w:p>
    <w:p>
      <w:pPr>
        <w:ind w:left="328" w:hanging="328"/>
        <w:spacing w:after="0" w:line="252" w:lineRule="auto"/>
        <w:tabs>
          <w:tab w:leader="none" w:pos="257"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Significant strategic business experience gained through managing critical technology disruptions and successfully leading Lucent through a severe industry downturn.</w:t>
      </w:r>
    </w:p>
    <w:p>
      <w:pPr>
        <w:spacing w:after="0" w:line="1" w:lineRule="exact"/>
        <w:rPr>
          <w:rFonts w:ascii="Arial" w:cs="Arial" w:eastAsia="Arial" w:hAnsi="Arial"/>
          <w:sz w:val="16"/>
          <w:szCs w:val="16"/>
          <w:color w:val="00A1DF"/>
        </w:rPr>
      </w:pPr>
    </w:p>
    <w:p>
      <w:pPr>
        <w:ind w:left="328" w:hanging="328"/>
        <w:spacing w:after="0" w:line="251" w:lineRule="auto"/>
        <w:tabs>
          <w:tab w:leader="none" w:pos="257"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Valuable insight into GM’s evaluation and execution of strategic transactions gained through experience overseeing Hewlett-Packard Company’s split into two companies, the Alcoa-Arconic split, and managing the Alcatel-Lucent merger.</w:t>
      </w:r>
    </w:p>
    <w:p>
      <w:pPr>
        <w:ind w:left="328" w:hanging="328"/>
        <w:spacing w:after="0" w:line="262" w:lineRule="auto"/>
        <w:tabs>
          <w:tab w:leader="none" w:pos="257" w:val="left"/>
        </w:tabs>
        <w:numPr>
          <w:ilvl w:val="0"/>
          <w:numId w:val="21"/>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executive compensation, gained as the CEO of Alcatel-Lucent and Lucent and a director of GM and other large global public companies.</w:t>
      </w:r>
    </w:p>
    <w:p>
      <w:pPr>
        <w:sectPr>
          <w:pgSz w:w="11900" w:h="16838" w:orient="portrait"/>
          <w:cols w:equalWidth="0" w:num="2">
            <w:col w:w="5500" w:space="552"/>
            <w:col w:w="5168"/>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0033A0"/>
        </w:rPr>
        <w:t>Thomas M. Schoewe</w:t>
      </w:r>
    </w:p>
    <w:p>
      <w:pPr>
        <w:spacing w:after="0" w:line="108"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Retired Executive Vice President &amp; Chief Financial Officer,</w:t>
      </w:r>
    </w:p>
    <w:p>
      <w:pPr>
        <w:spacing w:after="0" w:line="14"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color w:val="auto"/>
        </w:rPr>
        <w:t>Wal-Mart Stores, Inc.</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65 years old</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2011</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(Chair), Cybersecurity, Executive, Finance, Risk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KKR Management LLC and Northrop Grumman Corporation</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Public Company Directorship</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PulteGroup, Inc. (2009 to 2012)</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Schoewe served as Executive Vice President and Chief Financial Officer of Wal-Mart Stores, Inc. (“Wal-Mart”) from 2000 to 2011. Prior to joining Wal-Mart, he was Senior Vice President and Chief Financial Officer of Black &amp; Decker Corporation (“Black &amp; Decker”) from 1996 to 1999; Vice President and Chief Financial Officer of Black &amp; Decker from 1993 to 1996; Vice President of Finance of Black &amp; Decker from 1989 to 1993; and Vice President of Business Planning and Analysis of Black &amp; Decker from 1986 to 1989.</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520" w:right="20" w:hanging="316"/>
        <w:spacing w:after="0" w:line="255" w:lineRule="auto"/>
        <w:tabs>
          <w:tab w:leader="none" w:pos="449"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Extensive financial expertise as the CFO of Wal-Mart and Black &amp; Decker.</w:t>
      </w:r>
    </w:p>
    <w:p>
      <w:pPr>
        <w:ind w:left="520" w:hanging="316"/>
        <w:spacing w:after="0" w:line="252" w:lineRule="auto"/>
        <w:tabs>
          <w:tab w:leader="none" w:pos="449"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in various leadership positions, including experience in financial reporting, accounting and controls, business planning and analysis, and risk management.</w:t>
      </w:r>
    </w:p>
    <w:p>
      <w:pPr>
        <w:spacing w:after="0" w:line="1" w:lineRule="exact"/>
        <w:rPr>
          <w:rFonts w:ascii="Arial" w:cs="Arial" w:eastAsia="Arial" w:hAnsi="Arial"/>
          <w:sz w:val="16"/>
          <w:szCs w:val="16"/>
          <w:color w:val="00A1DF"/>
        </w:rPr>
      </w:pPr>
    </w:p>
    <w:p>
      <w:pPr>
        <w:ind w:left="520" w:right="20" w:hanging="316"/>
        <w:spacing w:after="0" w:line="251" w:lineRule="auto"/>
        <w:tabs>
          <w:tab w:leader="none" w:pos="449"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Valuable insight into GM’s IT function, technology systems and processes, and cybersecurity framework gained through experience leading large-scale, transformational IT implementations at Wal-Mart and Black &amp; Decker.</w:t>
      </w:r>
    </w:p>
    <w:p>
      <w:pPr>
        <w:ind w:left="520" w:hanging="316"/>
        <w:spacing w:after="0" w:line="278" w:lineRule="auto"/>
        <w:tabs>
          <w:tab w:leader="none" w:pos="449" w:val="left"/>
        </w:tabs>
        <w:numPr>
          <w:ilvl w:val="0"/>
          <w:numId w:val="22"/>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a director of GM and at other large global public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
        <w:spacing w:after="0"/>
        <w:rPr>
          <w:sz w:val="20"/>
          <w:szCs w:val="20"/>
          <w:color w:val="auto"/>
        </w:rPr>
      </w:pPr>
      <w:r>
        <w:rPr>
          <w:rFonts w:ascii="Arial" w:cs="Arial" w:eastAsia="Arial" w:hAnsi="Arial"/>
          <w:sz w:val="18"/>
          <w:szCs w:val="18"/>
          <w:b w:val="1"/>
          <w:bCs w:val="1"/>
          <w:color w:val="0033A0"/>
        </w:rPr>
        <w:t>Carol M. Stephenson, O.C.</w:t>
      </w:r>
    </w:p>
    <w:p>
      <w:pPr>
        <w:spacing w:after="0" w:line="108" w:lineRule="exact"/>
        <w:rPr>
          <w:sz w:val="20"/>
          <w:szCs w:val="20"/>
          <w:color w:val="auto"/>
        </w:rPr>
      </w:pPr>
    </w:p>
    <w:p>
      <w:pPr>
        <w:jc w:val="center"/>
        <w:ind w:right="32"/>
        <w:spacing w:after="0"/>
        <w:rPr>
          <w:sz w:val="20"/>
          <w:szCs w:val="20"/>
          <w:color w:val="auto"/>
        </w:rPr>
      </w:pPr>
      <w:r>
        <w:rPr>
          <w:rFonts w:ascii="Arial" w:cs="Arial" w:eastAsia="Arial" w:hAnsi="Arial"/>
          <w:sz w:val="18"/>
          <w:szCs w:val="18"/>
          <w:i w:val="1"/>
          <w:iCs w:val="1"/>
          <w:color w:val="auto"/>
        </w:rPr>
        <w:t>Retired Dean, Ivey Business School,</w:t>
      </w:r>
    </w:p>
    <w:p>
      <w:pPr>
        <w:spacing w:after="0" w:line="14" w:lineRule="exact"/>
        <w:rPr>
          <w:sz w:val="20"/>
          <w:szCs w:val="20"/>
          <w:color w:val="auto"/>
        </w:rPr>
      </w:pPr>
    </w:p>
    <w:p>
      <w:pPr>
        <w:jc w:val="center"/>
        <w:ind w:right="32"/>
        <w:spacing w:after="0"/>
        <w:rPr>
          <w:sz w:val="20"/>
          <w:szCs w:val="20"/>
          <w:color w:val="auto"/>
        </w:rPr>
      </w:pPr>
      <w:r>
        <w:rPr>
          <w:rFonts w:ascii="Arial" w:cs="Arial" w:eastAsia="Arial" w:hAnsi="Arial"/>
          <w:sz w:val="18"/>
          <w:szCs w:val="18"/>
          <w:i w:val="1"/>
          <w:iCs w:val="1"/>
          <w:color w:val="auto"/>
        </w:rPr>
        <w:t>The University of Western Ontario</w:t>
      </w:r>
    </w:p>
    <w:p>
      <w:pPr>
        <w:spacing w:after="0" w:line="10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67 years old</w:t>
      </w:r>
    </w:p>
    <w:p>
      <w:pPr>
        <w:spacing w:after="0" w:line="10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Director since: 2009</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8" w:right="800"/>
        <w:spacing w:after="0" w:line="260" w:lineRule="auto"/>
        <w:rPr>
          <w:sz w:val="20"/>
          <w:szCs w:val="20"/>
          <w:color w:val="auto"/>
        </w:rPr>
      </w:pPr>
      <w:r>
        <w:rPr>
          <w:rFonts w:ascii="Arial" w:cs="Arial" w:eastAsia="Arial" w:hAnsi="Arial"/>
          <w:sz w:val="16"/>
          <w:szCs w:val="16"/>
          <w:color w:val="auto"/>
        </w:rPr>
        <w:t>Executive, Executive Compensation (Chair), Governance and Corporate Responsibility</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8" w:right="380"/>
        <w:spacing w:after="0" w:line="260" w:lineRule="auto"/>
        <w:rPr>
          <w:sz w:val="20"/>
          <w:szCs w:val="20"/>
          <w:color w:val="auto"/>
        </w:rPr>
      </w:pPr>
      <w:r>
        <w:rPr>
          <w:rFonts w:ascii="Arial" w:cs="Arial" w:eastAsia="Arial" w:hAnsi="Arial"/>
          <w:sz w:val="16"/>
          <w:szCs w:val="16"/>
          <w:color w:val="auto"/>
        </w:rPr>
        <w:t>Intact Financial Corporation (formerly ING Canada) and Maple Leaf Foods Inc.</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Public Company Directorships</w:t>
      </w:r>
    </w:p>
    <w:p>
      <w:pPr>
        <w:spacing w:after="0" w:line="147" w:lineRule="exact"/>
        <w:rPr>
          <w:sz w:val="20"/>
          <w:szCs w:val="20"/>
          <w:color w:val="auto"/>
        </w:rPr>
      </w:pPr>
    </w:p>
    <w:p>
      <w:pPr>
        <w:ind w:left="8" w:right="400"/>
        <w:spacing w:after="0" w:line="260" w:lineRule="auto"/>
        <w:rPr>
          <w:sz w:val="20"/>
          <w:szCs w:val="20"/>
          <w:color w:val="auto"/>
        </w:rPr>
      </w:pPr>
      <w:r>
        <w:rPr>
          <w:rFonts w:ascii="Arial" w:cs="Arial" w:eastAsia="Arial" w:hAnsi="Arial"/>
          <w:sz w:val="16"/>
          <w:szCs w:val="16"/>
          <w:color w:val="auto"/>
        </w:rPr>
        <w:t>Ballard Power Systems, Inc. (2012 to 2017) and Manitoba Telecom Services (2008 to 2016)</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8" w:right="40"/>
        <w:spacing w:after="0" w:line="248" w:lineRule="auto"/>
        <w:rPr>
          <w:sz w:val="20"/>
          <w:szCs w:val="20"/>
          <w:color w:val="auto"/>
        </w:rPr>
      </w:pPr>
      <w:r>
        <w:rPr>
          <w:rFonts w:ascii="Arial" w:cs="Arial" w:eastAsia="Arial" w:hAnsi="Arial"/>
          <w:sz w:val="16"/>
          <w:szCs w:val="16"/>
          <w:color w:val="auto"/>
        </w:rPr>
        <w:t>Ms. Stephenson served as Dean of the Ivey Business School at the University of Western Ontario from 2003 until her retirement in 2013. Prior to joining the Ivey Business School, she was President and Chief Executive Officer of Lucent Technologies Canada from 1999 to 2003. She was also a member of the Advisory Board of General Motors of Canada, Limited, a GM subsidiary, from 2005 to 2009 and appointed an officer of the Order of Canada in 2009.</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ind w:left="328" w:right="40" w:hanging="328"/>
        <w:spacing w:after="0" w:line="252" w:lineRule="auto"/>
        <w:tabs>
          <w:tab w:leader="none" w:pos="257"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Significant senior leadership experience gained as Dean of the Ivey Business School and in leadership positions in the telecommunications industry.</w:t>
      </w:r>
    </w:p>
    <w:p>
      <w:pPr>
        <w:spacing w:after="0" w:line="1" w:lineRule="exact"/>
        <w:rPr>
          <w:rFonts w:ascii="Arial" w:cs="Arial" w:eastAsia="Arial" w:hAnsi="Arial"/>
          <w:sz w:val="16"/>
          <w:szCs w:val="16"/>
          <w:color w:val="00A1DF"/>
        </w:rPr>
      </w:pPr>
    </w:p>
    <w:p>
      <w:pPr>
        <w:ind w:left="328" w:right="40" w:hanging="328"/>
        <w:spacing w:after="0" w:line="251" w:lineRule="auto"/>
        <w:tabs>
          <w:tab w:leader="none" w:pos="257"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Valuable insight into GM’s strategy to strengthen our core business and transform the future of personal mobility gained through expertise in marketing, operations, strategic planning, technology development, and financial management.</w:t>
      </w:r>
    </w:p>
    <w:p>
      <w:pPr>
        <w:ind w:left="328" w:right="40" w:hanging="328"/>
        <w:spacing w:after="0" w:line="252" w:lineRule="auto"/>
        <w:tabs>
          <w:tab w:leader="none" w:pos="257"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Extensive expertise in North American trade issues and the Canadian business environment gained as a director at several leading Canadian companies.</w:t>
      </w:r>
    </w:p>
    <w:p>
      <w:pPr>
        <w:spacing w:after="0" w:line="1" w:lineRule="exact"/>
        <w:rPr>
          <w:rFonts w:ascii="Arial" w:cs="Arial" w:eastAsia="Arial" w:hAnsi="Arial"/>
          <w:sz w:val="16"/>
          <w:szCs w:val="16"/>
          <w:color w:val="00A1DF"/>
        </w:rPr>
      </w:pPr>
    </w:p>
    <w:p>
      <w:pPr>
        <w:ind w:left="328" w:right="40" w:hanging="328"/>
        <w:spacing w:after="0" w:line="262" w:lineRule="auto"/>
        <w:tabs>
          <w:tab w:leader="none" w:pos="257" w:val="left"/>
        </w:tabs>
        <w:numPr>
          <w:ilvl w:val="0"/>
          <w:numId w:val="23"/>
        </w:numPr>
        <w:rPr>
          <w:rFonts w:ascii="Arial" w:cs="Arial" w:eastAsia="Arial" w:hAnsi="Arial"/>
          <w:sz w:val="16"/>
          <w:szCs w:val="16"/>
          <w:color w:val="00A1DF"/>
        </w:rPr>
      </w:pPr>
      <w:r>
        <w:rPr>
          <w:rFonts w:ascii="Arial" w:cs="Arial" w:eastAsia="Arial" w:hAnsi="Arial"/>
          <w:sz w:val="16"/>
          <w:szCs w:val="16"/>
          <w:color w:val="auto"/>
        </w:rPr>
        <w:t>Valuable knowledge of key governance matters, including executive compensation, gained as a director of GM and at other large global public companies.</w:t>
      </w:r>
    </w:p>
    <w:p>
      <w:pPr>
        <w:spacing w:after="0" w:line="124" w:lineRule="exact"/>
        <w:rPr>
          <w:sz w:val="20"/>
          <w:szCs w:val="20"/>
          <w:color w:val="auto"/>
        </w:rPr>
      </w:pPr>
    </w:p>
    <w:p>
      <w:pPr>
        <w:sectPr>
          <w:pgSz w:w="11900" w:h="16838" w:orient="portrait"/>
          <w:cols w:equalWidth="0" w:num="2">
            <w:col w:w="5500" w:space="552"/>
            <w:col w:w="5208"/>
          </w:cols>
          <w:pgMar w:left="240" w:top="459" w:right="399" w:bottom="1440" w:gutter="0" w:footer="0" w:header="0"/>
          <w:type w:val="continuous"/>
        </w:sectPr>
      </w:pPr>
    </w:p>
    <w:p>
      <w:pPr>
        <w:ind w:left="220"/>
        <w:spacing w:after="0"/>
        <w:rPr>
          <w:sz w:val="20"/>
          <w:szCs w:val="20"/>
          <w:color w:val="auto"/>
        </w:rPr>
      </w:pPr>
      <w:r>
        <w:rPr>
          <w:sz w:val="1"/>
          <w:szCs w:val="1"/>
          <w:color w:val="auto"/>
        </w:rPr>
        <w:drawing>
          <wp:inline distT="0" distB="0" distL="0" distR="0">
            <wp:extent cx="6860540" cy="1028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15</w:t>
      </w:r>
    </w:p>
    <w:p>
      <w:pPr>
        <w:sectPr>
          <w:pgSz w:w="11900" w:h="16838" w:orient="portrait"/>
          <w:cols w:equalWidth="0" w:num="1">
            <w:col w:w="11260"/>
          </w:cols>
          <w:pgMar w:left="240" w:top="459" w:right="3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1397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39"/>
        <w:spacing w:after="0"/>
        <w:rPr>
          <w:sz w:val="20"/>
          <w:szCs w:val="20"/>
          <w:color w:val="auto"/>
        </w:rPr>
      </w:pPr>
      <w:r>
        <w:rPr>
          <w:rFonts w:ascii="Arial" w:cs="Arial" w:eastAsia="Arial" w:hAnsi="Arial"/>
          <w:sz w:val="18"/>
          <w:szCs w:val="18"/>
          <w:b w:val="1"/>
          <w:bCs w:val="1"/>
          <w:color w:val="0033A0"/>
        </w:rPr>
        <w:t>Devin N. Wenig</w:t>
      </w:r>
    </w:p>
    <w:p>
      <w:pPr>
        <w:spacing w:after="0" w:line="108" w:lineRule="exact"/>
        <w:rPr>
          <w:sz w:val="20"/>
          <w:szCs w:val="20"/>
          <w:color w:val="auto"/>
        </w:rPr>
      </w:pPr>
    </w:p>
    <w:p>
      <w:pPr>
        <w:jc w:val="center"/>
        <w:ind w:right="4539"/>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14" w:lineRule="exact"/>
        <w:rPr>
          <w:sz w:val="20"/>
          <w:szCs w:val="20"/>
          <w:color w:val="auto"/>
        </w:rPr>
      </w:pPr>
    </w:p>
    <w:p>
      <w:pPr>
        <w:jc w:val="center"/>
        <w:ind w:right="4539"/>
        <w:spacing w:after="0"/>
        <w:rPr>
          <w:sz w:val="20"/>
          <w:szCs w:val="20"/>
          <w:color w:val="auto"/>
        </w:rPr>
      </w:pPr>
      <w:r>
        <w:rPr>
          <w:rFonts w:ascii="Arial" w:cs="Arial" w:eastAsia="Arial" w:hAnsi="Arial"/>
          <w:sz w:val="18"/>
          <w:szCs w:val="18"/>
          <w:i w:val="1"/>
          <w:iCs w:val="1"/>
          <w:color w:val="auto"/>
        </w:rPr>
        <w:t>eBay Inc.</w:t>
      </w:r>
    </w:p>
    <w:p>
      <w:pPr>
        <w:spacing w:after="0" w:line="104" w:lineRule="exact"/>
        <w:rPr>
          <w:sz w:val="20"/>
          <w:szCs w:val="20"/>
          <w:color w:val="auto"/>
        </w:rPr>
      </w:pPr>
    </w:p>
    <w:p>
      <w:pPr>
        <w:jc w:val="center"/>
        <w:ind w:right="4539"/>
        <w:spacing w:after="0"/>
        <w:rPr>
          <w:sz w:val="20"/>
          <w:szCs w:val="20"/>
          <w:color w:val="auto"/>
        </w:rPr>
      </w:pPr>
      <w:r>
        <w:rPr>
          <w:rFonts w:ascii="Arial" w:cs="Arial" w:eastAsia="Arial" w:hAnsi="Arial"/>
          <w:sz w:val="18"/>
          <w:szCs w:val="18"/>
          <w:color w:val="auto"/>
        </w:rPr>
        <w:t>51 years old</w:t>
      </w:r>
    </w:p>
    <w:p>
      <w:pPr>
        <w:spacing w:after="0" w:line="104" w:lineRule="exact"/>
        <w:rPr>
          <w:sz w:val="20"/>
          <w:szCs w:val="20"/>
          <w:color w:val="auto"/>
        </w:rPr>
      </w:pPr>
    </w:p>
    <w:p>
      <w:pPr>
        <w:jc w:val="center"/>
        <w:ind w:right="4539"/>
        <w:spacing w:after="0"/>
        <w:rPr>
          <w:sz w:val="20"/>
          <w:szCs w:val="20"/>
          <w:color w:val="auto"/>
        </w:rPr>
      </w:pPr>
      <w:r>
        <w:rPr>
          <w:rFonts w:ascii="Arial" w:cs="Arial" w:eastAsia="Arial" w:hAnsi="Arial"/>
          <w:sz w:val="18"/>
          <w:szCs w:val="18"/>
          <w:color w:val="auto"/>
        </w:rPr>
        <w:t>Director since: 2018</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Committees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Committee memberships to be determined at the Board’s June 2018</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meeting.</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Current Public Company Directorships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eBay Inc.</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Prior Experience</w:t>
      </w:r>
    </w:p>
    <w:p>
      <w:pPr>
        <w:spacing w:after="0" w:line="25" w:lineRule="exact"/>
        <w:rPr>
          <w:sz w:val="20"/>
          <w:szCs w:val="20"/>
          <w:color w:val="auto"/>
        </w:rPr>
      </w:pPr>
    </w:p>
    <w:p>
      <w:pPr>
        <w:jc w:val="both"/>
        <w:ind w:left="200" w:right="4739"/>
        <w:spacing w:after="0" w:line="248" w:lineRule="auto"/>
        <w:rPr>
          <w:sz w:val="20"/>
          <w:szCs w:val="20"/>
          <w:color w:val="auto"/>
        </w:rPr>
      </w:pPr>
      <w:r>
        <w:rPr>
          <w:rFonts w:ascii="Arial" w:cs="Arial" w:eastAsia="Arial" w:hAnsi="Arial"/>
          <w:sz w:val="16"/>
          <w:szCs w:val="16"/>
          <w:color w:val="auto"/>
        </w:rPr>
        <w:t>In July 2015, Mr. Wenig was appointed as President and Chief Executive Officer of eBay. Prior to that time, he served as President of eBay’s Marketplaces business from 2011 to July 2015. Prior to joining eBay, Mr. Wenig was Chief Executive Officer of Thomson Reuters Corporation’s (“Thomson Reuters”) largest division, Thomson Reuters Markets, from 2008 to 2011; Chief Operating Officer of Reuters Group plc (“Reuters”) from 2006 to 2008; and President of Reuters Business divisions from 2003 to 2006.</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Reasons for Nomination</w:t>
      </w:r>
    </w:p>
    <w:p>
      <w:pPr>
        <w:spacing w:after="0" w:line="25" w:lineRule="exact"/>
        <w:rPr>
          <w:sz w:val="20"/>
          <w:szCs w:val="20"/>
          <w:color w:val="auto"/>
        </w:rPr>
      </w:pPr>
    </w:p>
    <w:p>
      <w:pPr>
        <w:jc w:val="both"/>
        <w:ind w:left="520" w:right="4739" w:hanging="316"/>
        <w:spacing w:after="0" w:line="252" w:lineRule="auto"/>
        <w:tabs>
          <w:tab w:leader="none" w:pos="471"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Extensive senior leadership experience gained as the CEO of eBay, including experience in technology, global operations, and strategic planning.</w:t>
      </w:r>
    </w:p>
    <w:p>
      <w:pPr>
        <w:spacing w:after="0" w:line="1" w:lineRule="exact"/>
        <w:rPr>
          <w:rFonts w:ascii="Arial" w:cs="Arial" w:eastAsia="Arial" w:hAnsi="Arial"/>
          <w:sz w:val="16"/>
          <w:szCs w:val="16"/>
          <w:color w:val="00A1DF"/>
        </w:rPr>
      </w:pPr>
    </w:p>
    <w:p>
      <w:pPr>
        <w:jc w:val="both"/>
        <w:ind w:left="520" w:right="4739" w:hanging="316"/>
        <w:spacing w:after="0" w:line="252" w:lineRule="auto"/>
        <w:tabs>
          <w:tab w:leader="none" w:pos="471"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Critical technology insight into GM’s strategies related to the future of mobility, autonomous vehicles, vehicle connectivity, and data monetization gained through various roles at eBay.</w:t>
      </w:r>
    </w:p>
    <w:p>
      <w:pPr>
        <w:spacing w:after="0" w:line="1" w:lineRule="exact"/>
        <w:rPr>
          <w:rFonts w:ascii="Arial" w:cs="Arial" w:eastAsia="Arial" w:hAnsi="Arial"/>
          <w:sz w:val="16"/>
          <w:szCs w:val="16"/>
          <w:color w:val="00A1DF"/>
        </w:rPr>
      </w:pPr>
    </w:p>
    <w:p>
      <w:pPr>
        <w:jc w:val="both"/>
        <w:ind w:left="520" w:right="4739" w:hanging="316"/>
        <w:spacing w:after="0" w:line="251" w:lineRule="auto"/>
        <w:tabs>
          <w:tab w:leader="none" w:pos="471"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Valuable insight into GM’s strategy to enhance the customer experience and earn customers for life gained through various consumer-facing leadership roles at eBay, Thomson Reuters, and Reuters.</w:t>
      </w:r>
    </w:p>
    <w:p>
      <w:pPr>
        <w:ind w:left="520" w:right="4739" w:hanging="316"/>
        <w:spacing w:after="0" w:line="278" w:lineRule="auto"/>
        <w:tabs>
          <w:tab w:leader="none" w:pos="471" w:val="left"/>
        </w:tabs>
        <w:numPr>
          <w:ilvl w:val="0"/>
          <w:numId w:val="24"/>
        </w:numPr>
        <w:rPr>
          <w:rFonts w:ascii="Arial" w:cs="Arial" w:eastAsia="Arial" w:hAnsi="Arial"/>
          <w:sz w:val="16"/>
          <w:szCs w:val="16"/>
          <w:color w:val="00A1DF"/>
        </w:rPr>
      </w:pPr>
      <w:r>
        <w:rPr>
          <w:rFonts w:ascii="Arial" w:cs="Arial" w:eastAsia="Arial" w:hAnsi="Arial"/>
          <w:sz w:val="16"/>
          <w:szCs w:val="16"/>
          <w:color w:val="auto"/>
        </w:rPr>
        <w:t>Valuable knowledge of key governance matters gained as the CEO of eBay and a director of other large global public companies.</w:t>
      </w:r>
    </w:p>
    <w:p>
      <w:pPr>
        <w:spacing w:after="0" w:line="130" w:lineRule="exact"/>
        <w:rPr>
          <w:sz w:val="20"/>
          <w:szCs w:val="20"/>
          <w:color w:val="auto"/>
        </w:rPr>
      </w:pPr>
    </w:p>
    <w:p>
      <w:pPr>
        <w:jc w:val="center"/>
        <w:ind w:right="9659"/>
        <w:spacing w:after="0"/>
        <w:rPr>
          <w:sz w:val="20"/>
          <w:szCs w:val="20"/>
          <w:color w:val="auto"/>
        </w:rPr>
      </w:pPr>
      <w:r>
        <w:rPr>
          <w:rFonts w:ascii="Arial" w:cs="Arial" w:eastAsia="Arial" w:hAnsi="Arial"/>
          <w:sz w:val="14"/>
          <w:szCs w:val="14"/>
          <w:color w:val="0033A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Non-Employee Director Compensation</w:t>
      </w:r>
    </w:p>
    <w:p>
      <w:pPr>
        <w:spacing w:after="0" w:line="176"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Our non-employee directors receive cash compensation as well as equity compensation in the form of GM Deferred Share Units (“DSUs”) for their Board service. Compensation for our non-employee directors is set by the Board at the recommendation of the Governance Committee.</w:t>
      </w:r>
    </w:p>
    <w:p>
      <w:pPr>
        <w:spacing w:after="0" w:line="317"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25"/>
          <w:szCs w:val="25"/>
          <w:color w:val="0033A0"/>
        </w:rPr>
      </w:pPr>
      <w:r>
        <w:rPr>
          <w:rFonts w:ascii="Arial" w:cs="Arial" w:eastAsia="Arial" w:hAnsi="Arial"/>
          <w:sz w:val="25"/>
          <w:szCs w:val="25"/>
          <w:color w:val="auto"/>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142240</wp:posOffset>
            </wp:positionV>
            <wp:extent cx="6997700" cy="1029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029335"/>
                    </a:xfrm>
                    <a:prstGeom prst="rect">
                      <a:avLst/>
                    </a:prstGeom>
                    <a:noFill/>
                  </pic:spPr>
                </pic:pic>
              </a:graphicData>
            </a:graphic>
          </wp:anchor>
        </w:drawing>
      </w:r>
    </w:p>
    <w:p>
      <w:pPr>
        <w:spacing w:after="0" w:line="247" w:lineRule="exact"/>
        <w:rPr>
          <w:sz w:val="20"/>
          <w:szCs w:val="20"/>
          <w:color w:val="auto"/>
        </w:rPr>
      </w:pPr>
    </w:p>
    <w:p>
      <w:pPr>
        <w:ind w:left="520" w:hanging="208"/>
        <w:spacing w:after="0"/>
        <w:tabs>
          <w:tab w:leader="none" w:pos="52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Fairly compensate directors for their responsibilities and time commitments.</w:t>
      </w:r>
    </w:p>
    <w:p>
      <w:pPr>
        <w:spacing w:after="0" w:line="140" w:lineRule="exact"/>
        <w:rPr>
          <w:rFonts w:ascii="Arial" w:cs="Arial" w:eastAsia="Arial" w:hAnsi="Arial"/>
          <w:sz w:val="16"/>
          <w:szCs w:val="16"/>
          <w:color w:val="00A1DF"/>
        </w:rPr>
      </w:pPr>
    </w:p>
    <w:p>
      <w:pPr>
        <w:ind w:left="520" w:right="160" w:hanging="208"/>
        <w:spacing w:after="0" w:line="260" w:lineRule="auto"/>
        <w:tabs>
          <w:tab w:leader="none" w:pos="52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Attract and retain highly qualified directors by offering a compensation program consistent with those at companies of similar size, scope, and complexity.</w:t>
      </w:r>
    </w:p>
    <w:p>
      <w:pPr>
        <w:spacing w:after="0" w:line="101" w:lineRule="exact"/>
        <w:rPr>
          <w:rFonts w:ascii="Arial" w:cs="Arial" w:eastAsia="Arial" w:hAnsi="Arial"/>
          <w:sz w:val="16"/>
          <w:szCs w:val="16"/>
          <w:color w:val="00A1DF"/>
        </w:rPr>
      </w:pPr>
    </w:p>
    <w:p>
      <w:pPr>
        <w:ind w:left="520" w:right="160" w:hanging="208"/>
        <w:spacing w:after="0" w:line="260" w:lineRule="auto"/>
        <w:tabs>
          <w:tab w:leader="none" w:pos="52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Align the interests of directors with our shareholders by providing a significant portion of compensation in equity and requiring directors to continue to own our common stock (or common stock equivalents).</w:t>
      </w:r>
    </w:p>
    <w:p>
      <w:pPr>
        <w:spacing w:after="0" w:line="101" w:lineRule="exact"/>
        <w:rPr>
          <w:rFonts w:ascii="Arial" w:cs="Arial" w:eastAsia="Arial" w:hAnsi="Arial"/>
          <w:sz w:val="16"/>
          <w:szCs w:val="16"/>
          <w:color w:val="00A1DF"/>
        </w:rPr>
      </w:pPr>
    </w:p>
    <w:p>
      <w:pPr>
        <w:ind w:left="520" w:hanging="208"/>
        <w:spacing w:after="0"/>
        <w:tabs>
          <w:tab w:leader="none" w:pos="520" w:val="left"/>
        </w:tabs>
        <w:numPr>
          <w:ilvl w:val="0"/>
          <w:numId w:val="26"/>
        </w:numPr>
        <w:rPr>
          <w:rFonts w:ascii="Arial" w:cs="Arial" w:eastAsia="Arial" w:hAnsi="Arial"/>
          <w:sz w:val="16"/>
          <w:szCs w:val="16"/>
          <w:color w:val="00A1DF"/>
        </w:rPr>
      </w:pPr>
      <w:r>
        <w:rPr>
          <w:rFonts w:ascii="Arial" w:cs="Arial" w:eastAsia="Arial" w:hAnsi="Arial"/>
          <w:sz w:val="16"/>
          <w:szCs w:val="16"/>
          <w:color w:val="auto"/>
        </w:rPr>
        <w:t>Provide compensation that is simple and transparent to shareholders.</w:t>
      </w:r>
    </w:p>
    <w:p>
      <w:pPr>
        <w:spacing w:after="0" w:line="200" w:lineRule="exact"/>
        <w:rPr>
          <w:sz w:val="20"/>
          <w:szCs w:val="20"/>
          <w:color w:val="auto"/>
        </w:rPr>
      </w:pPr>
    </w:p>
    <w:p>
      <w:pPr>
        <w:spacing w:after="0" w:line="210"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25"/>
          <w:szCs w:val="25"/>
          <w:color w:val="0033A0"/>
        </w:rPr>
      </w:pPr>
      <w:r>
        <w:rPr>
          <w:rFonts w:ascii="Arial" w:cs="Arial" w:eastAsia="Arial" w:hAnsi="Arial"/>
          <w:sz w:val="25"/>
          <w:szCs w:val="25"/>
          <w:color w:val="auto"/>
        </w:rPr>
        <w:t>Annual Review Process</w:t>
      </w:r>
    </w:p>
    <w:p>
      <w:pPr>
        <w:spacing w:after="0" w:line="186"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The Governance Committee, which consists solely of independent directors, annually assesses the form and amount of non-employee director compensation and recommends changes, if appropriate, to the Board based upon competitive market practices. GM’s Legal Staff also supports the Committee in determining director compensation and designing the related benefit programs. In addition, if the Governance Committee determines it is necessary, it has the authority to engage the services of outside consultants, experts, and others to assist in designing and setting director compensation. As part of its annual review, the Committee conducts extensive benchmarking by reviewing director compensation data for the executive compensation peer group described in “Executive Compensation—Compensation Overview—Peer Group for Compensation Comparisons” on page 41. Following its review of GM’s director compensation in December 2017, the Governance Committee recommended that the Board maintain the same structure and level of compensation and stock ownership requirements for 2018 as were in place in 2017.</w:t>
      </w:r>
    </w:p>
    <w:p>
      <w:pPr>
        <w:spacing w:after="0" w:line="329"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25"/>
          <w:szCs w:val="25"/>
          <w:color w:val="0033A0"/>
        </w:rPr>
      </w:pPr>
      <w:r>
        <w:rPr>
          <w:rFonts w:ascii="Arial" w:cs="Arial" w:eastAsia="Arial" w:hAnsi="Arial"/>
          <w:sz w:val="25"/>
          <w:szCs w:val="25"/>
          <w:color w:val="auto"/>
        </w:rPr>
        <w:t>Director Stock Ownership and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142240</wp:posOffset>
            </wp:positionV>
            <wp:extent cx="6997700" cy="12350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235075"/>
                    </a:xfrm>
                    <a:prstGeom prst="rect">
                      <a:avLst/>
                    </a:prstGeom>
                    <a:noFill/>
                  </pic:spPr>
                </pic:pic>
              </a:graphicData>
            </a:graphic>
          </wp:anchor>
        </w:drawing>
      </w:r>
    </w:p>
    <w:p>
      <w:pPr>
        <w:spacing w:after="0" w:line="247" w:lineRule="exact"/>
        <w:rPr>
          <w:sz w:val="20"/>
          <w:szCs w:val="20"/>
          <w:color w:val="auto"/>
        </w:rPr>
      </w:pPr>
    </w:p>
    <w:p>
      <w:pPr>
        <w:ind w:left="520" w:hanging="208"/>
        <w:spacing w:after="0"/>
        <w:tabs>
          <w:tab w:leader="none" w:pos="52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Each non-employee director is required to own our common stock or DSUs with a market value of at least $500,000.</w:t>
      </w:r>
    </w:p>
    <w:p>
      <w:pPr>
        <w:spacing w:after="0" w:line="140" w:lineRule="exact"/>
        <w:rPr>
          <w:rFonts w:ascii="Arial" w:cs="Arial" w:eastAsia="Arial" w:hAnsi="Arial"/>
          <w:sz w:val="16"/>
          <w:szCs w:val="16"/>
          <w:color w:val="00A1DF"/>
        </w:rPr>
      </w:pPr>
    </w:p>
    <w:p>
      <w:pPr>
        <w:ind w:left="520" w:hanging="208"/>
        <w:spacing w:after="0"/>
        <w:tabs>
          <w:tab w:leader="none" w:pos="52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Each director has up to five years from the date he or she is first elected to the Board to meet this ownership requirement.</w:t>
      </w:r>
    </w:p>
    <w:p>
      <w:pPr>
        <w:spacing w:after="0" w:line="140" w:lineRule="exact"/>
        <w:rPr>
          <w:rFonts w:ascii="Arial" w:cs="Arial" w:eastAsia="Arial" w:hAnsi="Arial"/>
          <w:sz w:val="16"/>
          <w:szCs w:val="16"/>
          <w:color w:val="00A1DF"/>
        </w:rPr>
      </w:pPr>
    </w:p>
    <w:p>
      <w:pPr>
        <w:ind w:left="520" w:right="140" w:hanging="208"/>
        <w:spacing w:after="0" w:line="260" w:lineRule="auto"/>
        <w:tabs>
          <w:tab w:leader="none" w:pos="52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Non-employee directors are prohibited from selling any GM securities or derivatives of GM securities, such as DSUs, while they are members of the Board.</w:t>
      </w:r>
    </w:p>
    <w:p>
      <w:pPr>
        <w:spacing w:after="0" w:line="101" w:lineRule="exact"/>
        <w:rPr>
          <w:rFonts w:ascii="Arial" w:cs="Arial" w:eastAsia="Arial" w:hAnsi="Arial"/>
          <w:sz w:val="16"/>
          <w:szCs w:val="16"/>
          <w:color w:val="00A1DF"/>
        </w:rPr>
      </w:pPr>
    </w:p>
    <w:p>
      <w:pPr>
        <w:ind w:left="520" w:hanging="208"/>
        <w:spacing w:after="0"/>
        <w:tabs>
          <w:tab w:leader="none" w:pos="52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Ownership guidelines are reviewed each year to confirm they continue to be effective in aligning the interests of the Board and our shareholders.</w:t>
      </w:r>
    </w:p>
    <w:p>
      <w:pPr>
        <w:spacing w:after="0" w:line="140" w:lineRule="exact"/>
        <w:rPr>
          <w:rFonts w:ascii="Arial" w:cs="Arial" w:eastAsia="Arial" w:hAnsi="Arial"/>
          <w:sz w:val="16"/>
          <w:szCs w:val="16"/>
          <w:color w:val="00A1DF"/>
        </w:rPr>
      </w:pPr>
    </w:p>
    <w:p>
      <w:pPr>
        <w:ind w:left="520" w:right="160" w:hanging="208"/>
        <w:spacing w:after="0" w:line="260" w:lineRule="auto"/>
        <w:tabs>
          <w:tab w:leader="none" w:pos="52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All of our directors are in compliance with our stock retention requirements. Mr. Wenig is within his five-year compliance period and is expected to meet the ownership requirement by the end of such period. All other directors have met or exceeded the ownership requirement.</w:t>
      </w:r>
    </w:p>
    <w:p>
      <w:pPr>
        <w:spacing w:after="0" w:line="371"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25"/>
          <w:szCs w:val="25"/>
          <w:color w:val="0033A0"/>
        </w:rPr>
      </w:pPr>
      <w:r>
        <w:rPr>
          <w:rFonts w:ascii="Arial" w:cs="Arial" w:eastAsia="Arial" w:hAnsi="Arial"/>
          <w:sz w:val="25"/>
          <w:szCs w:val="25"/>
          <w:color w:val="auto"/>
        </w:rPr>
        <w:t>Annual Compensation</w:t>
      </w:r>
    </w:p>
    <w:p>
      <w:pPr>
        <w:spacing w:after="0" w:line="186" w:lineRule="exact"/>
        <w:rPr>
          <w:sz w:val="20"/>
          <w:szCs w:val="20"/>
          <w:color w:val="auto"/>
        </w:rPr>
      </w:pPr>
    </w:p>
    <w:p>
      <w:pPr>
        <w:jc w:val="both"/>
        <w:ind w:left="200" w:right="40"/>
        <w:spacing w:after="0" w:line="249" w:lineRule="auto"/>
        <w:rPr>
          <w:sz w:val="20"/>
          <w:szCs w:val="20"/>
          <w:color w:val="auto"/>
        </w:rPr>
      </w:pPr>
      <w:r>
        <w:rPr>
          <w:rFonts w:ascii="Arial" w:cs="Arial" w:eastAsia="Arial" w:hAnsi="Arial"/>
          <w:sz w:val="16"/>
          <w:szCs w:val="16"/>
          <w:color w:val="auto"/>
        </w:rPr>
        <w:t>During 2017, compensation for non-employee directors consisted of the elements described in the table below. We do not pay any other retainers or meeting fees. The Independent Lead Director and Committee Chairs receive additional compensation due to the increased workload and additional responsibilities associated with these positions. In particular, Mr. Solso’s compensation as Independent Lead Director reflects the additional time commitment for this role, which includes, among other responsibilities, attending all Board Committee meetings, meeting with the Company’s investors, and attending additional meetings with the Company’s senior management, including the CEO. For additional information about the roles and responsibilities of our Independent Lead Director, see “Corporate Governance—Board Leadership Structure”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146050</wp:posOffset>
            </wp:positionV>
            <wp:extent cx="46139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46" w:lineRule="exact"/>
        <w:rPr>
          <w:sz w:val="20"/>
          <w:szCs w:val="20"/>
          <w:color w:val="auto"/>
        </w:rPr>
      </w:pPr>
    </w:p>
    <w:tbl>
      <w:tblPr>
        <w:tblLayout w:type="fixed"/>
        <w:tblInd w:w="2080" w:type="dxa"/>
        <w:tblCellMar>
          <w:top w:w="0" w:type="dxa"/>
          <w:left w:w="0" w:type="dxa"/>
          <w:bottom w:w="0" w:type="dxa"/>
          <w:right w:w="0" w:type="dxa"/>
        </w:tblCellMar>
      </w:tblPr>
      <w:tr>
        <w:trPr>
          <w:trHeight w:val="228"/>
        </w:trPr>
        <w:tc>
          <w:tcPr>
            <w:tcW w:w="5760" w:type="dxa"/>
            <w:vAlign w:val="bottom"/>
            <w:tcBorders>
              <w:bottom w:val="single" w:sz="8" w:color="00A1DF"/>
            </w:tcBorders>
          </w:tcPr>
          <w:p>
            <w:pPr>
              <w:ind w:left="100"/>
              <w:spacing w:after="0"/>
              <w:rPr>
                <w:sz w:val="20"/>
                <w:szCs w:val="20"/>
                <w:color w:val="auto"/>
              </w:rPr>
            </w:pPr>
            <w:r>
              <w:rPr>
                <w:rFonts w:ascii="Arial" w:cs="Arial" w:eastAsia="Arial" w:hAnsi="Arial"/>
                <w:sz w:val="16"/>
                <w:szCs w:val="16"/>
                <w:b w:val="1"/>
                <w:bCs w:val="1"/>
                <w:color w:val="00A1DF"/>
              </w:rPr>
              <w:t>Compensation Element</w:t>
            </w:r>
          </w:p>
        </w:tc>
        <w:tc>
          <w:tcPr>
            <w:tcW w:w="1520" w:type="dxa"/>
            <w:vAlign w:val="bottom"/>
            <w:tcBorders>
              <w:bottom w:val="single" w:sz="8" w:color="00A1DF"/>
            </w:tcBorders>
          </w:tcPr>
          <w:p>
            <w:pPr>
              <w:jc w:val="right"/>
              <w:ind w:right="79"/>
              <w:spacing w:after="0"/>
              <w:rPr>
                <w:sz w:val="20"/>
                <w:szCs w:val="20"/>
                <w:color w:val="auto"/>
              </w:rPr>
            </w:pPr>
            <w:r>
              <w:rPr>
                <w:rFonts w:ascii="Arial" w:cs="Arial" w:eastAsia="Arial" w:hAnsi="Arial"/>
                <w:sz w:val="16"/>
                <w:szCs w:val="16"/>
                <w:b w:val="1"/>
                <w:bCs w:val="1"/>
                <w:color w:val="00A1DF"/>
              </w:rPr>
              <w:t>2017</w:t>
            </w:r>
          </w:p>
        </w:tc>
      </w:tr>
      <w:tr>
        <w:trPr>
          <w:trHeight w:val="250"/>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Board Retainer</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$ 285,000</w:t>
            </w:r>
          </w:p>
        </w:tc>
      </w:tr>
      <w:tr>
        <w:trPr>
          <w:trHeight w:val="250"/>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Independent Lead Director Fee</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$ 100,000</w:t>
            </w:r>
          </w:p>
        </w:tc>
      </w:tr>
      <w:tr>
        <w:trPr>
          <w:trHeight w:val="250"/>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Audit Committee Chair Fee</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$30,000</w:t>
            </w:r>
          </w:p>
        </w:tc>
      </w:tr>
      <w:tr>
        <w:trPr>
          <w:trHeight w:val="291"/>
        </w:trPr>
        <w:tc>
          <w:tcPr>
            <w:tcW w:w="5760" w:type="dxa"/>
            <w:vAlign w:val="bottom"/>
            <w:tcBorders>
              <w:bottom w:val="single" w:sz="8" w:color="0033A0"/>
            </w:tcBorders>
          </w:tcPr>
          <w:p>
            <w:pPr>
              <w:ind w:left="100"/>
              <w:spacing w:after="0"/>
              <w:rPr>
                <w:sz w:val="20"/>
                <w:szCs w:val="20"/>
                <w:color w:val="auto"/>
              </w:rPr>
            </w:pPr>
            <w:r>
              <w:rPr>
                <w:rFonts w:ascii="Arial" w:cs="Arial" w:eastAsia="Arial" w:hAnsi="Arial"/>
                <w:sz w:val="16"/>
                <w:szCs w:val="16"/>
                <w:color w:val="auto"/>
              </w:rPr>
              <w:t>All Other Committee Chair Fees (excluding the Executive Committee)</w:t>
            </w:r>
          </w:p>
        </w:tc>
        <w:tc>
          <w:tcPr>
            <w:tcW w:w="1520" w:type="dxa"/>
            <w:vAlign w:val="bottom"/>
            <w:tcBorders>
              <w:bottom w:val="single" w:sz="8" w:color="0033A0"/>
            </w:tcBorders>
          </w:tcPr>
          <w:p>
            <w:pPr>
              <w:jc w:val="right"/>
              <w:ind w:right="79"/>
              <w:spacing w:after="0"/>
              <w:rPr>
                <w:sz w:val="20"/>
                <w:szCs w:val="20"/>
                <w:color w:val="auto"/>
              </w:rPr>
            </w:pPr>
            <w:r>
              <w:rPr>
                <w:rFonts w:ascii="Arial" w:cs="Arial" w:eastAsia="Arial" w:hAnsi="Arial"/>
                <w:sz w:val="16"/>
                <w:szCs w:val="16"/>
                <w:color w:val="auto"/>
              </w:rPr>
              <w:t>$20,000</w:t>
            </w: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Non-employee directors are required to defer 50% of their annual Board retainer ($142,500) into DSUs under the General Motors Company Deferred Compensation Plan for Non-Employee Directors (the “Director Compensation Plan”). Directors may elect to defer all or half of their remaining Board retainer or amounts payable (if any) for serving as Committee Chair or Independent Lead Director into additional DSUs. The fees for a director who joins or leaves the Board or assumes additional responsibilities during the year are prorated for his or her period of service.</w:t>
      </w:r>
    </w:p>
    <w:p>
      <w:pPr>
        <w:spacing w:after="0" w:line="324"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25"/>
          <w:szCs w:val="25"/>
          <w:color w:val="0033A0"/>
        </w:rPr>
      </w:pPr>
      <w:r>
        <w:rPr>
          <w:rFonts w:ascii="Arial" w:cs="Arial" w:eastAsia="Arial" w:hAnsi="Arial"/>
          <w:sz w:val="25"/>
          <w:szCs w:val="25"/>
          <w:color w:val="auto"/>
        </w:rPr>
        <w:t>How Deferred Share Units Work</w:t>
      </w:r>
    </w:p>
    <w:p>
      <w:pPr>
        <w:spacing w:after="0" w:line="186"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Each DSU is equal in value to a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146050</wp:posOffset>
            </wp:positionV>
            <wp:extent cx="6860540" cy="1655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6054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25"/>
          <w:szCs w:val="25"/>
          <w:color w:val="0033A0"/>
        </w:rPr>
      </w:pPr>
      <w:r>
        <w:rPr>
          <w:rFonts w:ascii="Arial" w:cs="Arial" w:eastAsia="Arial" w:hAnsi="Arial"/>
          <w:sz w:val="25"/>
          <w:szCs w:val="25"/>
          <w:color w:val="auto"/>
        </w:rPr>
        <w:t>Other Compensation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outlined below, we provide certain additional benefits to non-employee directors.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2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Type</w:t>
            </w:r>
          </w:p>
        </w:tc>
        <w:tc>
          <w:tcPr>
            <w:tcW w:w="2740" w:type="dxa"/>
            <w:vAlign w:val="bottom"/>
            <w:tcBorders>
              <w:top w:val="single" w:sz="8" w:color="00A1DF"/>
              <w:bottom w:val="single" w:sz="8" w:color="00A1DF"/>
            </w:tcBorders>
          </w:tcPr>
          <w:p>
            <w:pPr>
              <w:spacing w:after="0"/>
              <w:rPr>
                <w:sz w:val="17"/>
                <w:szCs w:val="17"/>
                <w:color w:val="auto"/>
              </w:rPr>
            </w:pPr>
          </w:p>
        </w:tc>
        <w:tc>
          <w:tcPr>
            <w:tcW w:w="7760" w:type="dxa"/>
            <w:vAlign w:val="bottom"/>
            <w:tcBorders>
              <w:top w:val="single" w:sz="8" w:color="00A1DF"/>
              <w:bottom w:val="single" w:sz="8" w:color="00A1DF"/>
            </w:tcBorders>
          </w:tcPr>
          <w:p>
            <w:pPr>
              <w:ind w:left="580"/>
              <w:spacing w:after="0"/>
              <w:rPr>
                <w:sz w:val="20"/>
                <w:szCs w:val="20"/>
                <w:color w:val="auto"/>
              </w:rPr>
            </w:pPr>
            <w:r>
              <w:rPr>
                <w:rFonts w:ascii="Arial" w:cs="Arial" w:eastAsia="Arial" w:hAnsi="Arial"/>
                <w:sz w:val="16"/>
                <w:szCs w:val="16"/>
                <w:b w:val="1"/>
                <w:bCs w:val="1"/>
                <w:color w:val="00A1DF"/>
              </w:rPr>
              <w:t>Purpose</w:t>
            </w:r>
          </w:p>
        </w:tc>
      </w:tr>
      <w:tr>
        <w:trPr>
          <w:trHeight w:val="266"/>
        </w:trPr>
        <w:tc>
          <w:tcPr>
            <w:tcW w:w="520" w:type="dxa"/>
            <w:vAlign w:val="bottom"/>
          </w:tcPr>
          <w:p>
            <w:pPr>
              <w:ind w:left="300"/>
              <w:spacing w:after="0"/>
              <w:rPr>
                <w:sz w:val="20"/>
                <w:szCs w:val="20"/>
                <w:color w:val="auto"/>
              </w:rPr>
            </w:pPr>
            <w:r>
              <w:rPr>
                <w:rFonts w:ascii="Arial" w:cs="Arial" w:eastAsia="Arial" w:hAnsi="Arial"/>
                <w:sz w:val="16"/>
                <w:szCs w:val="16"/>
                <w:color w:val="00A1DF"/>
              </w:rPr>
              <w:t>u</w:t>
            </w:r>
          </w:p>
        </w:tc>
        <w:tc>
          <w:tcPr>
            <w:tcW w:w="2740" w:type="dxa"/>
            <w:vAlign w:val="bottom"/>
          </w:tcPr>
          <w:p>
            <w:pPr>
              <w:ind w:left="80"/>
              <w:spacing w:after="0"/>
              <w:rPr>
                <w:sz w:val="20"/>
                <w:szCs w:val="20"/>
                <w:color w:val="auto"/>
              </w:rPr>
            </w:pPr>
            <w:r>
              <w:rPr>
                <w:rFonts w:ascii="Arial" w:cs="Arial" w:eastAsia="Arial" w:hAnsi="Arial"/>
                <w:sz w:val="16"/>
                <w:szCs w:val="16"/>
                <w:color w:val="auto"/>
              </w:rPr>
              <w:t>Company Vehicles</w:t>
            </w:r>
          </w:p>
        </w:tc>
        <w:tc>
          <w:tcPr>
            <w:tcW w:w="7760" w:type="dxa"/>
            <w:vAlign w:val="bottom"/>
          </w:tcPr>
          <w:p>
            <w:pPr>
              <w:ind w:left="580"/>
              <w:spacing w:after="0"/>
              <w:rPr>
                <w:sz w:val="20"/>
                <w:szCs w:val="20"/>
                <w:color w:val="auto"/>
              </w:rPr>
            </w:pPr>
            <w:r>
              <w:rPr>
                <w:rFonts w:ascii="Arial" w:cs="Arial" w:eastAsia="Arial" w:hAnsi="Arial"/>
                <w:sz w:val="16"/>
                <w:szCs w:val="16"/>
                <w:color w:val="auto"/>
              </w:rPr>
              <w:t>We provide directors with the use of company vehicles to provide feedback on our products as well</w:t>
            </w:r>
          </w:p>
        </w:tc>
      </w:tr>
      <w:tr>
        <w:trPr>
          <w:trHeight w:val="189"/>
        </w:trPr>
        <w:tc>
          <w:tcPr>
            <w:tcW w:w="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760" w:type="dxa"/>
            <w:vAlign w:val="bottom"/>
          </w:tcPr>
          <w:p>
            <w:pPr>
              <w:ind w:left="580"/>
              <w:spacing w:after="0"/>
              <w:rPr>
                <w:sz w:val="20"/>
                <w:szCs w:val="20"/>
                <w:color w:val="auto"/>
              </w:rPr>
            </w:pPr>
            <w:r>
              <w:rPr>
                <w:rFonts w:ascii="Arial" w:cs="Arial" w:eastAsia="Arial" w:hAnsi="Arial"/>
                <w:sz w:val="16"/>
                <w:szCs w:val="16"/>
                <w:color w:val="auto"/>
              </w:rPr>
              <w:t>as enhance the public image of our vehicles. Retired directors also receive the use of a company</w:t>
            </w:r>
          </w:p>
        </w:tc>
      </w:tr>
      <w:tr>
        <w:trPr>
          <w:trHeight w:val="189"/>
        </w:trPr>
        <w:tc>
          <w:tcPr>
            <w:tcW w:w="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760" w:type="dxa"/>
            <w:vAlign w:val="bottom"/>
          </w:tcPr>
          <w:p>
            <w:pPr>
              <w:ind w:left="580"/>
              <w:spacing w:after="0"/>
              <w:rPr>
                <w:sz w:val="20"/>
                <w:szCs w:val="20"/>
                <w:color w:val="auto"/>
              </w:rPr>
            </w:pPr>
            <w:r>
              <w:rPr>
                <w:rFonts w:ascii="Arial" w:cs="Arial" w:eastAsia="Arial" w:hAnsi="Arial"/>
                <w:sz w:val="16"/>
                <w:szCs w:val="16"/>
                <w:color w:val="auto"/>
              </w:rPr>
              <w:t>vehicle for a period of time. Participants are charged with imputed income based on the lease value</w:t>
            </w:r>
          </w:p>
        </w:tc>
      </w:tr>
      <w:tr>
        <w:trPr>
          <w:trHeight w:val="198"/>
        </w:trPr>
        <w:tc>
          <w:tcPr>
            <w:tcW w:w="5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77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of the vehicles and are responsible for associated taxes.</w:t>
            </w:r>
          </w:p>
        </w:tc>
      </w:tr>
      <w:tr>
        <w:trPr>
          <w:trHeight w:val="277"/>
        </w:trPr>
        <w:tc>
          <w:tcPr>
            <w:tcW w:w="520" w:type="dxa"/>
            <w:vAlign w:val="bottom"/>
          </w:tcPr>
          <w:p>
            <w:pPr>
              <w:ind w:left="300"/>
              <w:spacing w:after="0"/>
              <w:rPr>
                <w:sz w:val="20"/>
                <w:szCs w:val="20"/>
                <w:color w:val="auto"/>
              </w:rPr>
            </w:pPr>
            <w:r>
              <w:rPr>
                <w:rFonts w:ascii="Arial" w:cs="Arial" w:eastAsia="Arial" w:hAnsi="Arial"/>
                <w:sz w:val="16"/>
                <w:szCs w:val="16"/>
                <w:color w:val="00A1DF"/>
              </w:rPr>
              <w:t>u</w:t>
            </w:r>
          </w:p>
        </w:tc>
        <w:tc>
          <w:tcPr>
            <w:tcW w:w="2740" w:type="dxa"/>
            <w:vAlign w:val="bottom"/>
          </w:tcPr>
          <w:p>
            <w:pPr>
              <w:ind w:left="80"/>
              <w:spacing w:after="0"/>
              <w:rPr>
                <w:sz w:val="20"/>
                <w:szCs w:val="20"/>
                <w:color w:val="auto"/>
              </w:rPr>
            </w:pPr>
            <w:r>
              <w:rPr>
                <w:rFonts w:ascii="Arial" w:cs="Arial" w:eastAsia="Arial" w:hAnsi="Arial"/>
                <w:sz w:val="16"/>
                <w:szCs w:val="16"/>
                <w:color w:val="auto"/>
              </w:rPr>
              <w:t>Personal Accident Insurance</w:t>
            </w:r>
          </w:p>
        </w:tc>
        <w:tc>
          <w:tcPr>
            <w:tcW w:w="7760" w:type="dxa"/>
            <w:vAlign w:val="bottom"/>
          </w:tcPr>
          <w:p>
            <w:pPr>
              <w:ind w:left="580"/>
              <w:spacing w:after="0"/>
              <w:rPr>
                <w:sz w:val="20"/>
                <w:szCs w:val="20"/>
                <w:color w:val="auto"/>
              </w:rPr>
            </w:pPr>
            <w:r>
              <w:rPr>
                <w:rFonts w:ascii="Arial" w:cs="Arial" w:eastAsia="Arial" w:hAnsi="Arial"/>
                <w:sz w:val="16"/>
                <w:szCs w:val="16"/>
                <w:color w:val="auto"/>
              </w:rPr>
              <w:t>We provide PAI coverage in the event of accidental death or dismemberment. Directors are</w:t>
            </w:r>
          </w:p>
        </w:tc>
      </w:tr>
      <w:tr>
        <w:trPr>
          <w:trHeight w:val="206"/>
        </w:trPr>
        <w:tc>
          <w:tcPr>
            <w:tcW w:w="520" w:type="dxa"/>
            <w:vAlign w:val="bottom"/>
            <w:tcBorders>
              <w:bottom w:val="single" w:sz="8" w:color="0033A0"/>
            </w:tcBorders>
          </w:tcPr>
          <w:p>
            <w:pPr>
              <w:spacing w:after="0"/>
              <w:rPr>
                <w:sz w:val="17"/>
                <w:szCs w:val="17"/>
                <w:color w:val="auto"/>
              </w:rPr>
            </w:pPr>
          </w:p>
        </w:tc>
        <w:tc>
          <w:tcPr>
            <w:tcW w:w="2740" w:type="dxa"/>
            <w:vAlign w:val="bottom"/>
            <w:tcBorders>
              <w:bottom w:val="single" w:sz="8" w:color="0033A0"/>
            </w:tcBorders>
          </w:tcPr>
          <w:p>
            <w:pPr>
              <w:ind w:left="120"/>
              <w:spacing w:after="0" w:line="205" w:lineRule="exact"/>
              <w:rPr>
                <w:sz w:val="20"/>
                <w:szCs w:val="20"/>
                <w:color w:val="auto"/>
              </w:rPr>
            </w:pPr>
            <w:r>
              <w:rPr>
                <w:rFonts w:ascii="Arial" w:cs="Arial" w:eastAsia="Arial" w:hAnsi="Arial"/>
                <w:sz w:val="14"/>
                <w:szCs w:val="14"/>
                <w:color w:val="auto"/>
              </w:rPr>
              <w:t>(“PAI”)</w:t>
            </w:r>
            <w:r>
              <w:rPr>
                <w:rFonts w:ascii="Arial" w:cs="Arial" w:eastAsia="Arial" w:hAnsi="Arial"/>
                <w:sz w:val="23"/>
                <w:szCs w:val="23"/>
                <w:color w:val="auto"/>
                <w:vertAlign w:val="superscript"/>
              </w:rPr>
              <w:t>(1)</w:t>
            </w:r>
          </w:p>
        </w:tc>
        <w:tc>
          <w:tcPr>
            <w:tcW w:w="7760" w:type="dxa"/>
            <w:vAlign w:val="bottom"/>
            <w:tcBorders>
              <w:bottom w:val="single" w:sz="8" w:color="0033A0"/>
            </w:tcBorders>
          </w:tcPr>
          <w:p>
            <w:pPr>
              <w:ind w:left="580"/>
              <w:spacing w:after="0"/>
              <w:rPr>
                <w:sz w:val="20"/>
                <w:szCs w:val="20"/>
                <w:color w:val="auto"/>
              </w:rPr>
            </w:pPr>
            <w:r>
              <w:rPr>
                <w:rFonts w:ascii="Arial" w:cs="Arial" w:eastAsia="Arial" w:hAnsi="Arial"/>
                <w:sz w:val="16"/>
                <w:szCs w:val="16"/>
                <w:color w:val="auto"/>
              </w:rPr>
              <w:t>responsible for associated taxes on the imputed income from the coverage.</w:t>
            </w:r>
          </w:p>
        </w:tc>
      </w:tr>
    </w:tbl>
    <w:p>
      <w:pPr>
        <w:spacing w:after="0" w:line="72" w:lineRule="exact"/>
        <w:rPr>
          <w:sz w:val="20"/>
          <w:szCs w:val="20"/>
          <w:color w:val="auto"/>
        </w:rPr>
      </w:pPr>
    </w:p>
    <w:p>
      <w:pPr>
        <w:ind w:left="520" w:right="20" w:hanging="316"/>
        <w:spacing w:after="0" w:line="279" w:lineRule="auto"/>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Ms. Barra, our sole employee director, does not receive additional compensation for her Board service other than the PAI benefit described above, the value of which is reported for Ms. Barra in the Summary Compensation Table on page 57.</w:t>
      </w:r>
    </w:p>
    <w:p>
      <w:pPr>
        <w:spacing w:after="0" w:line="69"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Non-employee directors are not eligible to participate in any of the savings or retirement programs for our employees. Other than as described in this section, there are no separate benefit plans for directors.</w:t>
      </w:r>
    </w:p>
    <w:p>
      <w:pPr>
        <w:spacing w:after="0" w:line="131"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00A1DF"/>
        </w:rPr>
        <w:t xml:space="preserve">ITEM NO. 1 </w:t>
      </w:r>
      <w:r>
        <w:rPr>
          <w:rFonts w:ascii="Arial" w:cs="Arial" w:eastAsia="Arial" w:hAnsi="Arial"/>
          <w:sz w:val="14"/>
          <w:szCs w:val="14"/>
          <w:b w:val="1"/>
          <w:bCs w:val="1"/>
          <w:color w:val="0033A0"/>
        </w:rPr>
        <w:t>–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25"/>
          <w:szCs w:val="25"/>
          <w:color w:val="0033A0"/>
        </w:rPr>
      </w:pPr>
      <w:r>
        <w:rPr>
          <w:rFonts w:ascii="Arial" w:cs="Arial" w:eastAsia="Arial" w:hAnsi="Arial"/>
          <w:sz w:val="25"/>
          <w:szCs w:val="25"/>
          <w:color w:val="auto"/>
        </w:rPr>
        <w:t>2017 Non-Employee Director Compensation Table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table shows the compensation that each non-employee director received for his or her 2017 Board and Committee service.</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2800" w:type="dxa"/>
            <w:vAlign w:val="bottom"/>
            <w:tcBorders>
              <w:top w:val="single" w:sz="8" w:color="00A1DF"/>
            </w:tcBorders>
          </w:tcPr>
          <w:p>
            <w:pPr>
              <w:spacing w:after="0"/>
              <w:rPr>
                <w:sz w:val="13"/>
                <w:szCs w:val="13"/>
                <w:color w:val="auto"/>
              </w:rPr>
            </w:pPr>
          </w:p>
        </w:tc>
        <w:tc>
          <w:tcPr>
            <w:tcW w:w="2780" w:type="dxa"/>
            <w:vAlign w:val="bottom"/>
            <w:tcBorders>
              <w:top w:val="single" w:sz="8" w:color="00A1DF"/>
            </w:tcBorders>
            <w:gridSpan w:val="2"/>
          </w:tcPr>
          <w:p>
            <w:pPr>
              <w:jc w:val="right"/>
              <w:ind w:right="395"/>
              <w:spacing w:after="0" w:line="154" w:lineRule="exact"/>
              <w:rPr>
                <w:sz w:val="20"/>
                <w:szCs w:val="20"/>
                <w:color w:val="auto"/>
              </w:rPr>
            </w:pPr>
            <w:r>
              <w:rPr>
                <w:rFonts w:ascii="Arial" w:cs="Arial" w:eastAsia="Arial" w:hAnsi="Arial"/>
                <w:sz w:val="15"/>
                <w:szCs w:val="15"/>
                <w:b w:val="1"/>
                <w:bCs w:val="1"/>
                <w:color w:val="00A1DF"/>
              </w:rPr>
              <w:t>Fees Earned or</w:t>
            </w:r>
          </w:p>
        </w:tc>
        <w:tc>
          <w:tcPr>
            <w:tcW w:w="2120" w:type="dxa"/>
            <w:vAlign w:val="bottom"/>
            <w:tcBorders>
              <w:top w:val="single" w:sz="8" w:color="00A1DF"/>
            </w:tcBorders>
            <w:vMerge w:val="restart"/>
          </w:tcPr>
          <w:p>
            <w:pPr>
              <w:jc w:val="right"/>
              <w:ind w:right="561"/>
              <w:spacing w:after="0"/>
              <w:rPr>
                <w:sz w:val="20"/>
                <w:szCs w:val="20"/>
                <w:color w:val="auto"/>
              </w:rPr>
            </w:pPr>
            <w:r>
              <w:rPr>
                <w:rFonts w:ascii="Arial" w:cs="Arial" w:eastAsia="Arial" w:hAnsi="Arial"/>
                <w:sz w:val="15"/>
                <w:szCs w:val="15"/>
                <w:b w:val="1"/>
                <w:bCs w:val="1"/>
                <w:color w:val="00A1DF"/>
              </w:rPr>
              <w:t>Stock Awards</w:t>
            </w:r>
          </w:p>
        </w:tc>
        <w:tc>
          <w:tcPr>
            <w:tcW w:w="2120" w:type="dxa"/>
            <w:vAlign w:val="bottom"/>
            <w:tcBorders>
              <w:top w:val="single" w:sz="8" w:color="00A1DF"/>
            </w:tcBorders>
            <w:gridSpan w:val="2"/>
          </w:tcPr>
          <w:p>
            <w:pPr>
              <w:jc w:val="right"/>
              <w:ind w:right="355"/>
              <w:spacing w:after="0" w:line="154" w:lineRule="exact"/>
              <w:rPr>
                <w:sz w:val="20"/>
                <w:szCs w:val="20"/>
                <w:color w:val="auto"/>
              </w:rPr>
            </w:pPr>
            <w:r>
              <w:rPr>
                <w:rFonts w:ascii="Arial" w:cs="Arial" w:eastAsia="Arial" w:hAnsi="Arial"/>
                <w:sz w:val="15"/>
                <w:szCs w:val="15"/>
                <w:b w:val="1"/>
                <w:bCs w:val="1"/>
                <w:color w:val="00A1DF"/>
              </w:rPr>
              <w:t>All Other</w:t>
            </w:r>
          </w:p>
        </w:tc>
        <w:tc>
          <w:tcPr>
            <w:tcW w:w="1200" w:type="dxa"/>
            <w:vAlign w:val="bottom"/>
            <w:tcBorders>
              <w:top w:val="single" w:sz="8" w:color="00A1DF"/>
            </w:tcBorders>
            <w:vMerge w:val="restart"/>
          </w:tcPr>
          <w:p>
            <w:pPr>
              <w:jc w:val="right"/>
              <w:ind w:right="120"/>
              <w:spacing w:after="0"/>
              <w:rPr>
                <w:sz w:val="20"/>
                <w:szCs w:val="20"/>
                <w:color w:val="auto"/>
              </w:rPr>
            </w:pPr>
            <w:r>
              <w:rPr>
                <w:rFonts w:ascii="Arial" w:cs="Arial" w:eastAsia="Arial" w:hAnsi="Arial"/>
                <w:sz w:val="15"/>
                <w:szCs w:val="15"/>
                <w:b w:val="1"/>
                <w:bCs w:val="1"/>
                <w:color w:val="00A1DF"/>
              </w:rPr>
              <w:t>Total</w:t>
            </w: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2160" w:type="dxa"/>
            <w:vAlign w:val="bottom"/>
          </w:tcPr>
          <w:p>
            <w:pPr>
              <w:ind w:left="1240"/>
              <w:spacing w:after="0"/>
              <w:rPr>
                <w:sz w:val="20"/>
                <w:szCs w:val="20"/>
                <w:color w:val="auto"/>
              </w:rPr>
            </w:pPr>
            <w:r>
              <w:rPr>
                <w:rFonts w:ascii="Arial" w:cs="Arial" w:eastAsia="Arial" w:hAnsi="Arial"/>
                <w:sz w:val="2"/>
                <w:szCs w:val="2"/>
                <w:b w:val="1"/>
                <w:bCs w:val="1"/>
                <w:color w:val="00A1DF"/>
              </w:rPr>
              <w:t>Paid in Cash</w:t>
            </w:r>
          </w:p>
        </w:tc>
        <w:tc>
          <w:tcPr>
            <w:tcW w:w="620" w:type="dxa"/>
            <w:vAlign w:val="bottom"/>
            <w:vMerge w:val="restart"/>
          </w:tcPr>
          <w:p>
            <w:pPr>
              <w:jc w:val="right"/>
              <w:ind w:right="395"/>
              <w:spacing w:after="0"/>
              <w:rPr>
                <w:sz w:val="20"/>
                <w:szCs w:val="20"/>
                <w:color w:val="auto"/>
              </w:rPr>
            </w:pPr>
            <w:r>
              <w:rPr>
                <w:rFonts w:ascii="Arial" w:cs="Arial" w:eastAsia="Arial" w:hAnsi="Arial"/>
                <w:sz w:val="13"/>
                <w:szCs w:val="13"/>
                <w:b w:val="1"/>
                <w:bCs w:val="1"/>
                <w:color w:val="00A1DF"/>
                <w:w w:val="87"/>
              </w:rPr>
              <w:t>(1)</w:t>
            </w:r>
          </w:p>
        </w:tc>
        <w:tc>
          <w:tcPr>
            <w:tcW w:w="2120" w:type="dxa"/>
            <w:vAlign w:val="bottom"/>
            <w:vMerge w:val="continue"/>
          </w:tcPr>
          <w:p>
            <w:pPr>
              <w:spacing w:after="0"/>
              <w:rPr>
                <w:sz w:val="2"/>
                <w:szCs w:val="2"/>
                <w:color w:val="auto"/>
              </w:rPr>
            </w:pPr>
          </w:p>
        </w:tc>
        <w:tc>
          <w:tcPr>
            <w:tcW w:w="1540" w:type="dxa"/>
            <w:vAlign w:val="bottom"/>
          </w:tcPr>
          <w:p>
            <w:pPr>
              <w:ind w:left="480"/>
              <w:spacing w:after="0"/>
              <w:rPr>
                <w:sz w:val="20"/>
                <w:szCs w:val="20"/>
                <w:color w:val="auto"/>
              </w:rPr>
            </w:pPr>
            <w:r>
              <w:rPr>
                <w:rFonts w:ascii="Arial" w:cs="Arial" w:eastAsia="Arial" w:hAnsi="Arial"/>
                <w:sz w:val="2"/>
                <w:szCs w:val="2"/>
                <w:b w:val="1"/>
                <w:bCs w:val="1"/>
                <w:color w:val="00A1DF"/>
              </w:rPr>
              <w:t>Compensation</w:t>
            </w:r>
          </w:p>
        </w:tc>
        <w:tc>
          <w:tcPr>
            <w:tcW w:w="580" w:type="dxa"/>
            <w:vAlign w:val="bottom"/>
            <w:vMerge w:val="restart"/>
          </w:tcPr>
          <w:p>
            <w:pPr>
              <w:jc w:val="right"/>
              <w:ind w:right="355"/>
              <w:spacing w:after="0"/>
              <w:rPr>
                <w:sz w:val="20"/>
                <w:szCs w:val="20"/>
                <w:color w:val="auto"/>
              </w:rPr>
            </w:pPr>
            <w:r>
              <w:rPr>
                <w:rFonts w:ascii="Arial" w:cs="Arial" w:eastAsia="Arial" w:hAnsi="Arial"/>
                <w:sz w:val="13"/>
                <w:szCs w:val="13"/>
                <w:b w:val="1"/>
                <w:bCs w:val="1"/>
                <w:color w:val="00A1DF"/>
                <w:w w:val="87"/>
              </w:rPr>
              <w:t>(3)</w:t>
            </w: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800" w:type="dxa"/>
            <w:vAlign w:val="bottom"/>
            <w:vMerge w:val="restart"/>
          </w:tcPr>
          <w:p>
            <w:pPr>
              <w:ind w:left="80"/>
              <w:spacing w:after="0"/>
              <w:rPr>
                <w:sz w:val="20"/>
                <w:szCs w:val="20"/>
                <w:color w:val="auto"/>
              </w:rPr>
            </w:pPr>
            <w:r>
              <w:rPr>
                <w:rFonts w:ascii="Arial" w:cs="Arial" w:eastAsia="Arial" w:hAnsi="Arial"/>
                <w:sz w:val="16"/>
                <w:szCs w:val="16"/>
                <w:b w:val="1"/>
                <w:bCs w:val="1"/>
                <w:color w:val="00A1DF"/>
              </w:rPr>
              <w:t>Director</w:t>
            </w:r>
          </w:p>
        </w:tc>
        <w:tc>
          <w:tcPr>
            <w:tcW w:w="2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120" w:type="dxa"/>
            <w:vAlign w:val="bottom"/>
          </w:tcPr>
          <w:p>
            <w:pPr>
              <w:jc w:val="right"/>
              <w:ind w:right="401"/>
              <w:spacing w:after="0" w:line="137" w:lineRule="exact"/>
              <w:rPr>
                <w:sz w:val="20"/>
                <w:szCs w:val="20"/>
                <w:color w:val="auto"/>
              </w:rPr>
            </w:pPr>
            <w:r>
              <w:rPr>
                <w:rFonts w:ascii="Arial" w:cs="Arial" w:eastAsia="Arial" w:hAnsi="Arial"/>
                <w:sz w:val="13"/>
                <w:szCs w:val="13"/>
                <w:b w:val="1"/>
                <w:bCs w:val="1"/>
                <w:color w:val="00A1DF"/>
              </w:rPr>
              <w:t>(2)</w:t>
            </w:r>
          </w:p>
        </w:tc>
        <w:tc>
          <w:tcPr>
            <w:tcW w:w="15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800" w:type="dxa"/>
            <w:vAlign w:val="bottom"/>
            <w:tcBorders>
              <w:bottom w:val="single" w:sz="8" w:color="00A1DF"/>
            </w:tcBorders>
            <w:vMerge w:val="continue"/>
          </w:tcPr>
          <w:p>
            <w:pPr>
              <w:spacing w:after="0"/>
              <w:rPr>
                <w:sz w:val="17"/>
                <w:szCs w:val="17"/>
                <w:color w:val="auto"/>
              </w:rPr>
            </w:pPr>
          </w:p>
        </w:tc>
        <w:tc>
          <w:tcPr>
            <w:tcW w:w="2780" w:type="dxa"/>
            <w:vAlign w:val="bottom"/>
            <w:tcBorders>
              <w:bottom w:val="single" w:sz="8" w:color="00A1DF"/>
            </w:tcBorders>
            <w:gridSpan w:val="2"/>
          </w:tcPr>
          <w:p>
            <w:pPr>
              <w:jc w:val="right"/>
              <w:ind w:right="395"/>
              <w:spacing w:after="0"/>
              <w:rPr>
                <w:sz w:val="20"/>
                <w:szCs w:val="20"/>
                <w:color w:val="auto"/>
              </w:rPr>
            </w:pPr>
            <w:r>
              <w:rPr>
                <w:rFonts w:ascii="Arial" w:cs="Arial" w:eastAsia="Arial" w:hAnsi="Arial"/>
                <w:sz w:val="15"/>
                <w:szCs w:val="15"/>
                <w:b w:val="1"/>
                <w:bCs w:val="1"/>
                <w:color w:val="00A1DF"/>
              </w:rPr>
              <w:t>($)</w:t>
            </w:r>
          </w:p>
        </w:tc>
        <w:tc>
          <w:tcPr>
            <w:tcW w:w="2120" w:type="dxa"/>
            <w:vAlign w:val="bottom"/>
            <w:tcBorders>
              <w:bottom w:val="single" w:sz="8" w:color="00A1DF"/>
            </w:tcBorders>
          </w:tcPr>
          <w:p>
            <w:pPr>
              <w:jc w:val="right"/>
              <w:ind w:right="401"/>
              <w:spacing w:after="0"/>
              <w:rPr>
                <w:sz w:val="20"/>
                <w:szCs w:val="20"/>
                <w:color w:val="auto"/>
              </w:rPr>
            </w:pPr>
            <w:r>
              <w:rPr>
                <w:rFonts w:ascii="Arial" w:cs="Arial" w:eastAsia="Arial" w:hAnsi="Arial"/>
                <w:sz w:val="15"/>
                <w:szCs w:val="15"/>
                <w:b w:val="1"/>
                <w:bCs w:val="1"/>
                <w:color w:val="00A1DF"/>
              </w:rPr>
              <w:t>($)</w:t>
            </w:r>
          </w:p>
        </w:tc>
        <w:tc>
          <w:tcPr>
            <w:tcW w:w="2120" w:type="dxa"/>
            <w:vAlign w:val="bottom"/>
            <w:tcBorders>
              <w:bottom w:val="single" w:sz="8" w:color="00A1DF"/>
            </w:tcBorders>
            <w:gridSpan w:val="2"/>
          </w:tcPr>
          <w:p>
            <w:pPr>
              <w:jc w:val="right"/>
              <w:ind w:right="355"/>
              <w:spacing w:after="0"/>
              <w:rPr>
                <w:sz w:val="20"/>
                <w:szCs w:val="20"/>
                <w:color w:val="auto"/>
              </w:rPr>
            </w:pPr>
            <w:r>
              <w:rPr>
                <w:rFonts w:ascii="Arial" w:cs="Arial" w:eastAsia="Arial" w:hAnsi="Arial"/>
                <w:sz w:val="15"/>
                <w:szCs w:val="15"/>
                <w:b w:val="1"/>
                <w:bCs w:val="1"/>
                <w:color w:val="00A1DF"/>
              </w:rPr>
              <w:t>($)</w:t>
            </w:r>
          </w:p>
        </w:tc>
        <w:tc>
          <w:tcPr>
            <w:tcW w:w="1200" w:type="dxa"/>
            <w:vAlign w:val="bottom"/>
            <w:tcBorders>
              <w:bottom w:val="single" w:sz="8" w:color="00A1DF"/>
            </w:tcBorders>
          </w:tcPr>
          <w:p>
            <w:pPr>
              <w:jc w:val="right"/>
              <w:ind w:right="120"/>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54"/>
        </w:trPr>
        <w:tc>
          <w:tcPr>
            <w:tcW w:w="2800" w:type="dxa"/>
            <w:vAlign w:val="bottom"/>
            <w:tcBorders>
              <w:bottom w:val="single" w:sz="8" w:color="auto"/>
            </w:tcBorders>
          </w:tcPr>
          <w:p>
            <w:pPr>
              <w:ind w:left="80"/>
              <w:spacing w:after="0" w:line="254" w:lineRule="exact"/>
              <w:rPr>
                <w:sz w:val="20"/>
                <w:szCs w:val="20"/>
                <w:color w:val="auto"/>
              </w:rPr>
            </w:pPr>
            <w:r>
              <w:rPr>
                <w:rFonts w:ascii="Arial" w:cs="Arial" w:eastAsia="Arial" w:hAnsi="Arial"/>
                <w:sz w:val="16"/>
                <w:szCs w:val="16"/>
                <w:color w:val="auto"/>
              </w:rPr>
              <w:t>Joseph J. Ashton</w:t>
            </w:r>
            <w:r>
              <w:rPr>
                <w:rFonts w:ascii="Arial" w:cs="Arial" w:eastAsia="Arial" w:hAnsi="Arial"/>
                <w:sz w:val="27"/>
                <w:szCs w:val="27"/>
                <w:color w:val="auto"/>
                <w:vertAlign w:val="superscript"/>
              </w:rPr>
              <w:t>(4)</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142,500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156,336</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34,698</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333,534</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16"/>
                <w:szCs w:val="16"/>
                <w:color w:val="auto"/>
              </w:rPr>
              <w:t>Linda R. Gooden</w:t>
            </w:r>
            <w:r>
              <w:rPr>
                <w:rFonts w:ascii="Arial" w:cs="Arial" w:eastAsia="Arial" w:hAnsi="Arial"/>
                <w:sz w:val="27"/>
                <w:szCs w:val="27"/>
                <w:color w:val="auto"/>
                <w:vertAlign w:val="superscript"/>
              </w:rPr>
              <w:t>(5)</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145,833</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22,448</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323,592</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Joseph Jimenez</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142,500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24,282</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322,093</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Jane L. Mendillo</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142,500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11,323</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309,134</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G. Mullen</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162,500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23,428</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341,239</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James J. Mulva</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162,500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36,490</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354,301</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Patricia F. Russo</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162,500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19,886</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337,697</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Thomas M. Schoewe</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172,500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30,448</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358,259</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Theodore M. Solso</w:t>
            </w:r>
          </w:p>
        </w:tc>
        <w:tc>
          <w:tcPr>
            <w:tcW w:w="278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6"/>
                <w:szCs w:val="16"/>
                <w:color w:val="auto"/>
              </w:rPr>
              <w:t>242,500</w:t>
            </w:r>
          </w:p>
        </w:tc>
        <w:tc>
          <w:tcPr>
            <w:tcW w:w="21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color w:val="auto"/>
              </w:rPr>
              <w:t>15,490</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413,301</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0033A0"/>
            </w:tcBorders>
          </w:tcPr>
          <w:p>
            <w:pPr>
              <w:ind w:left="80"/>
              <w:spacing w:after="0"/>
              <w:rPr>
                <w:sz w:val="20"/>
                <w:szCs w:val="20"/>
                <w:color w:val="auto"/>
              </w:rPr>
            </w:pPr>
            <w:r>
              <w:rPr>
                <w:rFonts w:ascii="Arial" w:cs="Arial" w:eastAsia="Arial" w:hAnsi="Arial"/>
                <w:sz w:val="16"/>
                <w:szCs w:val="16"/>
                <w:color w:val="auto"/>
              </w:rPr>
              <w:t>Carol M. Stephenson</w:t>
            </w:r>
          </w:p>
        </w:tc>
        <w:tc>
          <w:tcPr>
            <w:tcW w:w="2780" w:type="dxa"/>
            <w:vAlign w:val="bottom"/>
            <w:tcBorders>
              <w:bottom w:val="single" w:sz="8" w:color="0033A0"/>
            </w:tcBorders>
            <w:gridSpan w:val="2"/>
          </w:tcPr>
          <w:p>
            <w:pPr>
              <w:jc w:val="right"/>
              <w:ind w:right="395"/>
              <w:spacing w:after="0"/>
              <w:rPr>
                <w:sz w:val="20"/>
                <w:szCs w:val="20"/>
                <w:color w:val="auto"/>
              </w:rPr>
            </w:pPr>
            <w:r>
              <w:rPr>
                <w:rFonts w:ascii="Arial" w:cs="Arial" w:eastAsia="Arial" w:hAnsi="Arial"/>
                <w:sz w:val="16"/>
                <w:szCs w:val="16"/>
                <w:color w:val="auto"/>
              </w:rPr>
              <w:t>162,500</w:t>
            </w:r>
          </w:p>
        </w:tc>
        <w:tc>
          <w:tcPr>
            <w:tcW w:w="2120" w:type="dxa"/>
            <w:vAlign w:val="bottom"/>
            <w:tcBorders>
              <w:bottom w:val="single" w:sz="8" w:color="0033A0"/>
            </w:tcBorders>
          </w:tcPr>
          <w:p>
            <w:pPr>
              <w:jc w:val="right"/>
              <w:ind w:right="401"/>
              <w:spacing w:after="0"/>
              <w:rPr>
                <w:sz w:val="20"/>
                <w:szCs w:val="20"/>
                <w:color w:val="auto"/>
              </w:rPr>
            </w:pPr>
            <w:r>
              <w:rPr>
                <w:rFonts w:ascii="Arial" w:cs="Arial" w:eastAsia="Arial" w:hAnsi="Arial"/>
                <w:sz w:val="16"/>
                <w:szCs w:val="16"/>
                <w:color w:val="auto"/>
              </w:rPr>
              <w:t>155,311</w:t>
            </w:r>
          </w:p>
        </w:tc>
        <w:tc>
          <w:tcPr>
            <w:tcW w:w="2120" w:type="dxa"/>
            <w:vAlign w:val="bottom"/>
            <w:tcBorders>
              <w:bottom w:val="single" w:sz="8" w:color="0033A0"/>
            </w:tcBorders>
            <w:gridSpan w:val="2"/>
          </w:tcPr>
          <w:p>
            <w:pPr>
              <w:jc w:val="right"/>
              <w:ind w:right="355"/>
              <w:spacing w:after="0"/>
              <w:rPr>
                <w:sz w:val="20"/>
                <w:szCs w:val="20"/>
                <w:color w:val="auto"/>
              </w:rPr>
            </w:pPr>
            <w:r>
              <w:rPr>
                <w:rFonts w:ascii="Arial" w:cs="Arial" w:eastAsia="Arial" w:hAnsi="Arial"/>
                <w:sz w:val="16"/>
                <w:szCs w:val="16"/>
                <w:color w:val="auto"/>
              </w:rPr>
              <w:t>12,782</w:t>
            </w:r>
          </w:p>
        </w:tc>
        <w:tc>
          <w:tcPr>
            <w:tcW w:w="1200" w:type="dxa"/>
            <w:vAlign w:val="bottom"/>
            <w:tcBorders>
              <w:bottom w:val="single" w:sz="8" w:color="0033A0"/>
            </w:tcBorders>
          </w:tcPr>
          <w:p>
            <w:pPr>
              <w:jc w:val="right"/>
              <w:ind w:right="120"/>
              <w:spacing w:after="0"/>
              <w:rPr>
                <w:sz w:val="20"/>
                <w:szCs w:val="20"/>
                <w:color w:val="auto"/>
              </w:rPr>
            </w:pPr>
            <w:r>
              <w:rPr>
                <w:rFonts w:ascii="Arial" w:cs="Arial" w:eastAsia="Arial" w:hAnsi="Arial"/>
                <w:sz w:val="16"/>
                <w:szCs w:val="16"/>
                <w:color w:val="auto"/>
              </w:rPr>
              <w:t>330,593</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520" w:right="40" w:hanging="316"/>
        <w:spacing w:after="0" w:line="254" w:lineRule="auto"/>
        <w:tabs>
          <w:tab w:leader="none" w:pos="5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director compensation eligible to be paid in cash, which consists of 50 percent of the annual Board retainer ($142,500) and any applicable Committee Chair or Independent Lead Director fees. Each of the following directors elected to receive DSUs in lieu of such amounts eligible to be paid in cash in the following amounts: Mr. Ashton — $71,250; Ms. Gooden — $3,333; Mr. Jimenez — $142,500; Ms. Mendillo — $142,500; Mr. Mullen — $20,000; Mr. Mulva — $162,500; Ms. Russo — $20,000; Mr. Solso — $242,500; and Ms. Stephenson — $81,250.</w:t>
      </w:r>
    </w:p>
    <w:p>
      <w:pPr>
        <w:spacing w:after="0" w:line="47" w:lineRule="exact"/>
        <w:rPr>
          <w:rFonts w:ascii="Arial" w:cs="Arial" w:eastAsia="Arial" w:hAnsi="Arial"/>
          <w:sz w:val="14"/>
          <w:szCs w:val="14"/>
          <w:i w:val="1"/>
          <w:iCs w:val="1"/>
          <w:color w:val="auto"/>
        </w:rPr>
      </w:pPr>
    </w:p>
    <w:p>
      <w:pPr>
        <w:jc w:val="both"/>
        <w:ind w:left="520" w:right="40" w:hanging="316"/>
        <w:spacing w:after="0" w:line="260" w:lineRule="auto"/>
        <w:tabs>
          <w:tab w:leader="none" w:pos="5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aggregate grant date fair value of DSUs granted in 2017, which does not include any cash fees that directors voluntarily elected to receive as DSUs. Grant date fair value is calculated by multiplying the number of DSUs granted by the closing price of GM common stock on December 29, 2017, which was $40.99. The holders of DSUs also receive dividend equivalents, which are reinvested in additional DSUs based on the market price of the common stock on the date the dividends are paid.</w:t>
      </w:r>
    </w:p>
    <w:p>
      <w:pPr>
        <w:spacing w:after="0" w:line="43" w:lineRule="exact"/>
        <w:rPr>
          <w:rFonts w:ascii="Arial" w:cs="Arial" w:eastAsia="Arial" w:hAnsi="Arial"/>
          <w:sz w:val="14"/>
          <w:szCs w:val="14"/>
          <w:i w:val="1"/>
          <w:iCs w:val="1"/>
          <w:color w:val="auto"/>
        </w:rPr>
      </w:pPr>
    </w:p>
    <w:p>
      <w:pPr>
        <w:ind w:left="520" w:hanging="316"/>
        <w:spacing w:after="0"/>
        <w:tabs>
          <w:tab w:leader="none" w:pos="5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table provides more information on the type and amount of benefits included in the All Other Compensation column.</w:t>
      </w:r>
    </w:p>
    <w:p>
      <w:pPr>
        <w:sectPr>
          <w:pgSz w:w="11900" w:h="16838" w:orient="portrait"/>
          <w:cols w:equalWidth="0" w:num="1">
            <w:col w:w="11260"/>
          </w:cols>
          <w:pgMar w:left="240" w:top="459" w:right="399" w:bottom="1440" w:gutter="0" w:footer="0" w:header="0"/>
        </w:sect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1640" w:type="dxa"/>
            <w:vAlign w:val="bottom"/>
            <w:tcBorders>
              <w:top w:val="single" w:sz="8" w:color="00A1DF"/>
            </w:tcBorders>
          </w:tcPr>
          <w:p>
            <w:pPr>
              <w:spacing w:after="0"/>
              <w:rPr>
                <w:sz w:val="16"/>
                <w:szCs w:val="16"/>
                <w:color w:val="auto"/>
              </w:rPr>
            </w:pPr>
          </w:p>
        </w:tc>
        <w:tc>
          <w:tcPr>
            <w:tcW w:w="1540" w:type="dxa"/>
            <w:vAlign w:val="bottom"/>
            <w:tcBorders>
              <w:top w:val="single" w:sz="8" w:color="00A1DF"/>
            </w:tcBorders>
          </w:tcPr>
          <w:p>
            <w:pPr>
              <w:jc w:val="right"/>
              <w:ind w:right="99"/>
              <w:spacing w:after="0"/>
              <w:rPr>
                <w:sz w:val="20"/>
                <w:szCs w:val="20"/>
                <w:color w:val="auto"/>
              </w:rPr>
            </w:pPr>
            <w:r>
              <w:rPr>
                <w:rFonts w:ascii="Arial" w:cs="Arial" w:eastAsia="Arial" w:hAnsi="Arial"/>
                <w:sz w:val="16"/>
                <w:szCs w:val="16"/>
                <w:b w:val="1"/>
                <w:bCs w:val="1"/>
                <w:color w:val="00A1DF"/>
              </w:rPr>
              <w:t>Company</w:t>
            </w:r>
          </w:p>
        </w:tc>
        <w:tc>
          <w:tcPr>
            <w:tcW w:w="840" w:type="dxa"/>
            <w:vAlign w:val="bottom"/>
            <w:tcBorders>
              <w:top w:val="single" w:sz="8" w:color="00A1DF"/>
            </w:tcBorders>
          </w:tcPr>
          <w:p>
            <w:pPr>
              <w:spacing w:after="0"/>
              <w:rPr>
                <w:sz w:val="16"/>
                <w:szCs w:val="16"/>
                <w:color w:val="auto"/>
              </w:rPr>
            </w:pPr>
          </w:p>
        </w:tc>
        <w:tc>
          <w:tcPr>
            <w:tcW w:w="880" w:type="dxa"/>
            <w:vAlign w:val="bottom"/>
            <w:tcBorders>
              <w:top w:val="single" w:sz="8" w:color="00A1DF"/>
            </w:tcBorders>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00A1DF"/>
              </w:rPr>
              <w:t>Vehicle</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00A1DF"/>
              </w:rPr>
              <w:t>Program</w:t>
            </w: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00A1DF"/>
              </w:rPr>
              <w:t>Other</w:t>
            </w:r>
          </w:p>
        </w:tc>
        <w:tc>
          <w:tcPr>
            <w:tcW w:w="880" w:type="dxa"/>
            <w:vAlign w:val="bottom"/>
          </w:tcPr>
          <w:p>
            <w:pPr>
              <w:spacing w:after="0"/>
              <w:rPr>
                <w:sz w:val="16"/>
                <w:szCs w:val="16"/>
                <w:color w:val="auto"/>
              </w:rPr>
            </w:pPr>
          </w:p>
        </w:tc>
      </w:tr>
      <w:tr>
        <w:trPr>
          <w:trHeight w:val="228"/>
        </w:trPr>
        <w:tc>
          <w:tcPr>
            <w:tcW w:w="1640" w:type="dxa"/>
            <w:vAlign w:val="bottom"/>
            <w:tcBorders>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Director</w:t>
            </w:r>
          </w:p>
        </w:tc>
        <w:tc>
          <w:tcPr>
            <w:tcW w:w="1540" w:type="dxa"/>
            <w:vAlign w:val="bottom"/>
            <w:tcBorders>
              <w:bottom w:val="single" w:sz="8" w:color="00A1DF"/>
            </w:tcBorders>
          </w:tcPr>
          <w:p>
            <w:pPr>
              <w:jc w:val="right"/>
              <w:ind w:right="99"/>
              <w:spacing w:after="0"/>
              <w:rPr>
                <w:sz w:val="20"/>
                <w:szCs w:val="20"/>
                <w:color w:val="auto"/>
              </w:rPr>
            </w:pPr>
            <w:r>
              <w:rPr>
                <w:rFonts w:ascii="Arial" w:cs="Arial" w:eastAsia="Arial" w:hAnsi="Arial"/>
                <w:sz w:val="16"/>
                <w:szCs w:val="16"/>
                <w:b w:val="1"/>
                <w:bCs w:val="1"/>
                <w:color w:val="00A1DF"/>
              </w:rPr>
              <w:t>(a)</w:t>
            </w:r>
          </w:p>
        </w:tc>
        <w:tc>
          <w:tcPr>
            <w:tcW w:w="840" w:type="dxa"/>
            <w:vAlign w:val="bottom"/>
            <w:tcBorders>
              <w:bottom w:val="single" w:sz="8" w:color="00A1DF"/>
            </w:tcBorders>
          </w:tcPr>
          <w:p>
            <w:pPr>
              <w:jc w:val="right"/>
              <w:ind w:right="139"/>
              <w:spacing w:after="0"/>
              <w:rPr>
                <w:sz w:val="20"/>
                <w:szCs w:val="20"/>
                <w:color w:val="auto"/>
              </w:rPr>
            </w:pPr>
            <w:r>
              <w:rPr>
                <w:rFonts w:ascii="Arial" w:cs="Arial" w:eastAsia="Arial" w:hAnsi="Arial"/>
                <w:sz w:val="16"/>
                <w:szCs w:val="16"/>
                <w:b w:val="1"/>
                <w:bCs w:val="1"/>
                <w:color w:val="00A1DF"/>
              </w:rPr>
              <w:t>(b)</w:t>
            </w:r>
          </w:p>
        </w:tc>
        <w:tc>
          <w:tcPr>
            <w:tcW w:w="880" w:type="dxa"/>
            <w:vAlign w:val="bottom"/>
            <w:tcBorders>
              <w:bottom w:val="single" w:sz="8" w:color="00A1DF"/>
            </w:tcBorders>
          </w:tcPr>
          <w:p>
            <w:pPr>
              <w:jc w:val="right"/>
              <w:spacing w:after="0"/>
              <w:rPr>
                <w:sz w:val="20"/>
                <w:szCs w:val="20"/>
                <w:color w:val="auto"/>
              </w:rPr>
            </w:pPr>
            <w:r>
              <w:rPr>
                <w:rFonts w:ascii="Arial" w:cs="Arial" w:eastAsia="Arial" w:hAnsi="Arial"/>
                <w:sz w:val="16"/>
                <w:szCs w:val="16"/>
                <w:b w:val="1"/>
                <w:bCs w:val="1"/>
                <w:color w:val="00A1DF"/>
              </w:rPr>
              <w:t>Total</w:t>
            </w:r>
          </w:p>
        </w:tc>
      </w:tr>
      <w:tr>
        <w:trPr>
          <w:trHeight w:val="250"/>
        </w:trPr>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Mr. Ashton</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$34,458</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$34,698</w:t>
            </w:r>
          </w:p>
        </w:tc>
      </w:tr>
      <w:tr>
        <w:trPr>
          <w:trHeight w:val="250"/>
        </w:trPr>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Ms. Gooden</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$22,208</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$22,448</w:t>
            </w:r>
          </w:p>
        </w:tc>
      </w:tr>
      <w:tr>
        <w:trPr>
          <w:trHeight w:val="250"/>
        </w:trPr>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Mr. Jimenez</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$24,042</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$24,282</w:t>
            </w:r>
          </w:p>
        </w:tc>
      </w:tr>
      <w:tr>
        <w:trPr>
          <w:trHeight w:val="250"/>
        </w:trPr>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Ms. Mendillo</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$11,083</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$11,323</w:t>
            </w:r>
          </w:p>
        </w:tc>
      </w:tr>
      <w:tr>
        <w:trPr>
          <w:trHeight w:val="250"/>
        </w:trPr>
        <w:tc>
          <w:tcPr>
            <w:tcW w:w="1640" w:type="dxa"/>
            <w:vAlign w:val="bottom"/>
            <w:tcBorders>
              <w:bottom w:val="single" w:sz="8" w:color="0033A0"/>
            </w:tcBorders>
          </w:tcPr>
          <w:p>
            <w:pPr>
              <w:ind w:left="80"/>
              <w:spacing w:after="0"/>
              <w:rPr>
                <w:sz w:val="20"/>
                <w:szCs w:val="20"/>
                <w:color w:val="auto"/>
              </w:rPr>
            </w:pPr>
            <w:r>
              <w:rPr>
                <w:rFonts w:ascii="Arial" w:cs="Arial" w:eastAsia="Arial" w:hAnsi="Arial"/>
                <w:sz w:val="16"/>
                <w:szCs w:val="16"/>
                <w:color w:val="auto"/>
              </w:rPr>
              <w:t>Mr. Mullen</w:t>
            </w:r>
          </w:p>
        </w:tc>
        <w:tc>
          <w:tcPr>
            <w:tcW w:w="1540" w:type="dxa"/>
            <w:vAlign w:val="bottom"/>
            <w:tcBorders>
              <w:bottom w:val="single" w:sz="8" w:color="0033A0"/>
            </w:tcBorders>
          </w:tcPr>
          <w:p>
            <w:pPr>
              <w:jc w:val="right"/>
              <w:ind w:right="99"/>
              <w:spacing w:after="0"/>
              <w:rPr>
                <w:sz w:val="20"/>
                <w:szCs w:val="20"/>
                <w:color w:val="auto"/>
              </w:rPr>
            </w:pPr>
            <w:r>
              <w:rPr>
                <w:rFonts w:ascii="Arial" w:cs="Arial" w:eastAsia="Arial" w:hAnsi="Arial"/>
                <w:sz w:val="16"/>
                <w:szCs w:val="16"/>
                <w:color w:val="auto"/>
              </w:rPr>
              <w:t>$23,188</w:t>
            </w:r>
          </w:p>
        </w:tc>
        <w:tc>
          <w:tcPr>
            <w:tcW w:w="840" w:type="dxa"/>
            <w:vAlign w:val="bottom"/>
            <w:tcBorders>
              <w:bottom w:val="single" w:sz="8" w:color="0033A0"/>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$23,428</w:t>
            </w: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Borders>
              <w:top w:val="single" w:sz="8" w:color="00A1DF"/>
            </w:tcBorders>
          </w:tcPr>
          <w:p>
            <w:pPr>
              <w:spacing w:after="0"/>
              <w:rPr>
                <w:sz w:val="16"/>
                <w:szCs w:val="16"/>
                <w:color w:val="auto"/>
              </w:rPr>
            </w:pPr>
          </w:p>
        </w:tc>
        <w:tc>
          <w:tcPr>
            <w:tcW w:w="1540" w:type="dxa"/>
            <w:vAlign w:val="bottom"/>
            <w:tcBorders>
              <w:top w:val="single" w:sz="8" w:color="00A1DF"/>
            </w:tcBorders>
          </w:tcPr>
          <w:p>
            <w:pPr>
              <w:jc w:val="right"/>
              <w:ind w:right="99"/>
              <w:spacing w:after="0"/>
              <w:rPr>
                <w:sz w:val="20"/>
                <w:szCs w:val="20"/>
                <w:color w:val="auto"/>
              </w:rPr>
            </w:pPr>
            <w:r>
              <w:rPr>
                <w:rFonts w:ascii="Arial" w:cs="Arial" w:eastAsia="Arial" w:hAnsi="Arial"/>
                <w:sz w:val="16"/>
                <w:szCs w:val="16"/>
                <w:b w:val="1"/>
                <w:bCs w:val="1"/>
                <w:color w:val="00A1DF"/>
              </w:rPr>
              <w:t>Company</w:t>
            </w:r>
          </w:p>
        </w:tc>
        <w:tc>
          <w:tcPr>
            <w:tcW w:w="840" w:type="dxa"/>
            <w:vAlign w:val="bottom"/>
            <w:tcBorders>
              <w:top w:val="single" w:sz="8" w:color="00A1DF"/>
            </w:tcBorders>
          </w:tcPr>
          <w:p>
            <w:pPr>
              <w:spacing w:after="0"/>
              <w:rPr>
                <w:sz w:val="16"/>
                <w:szCs w:val="16"/>
                <w:color w:val="auto"/>
              </w:rPr>
            </w:pPr>
          </w:p>
        </w:tc>
        <w:tc>
          <w:tcPr>
            <w:tcW w:w="880" w:type="dxa"/>
            <w:vAlign w:val="bottom"/>
            <w:tcBorders>
              <w:top w:val="single" w:sz="8" w:color="00A1DF"/>
            </w:tcBorders>
          </w:tcPr>
          <w:p>
            <w:pPr>
              <w:spacing w:after="0"/>
              <w:rPr>
                <w:sz w:val="16"/>
                <w:szCs w:val="16"/>
                <w:color w:val="auto"/>
              </w:rPr>
            </w:pPr>
          </w:p>
        </w:tc>
      </w:tr>
      <w:tr>
        <w:trPr>
          <w:trHeight w:val="189"/>
        </w:trPr>
        <w:tc>
          <w:tcPr>
            <w:tcW w:w="196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00A1DF"/>
              </w:rPr>
              <w:t>Vehicle</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196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00A1DF"/>
              </w:rPr>
              <w:t>Program</w:t>
            </w: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00A1DF"/>
              </w:rPr>
              <w:t>Other</w:t>
            </w:r>
          </w:p>
        </w:tc>
        <w:tc>
          <w:tcPr>
            <w:tcW w:w="880" w:type="dxa"/>
            <w:vAlign w:val="bottom"/>
          </w:tcPr>
          <w:p>
            <w:pPr>
              <w:spacing w:after="0"/>
              <w:rPr>
                <w:sz w:val="16"/>
                <w:szCs w:val="16"/>
                <w:color w:val="auto"/>
              </w:rPr>
            </w:pPr>
          </w:p>
        </w:tc>
      </w:tr>
      <w:tr>
        <w:trPr>
          <w:trHeight w:val="228"/>
        </w:trPr>
        <w:tc>
          <w:tcPr>
            <w:tcW w:w="1960" w:type="dxa"/>
            <w:vAlign w:val="bottom"/>
            <w:tcBorders>
              <w:bottom w:val="single" w:sz="8" w:color="00A1DF"/>
            </w:tcBorders>
          </w:tcPr>
          <w:p>
            <w:pPr>
              <w:ind w:left="160"/>
              <w:spacing w:after="0"/>
              <w:rPr>
                <w:sz w:val="20"/>
                <w:szCs w:val="20"/>
                <w:color w:val="auto"/>
              </w:rPr>
            </w:pPr>
            <w:r>
              <w:rPr>
                <w:rFonts w:ascii="Arial" w:cs="Arial" w:eastAsia="Arial" w:hAnsi="Arial"/>
                <w:sz w:val="16"/>
                <w:szCs w:val="16"/>
                <w:b w:val="1"/>
                <w:bCs w:val="1"/>
                <w:color w:val="00A1DF"/>
              </w:rPr>
              <w:t>Director</w:t>
            </w:r>
          </w:p>
        </w:tc>
        <w:tc>
          <w:tcPr>
            <w:tcW w:w="1540" w:type="dxa"/>
            <w:vAlign w:val="bottom"/>
            <w:tcBorders>
              <w:bottom w:val="single" w:sz="8" w:color="00A1DF"/>
            </w:tcBorders>
          </w:tcPr>
          <w:p>
            <w:pPr>
              <w:jc w:val="right"/>
              <w:ind w:right="99"/>
              <w:spacing w:after="0"/>
              <w:rPr>
                <w:sz w:val="20"/>
                <w:szCs w:val="20"/>
                <w:color w:val="auto"/>
              </w:rPr>
            </w:pPr>
            <w:r>
              <w:rPr>
                <w:rFonts w:ascii="Arial" w:cs="Arial" w:eastAsia="Arial" w:hAnsi="Arial"/>
                <w:sz w:val="16"/>
                <w:szCs w:val="16"/>
                <w:b w:val="1"/>
                <w:bCs w:val="1"/>
                <w:color w:val="00A1DF"/>
              </w:rPr>
              <w:t>(a)</w:t>
            </w:r>
          </w:p>
        </w:tc>
        <w:tc>
          <w:tcPr>
            <w:tcW w:w="840" w:type="dxa"/>
            <w:vAlign w:val="bottom"/>
            <w:tcBorders>
              <w:bottom w:val="single" w:sz="8" w:color="00A1DF"/>
            </w:tcBorders>
          </w:tcPr>
          <w:p>
            <w:pPr>
              <w:jc w:val="right"/>
              <w:ind w:right="139"/>
              <w:spacing w:after="0"/>
              <w:rPr>
                <w:sz w:val="20"/>
                <w:szCs w:val="20"/>
                <w:color w:val="auto"/>
              </w:rPr>
            </w:pPr>
            <w:r>
              <w:rPr>
                <w:rFonts w:ascii="Arial" w:cs="Arial" w:eastAsia="Arial" w:hAnsi="Arial"/>
                <w:sz w:val="16"/>
                <w:szCs w:val="16"/>
                <w:b w:val="1"/>
                <w:bCs w:val="1"/>
                <w:color w:val="00A1DF"/>
              </w:rPr>
              <w:t>(b)</w:t>
            </w:r>
          </w:p>
        </w:tc>
        <w:tc>
          <w:tcPr>
            <w:tcW w:w="880" w:type="dxa"/>
            <w:vAlign w:val="bottom"/>
            <w:tcBorders>
              <w:bottom w:val="single" w:sz="8" w:color="00A1DF"/>
            </w:tcBorders>
          </w:tcPr>
          <w:p>
            <w:pPr>
              <w:jc w:val="right"/>
              <w:spacing w:after="0"/>
              <w:rPr>
                <w:sz w:val="20"/>
                <w:szCs w:val="20"/>
                <w:color w:val="auto"/>
              </w:rPr>
            </w:pPr>
            <w:r>
              <w:rPr>
                <w:rFonts w:ascii="Arial" w:cs="Arial" w:eastAsia="Arial" w:hAnsi="Arial"/>
                <w:sz w:val="16"/>
                <w:szCs w:val="16"/>
                <w:b w:val="1"/>
                <w:bCs w:val="1"/>
                <w:color w:val="00A1DF"/>
              </w:rPr>
              <w:t>Total</w:t>
            </w:r>
          </w:p>
        </w:tc>
      </w:tr>
      <w:tr>
        <w:trPr>
          <w:trHeight w:val="250"/>
        </w:trPr>
        <w:tc>
          <w:tcPr>
            <w:tcW w:w="19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Mr. Mulva</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$36,250</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$36,490</w:t>
            </w:r>
          </w:p>
        </w:tc>
      </w:tr>
      <w:tr>
        <w:trPr>
          <w:trHeight w:val="250"/>
        </w:trPr>
        <w:tc>
          <w:tcPr>
            <w:tcW w:w="19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Ms. Russo</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$19,646</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$19,886</w:t>
            </w:r>
          </w:p>
        </w:tc>
      </w:tr>
      <w:tr>
        <w:trPr>
          <w:trHeight w:val="250"/>
        </w:trPr>
        <w:tc>
          <w:tcPr>
            <w:tcW w:w="19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Mr. Schoewe</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$30,208</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$30,448</w:t>
            </w:r>
          </w:p>
        </w:tc>
      </w:tr>
      <w:tr>
        <w:trPr>
          <w:trHeight w:val="250"/>
        </w:trPr>
        <w:tc>
          <w:tcPr>
            <w:tcW w:w="19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Mr. Solso</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$15,250</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w:t>
            </w:r>
          </w:p>
        </w:tc>
      </w:tr>
      <w:tr>
        <w:trPr>
          <w:trHeight w:val="250"/>
        </w:trPr>
        <w:tc>
          <w:tcPr>
            <w:tcW w:w="1960" w:type="dxa"/>
            <w:vAlign w:val="bottom"/>
            <w:tcBorders>
              <w:bottom w:val="single" w:sz="8" w:color="0033A0"/>
            </w:tcBorders>
          </w:tcPr>
          <w:p>
            <w:pPr>
              <w:ind w:left="160"/>
              <w:spacing w:after="0"/>
              <w:rPr>
                <w:sz w:val="20"/>
                <w:szCs w:val="20"/>
                <w:color w:val="auto"/>
              </w:rPr>
            </w:pPr>
            <w:r>
              <w:rPr>
                <w:rFonts w:ascii="Arial" w:cs="Arial" w:eastAsia="Arial" w:hAnsi="Arial"/>
                <w:sz w:val="16"/>
                <w:szCs w:val="16"/>
                <w:color w:val="auto"/>
              </w:rPr>
              <w:t>Ms. Stephenson</w:t>
            </w:r>
          </w:p>
        </w:tc>
        <w:tc>
          <w:tcPr>
            <w:tcW w:w="1540" w:type="dxa"/>
            <w:vAlign w:val="bottom"/>
            <w:tcBorders>
              <w:bottom w:val="single" w:sz="8" w:color="0033A0"/>
            </w:tcBorders>
          </w:tcPr>
          <w:p>
            <w:pPr>
              <w:jc w:val="right"/>
              <w:ind w:right="99"/>
              <w:spacing w:after="0"/>
              <w:rPr>
                <w:sz w:val="20"/>
                <w:szCs w:val="20"/>
                <w:color w:val="auto"/>
              </w:rPr>
            </w:pPr>
            <w:r>
              <w:rPr>
                <w:rFonts w:ascii="Arial" w:cs="Arial" w:eastAsia="Arial" w:hAnsi="Arial"/>
                <w:sz w:val="16"/>
                <w:szCs w:val="16"/>
                <w:color w:val="auto"/>
              </w:rPr>
              <w:t>$12,542</w:t>
            </w:r>
          </w:p>
        </w:tc>
        <w:tc>
          <w:tcPr>
            <w:tcW w:w="840" w:type="dxa"/>
            <w:vAlign w:val="bottom"/>
            <w:tcBorders>
              <w:bottom w:val="single" w:sz="8" w:color="0033A0"/>
            </w:tcBorders>
          </w:tcPr>
          <w:p>
            <w:pPr>
              <w:jc w:val="right"/>
              <w:ind w:right="139"/>
              <w:spacing w:after="0"/>
              <w:rPr>
                <w:sz w:val="20"/>
                <w:szCs w:val="20"/>
                <w:color w:val="auto"/>
              </w:rPr>
            </w:pPr>
            <w:r>
              <w:rPr>
                <w:rFonts w:ascii="Arial" w:cs="Arial" w:eastAsia="Arial" w:hAnsi="Arial"/>
                <w:sz w:val="16"/>
                <w:szCs w:val="16"/>
                <w:color w:val="auto"/>
              </w:rPr>
              <w:t>$240</w:t>
            </w:r>
          </w:p>
        </w:tc>
        <w:tc>
          <w:tcPr>
            <w:tcW w:w="88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$12,782</w:t>
            </w:r>
          </w:p>
        </w:tc>
      </w:tr>
    </w:tbl>
    <w:p>
      <w:pPr>
        <w:spacing w:after="0" w:line="72" w:lineRule="exact"/>
        <w:rPr>
          <w:sz w:val="20"/>
          <w:szCs w:val="20"/>
          <w:color w:val="auto"/>
        </w:rPr>
      </w:pPr>
    </w:p>
    <w:p>
      <w:pPr>
        <w:sectPr>
          <w:pgSz w:w="11900" w:h="16838" w:orient="portrait"/>
          <w:cols w:equalWidth="0" w:num="2">
            <w:col w:w="5440" w:space="240"/>
            <w:col w:w="5580"/>
          </w:cols>
          <w:pgMar w:left="240" w:top="459" w:right="399" w:bottom="1440" w:gutter="0" w:footer="0" w:header="0"/>
          <w:type w:val="continuous"/>
        </w:sectPr>
      </w:pPr>
    </w:p>
    <w:p>
      <w:pPr>
        <w:ind w:left="960" w:right="120" w:hanging="432"/>
        <w:spacing w:after="0" w:line="254" w:lineRule="auto"/>
        <w:tabs>
          <w:tab w:leader="none" w:pos="960" w:val="left"/>
        </w:tabs>
        <w:numPr>
          <w:ilvl w:val="1"/>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director.</w:t>
      </w:r>
    </w:p>
    <w:p>
      <w:pPr>
        <w:spacing w:after="0" w:line="47" w:lineRule="exact"/>
        <w:rPr>
          <w:rFonts w:ascii="Arial" w:cs="Arial" w:eastAsia="Arial" w:hAnsi="Arial"/>
          <w:sz w:val="14"/>
          <w:szCs w:val="14"/>
          <w:i w:val="1"/>
          <w:iCs w:val="1"/>
          <w:color w:val="auto"/>
        </w:rPr>
      </w:pPr>
    </w:p>
    <w:p>
      <w:pPr>
        <w:ind w:left="960" w:right="220" w:hanging="432"/>
        <w:spacing w:after="0" w:line="279" w:lineRule="auto"/>
        <w:tabs>
          <w:tab w:leader="none" w:pos="960" w:val="left"/>
        </w:tabs>
        <w:numPr>
          <w:ilvl w:val="1"/>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Reflects cost of premiums for providing personal accident insurance (annual premium cost of $240 is prorated, as applicable, for period of service). In addition, Mr. Solso received tickets to attend a special event; the tickets had no incremental cost to the Company.</w:t>
      </w:r>
    </w:p>
    <w:p>
      <w:pPr>
        <w:spacing w:after="0" w:line="30" w:lineRule="exact"/>
        <w:rPr>
          <w:rFonts w:ascii="Arial" w:cs="Arial" w:eastAsia="Arial" w:hAnsi="Arial"/>
          <w:sz w:val="14"/>
          <w:szCs w:val="14"/>
          <w:i w:val="1"/>
          <w:iCs w:val="1"/>
          <w:color w:val="auto"/>
        </w:rPr>
      </w:pPr>
    </w:p>
    <w:p>
      <w:pPr>
        <w:ind w:left="520" w:hanging="316"/>
        <w:spacing w:after="0"/>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Ashton resigned from the Board effective December 8, 2017.</w:t>
      </w:r>
    </w:p>
    <w:p>
      <w:pPr>
        <w:spacing w:after="0" w:line="82" w:lineRule="exact"/>
        <w:rPr>
          <w:rFonts w:ascii="Arial" w:cs="Arial" w:eastAsia="Arial" w:hAnsi="Arial"/>
          <w:sz w:val="14"/>
          <w:szCs w:val="14"/>
          <w:i w:val="1"/>
          <w:iCs w:val="1"/>
          <w:color w:val="auto"/>
        </w:rPr>
      </w:pPr>
    </w:p>
    <w:p>
      <w:pPr>
        <w:ind w:left="520" w:hanging="316"/>
        <w:spacing w:after="0"/>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Ms. Gooden was appointed Chair of the Cybersecurity Committee on November 20, 2017.</w:t>
      </w:r>
    </w:p>
    <w:p>
      <w:pPr>
        <w:spacing w:after="0" w:line="144"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19</w:t>
      </w:r>
    </w:p>
    <w:p>
      <w:pPr>
        <w:sectPr>
          <w:pgSz w:w="11900" w:h="16838" w:orient="portrait"/>
          <w:cols w:equalWidth="0" w:num="1">
            <w:col w:w="11260"/>
          </w:cols>
          <w:pgMar w:left="240" w:top="459" w:right="3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38"/>
          <w:szCs w:val="38"/>
          <w:color w:val="0033A0"/>
        </w:rPr>
        <w:t>CORPORATE GOVERNANCE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Role of the Board of Directors</w:t>
      </w:r>
    </w:p>
    <w:p>
      <w:pPr>
        <w:spacing w:after="0" w:line="29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GM is governed by a Board of Directors and Committees of the Board that meet throughout the year. The Board is elected by shareholders to oversee and provide guidance on the Company’s business and affairs. It is the ultimate decision-making body of the Company, except for those matters reserved for shareholders. The Board is actively engaged in the process of strategic development and oversight of ongoing execution of the Company’s strategic plan. It oversees management’s activities in connection with proper safeguarding of the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-2200910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Size</w:t>
      </w:r>
    </w:p>
    <w:p>
      <w:pPr>
        <w:spacing w:after="0" w:line="2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Board of Directors sets the number of directors from time to time by resolution adopted by a majority of the Board. The Board is currently composed of 11 members. The Governance Committee reassesses the suitability of the Board’s size at least annually. The Board has the flexibility to increase or decrease the size of the Board, as circumstances warrant. If any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is unable to serve as a director or if any director leaves the Board between Annual Meetings, the Board, by resolution, may reduce the number of directors or elect an individual to fill the resulting vacancy. If all of the Board’s nominees are elected, the Board will be composed of 11 members immediately following the Annual Meeting.</w:t>
      </w:r>
    </w:p>
    <w:p>
      <w:pPr>
        <w:spacing w:after="0" w:line="38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0"/>
          <w:szCs w:val="30"/>
          <w:color w:val="00A1DF"/>
        </w:rPr>
        <w:t>Code of Business Conduct and Ethics: “Winning with Integrity”</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is committed to the highest legal and ethical standards in fulfilling its responsibilities. We have adopted a code of business conduct and ethics, “Winning with Integrity,” that applies to our directors, officers, and employees. “Winning with Integrity” forms the foundation for compliance with corporate policies and procedures and creates a Company-wide focus on uncompromising integrity in every aspect of our operations. The code embodies our expectations for a number of topics, including workplace and vehicle safety, conflicts of</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interest, protection of confidential information, insider trading, competition and fair dealing, human rights, community involvement and corporate citizenship, political activities and lobbying, preservation and use of Company assets, and compliance with all laws and regulations applicable to the conduct of our business. Employees are expected to report any conduct that they believe in good faith to be an actual or apparent violation of the code.</w:t>
      </w:r>
    </w:p>
    <w:p>
      <w:pPr>
        <w:spacing w:after="0" w:line="39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Corporate Governance Guidelines</w:t>
      </w:r>
    </w:p>
    <w:p>
      <w:pPr>
        <w:spacing w:after="0" w:line="392"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Your Board oversees a governance structure that it believes promotes the best interests of our shareholders. 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the Board membership criteria, Board Committees, and Board and CEO evaluation. The Governance Committee regularly reviews the Corporate Governance Guidelines and periodically recommends to your Board the adoption of amendments in response to changing regulations, evolving best practices, and shareholder concerns. For a summary of our corporate governance best practices, see “Proxy Statement Summary— Governance Highlights” on page 3.</w:t>
      </w:r>
    </w:p>
    <w:p>
      <w:pPr>
        <w:spacing w:after="0" w:line="283" w:lineRule="exact"/>
        <w:rPr>
          <w:sz w:val="20"/>
          <w:szCs w:val="20"/>
          <w:color w:val="auto"/>
        </w:rPr>
      </w:pPr>
    </w:p>
    <w:p>
      <w:pPr>
        <w:jc w:val="center"/>
        <w:ind w:right="4940"/>
        <w:spacing w:after="0"/>
        <w:rPr>
          <w:sz w:val="20"/>
          <w:szCs w:val="20"/>
          <w:color w:val="auto"/>
        </w:rPr>
      </w:pPr>
      <w:r>
        <w:rPr>
          <w:rFonts w:ascii="Arial" w:cs="Arial" w:eastAsia="Arial" w:hAnsi="Arial"/>
          <w:sz w:val="14"/>
          <w:szCs w:val="14"/>
          <w:color w:val="0033A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sz w:val="1"/>
          <w:szCs w:val="1"/>
          <w:color w:val="auto"/>
        </w:rPr>
        <w:drawing>
          <wp:inline distT="0" distB="0" distL="0" distR="0">
            <wp:extent cx="308610" cy="2146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8610" cy="214630"/>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-470535</wp:posOffset>
            </wp:positionV>
            <wp:extent cx="3447415" cy="1148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47415" cy="1148715"/>
                    </a:xfrm>
                    <a:prstGeom prst="rect">
                      <a:avLst/>
                    </a:prstGeom>
                    <a:noFill/>
                  </pic:spPr>
                </pic:pic>
              </a:graphicData>
            </a:graphic>
          </wp:anchor>
        </w:drawing>
      </w:r>
    </w:p>
    <w:p>
      <w:pPr>
        <w:spacing w:after="0" w:line="111"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 xml:space="preserve">Our code of business conduct and ethics, “Winning with Integrity,” and Corporate Governance Guidelines and are available on our website at: </w:t>
      </w:r>
      <w:r>
        <w:rPr>
          <w:rFonts w:ascii="Arial" w:cs="Arial" w:eastAsia="Arial" w:hAnsi="Arial"/>
          <w:sz w:val="16"/>
          <w:szCs w:val="16"/>
          <w:i w:val="1"/>
          <w:iCs w:val="1"/>
          <w:color w:val="00A1DF"/>
        </w:rPr>
        <w:t>gm.com/investors/corporate-governance.</w:t>
      </w:r>
    </w:p>
    <w:p>
      <w:pPr>
        <w:sectPr>
          <w:pgSz w:w="11900" w:h="16838" w:orient="portrait"/>
          <w:cols w:equalWidth="0" w:num="2">
            <w:col w:w="5500" w:space="660"/>
            <w:col w:w="506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Director Independence</w:t>
      </w:r>
    </w:p>
    <w:p>
      <w:pPr>
        <w:sectPr>
          <w:pgSz w:w="11900" w:h="16838" w:orient="portrait"/>
          <w:cols w:equalWidth="0" w:num="1">
            <w:col w:w="11260"/>
          </w:cols>
          <w:pgMar w:left="240" w:top="459" w:right="399" w:bottom="1440" w:gutter="0" w:footer="0" w:header="0"/>
        </w:sectPr>
      </w:pPr>
    </w:p>
    <w:p>
      <w:pPr>
        <w:spacing w:after="0" w:line="392"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GM’s Corporate Governance Guidelines define our standards for director independence and are based on applicable New York Stock Exchange (“NYSE”) and U.S. Securities and Exchange Commission (“SEC”) requirements. At least two-thirds of our directors are and must continue to be independent under these standards. The Governance Committee annually assesses the independence of each director and makes recommendations to the Board. For a director to be “independent,” the Board must affirmatively determine that the director has no material relationship with the Company other than his or her service as a director. In addition, members of the Audit and Compensation Committees must meet heightened independence standards under applicable NYSE and SEC rules.</w:t>
      </w:r>
    </w:p>
    <w:p>
      <w:pPr>
        <w:spacing w:after="0" w:line="105"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Consistent with these standards, the Board has reviewed all relationships between the Company and each director and considered all relevant quantitative and qualitative criteria. The Board has affirmatively determined that all directors are independent, except Ms. Barra, who serves as CEO.</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In recommending to the Board that it determine each director is independent, the Governance Committee considered whether there were any other facts or circumstances that might impair a director’s independence. In particular, the Governance Committee evaluated charitable contributions that GM has made to nonprofit organizations with which our directors are or have been associated. None of these transactions were material to either GM or the director.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transactions with these companies. In each case, these transactions were in the ordinary course of business for GM and the other companies involved and were on terms and conditions available to similarly situated customers and suppliers. Therefore, they did not impair such director’s independence.</w:t>
      </w:r>
    </w:p>
    <w:p>
      <w:pPr>
        <w:spacing w:after="0" w:line="316"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Leadership Structure</w:t>
      </w:r>
    </w:p>
    <w:p>
      <w:pPr>
        <w:spacing w:after="0" w:line="284"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Your Board has the flexibility to decide when the positions of Chairman and CEO should be combined or separated and whether an executive or an independent director should be Chairman. This approach is designed to allow the Board to choose the leadership structure that will best serve the interests of our shareholders at any particular time. In January 2016, the Board recombined the positions of Chairman and CEO under the leadership of Ms. Barra and designated Mr. Solso as Independent Lead Director. For 2018, our independent directors unanimously voted to appoint Mr. Solso as the Independent Lead Director for the third consecutive year. The Board’s key duties include oversight of strategy, risk management, and legal and regulatory compliance as well as CEO succession planning. In each of these areas, the Board determined that a combined role of Chairman and CEO, with the presence of a strong Independent Lead Director and governance best practices, is the optimal Board leadership structure for GM at this time. Mr. Solso’s perspective on your Board’s leadership structure is provided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147955</wp:posOffset>
            </wp:positionV>
            <wp:extent cx="4742180" cy="3001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218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43180</wp:posOffset>
            </wp:positionV>
            <wp:extent cx="7002145" cy="763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2145" cy="76346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1640"/>
        <w:spacing w:after="0" w:line="245" w:lineRule="auto"/>
        <w:rPr>
          <w:sz w:val="20"/>
          <w:szCs w:val="20"/>
          <w:color w:val="auto"/>
        </w:rPr>
      </w:pPr>
      <w:r>
        <w:rPr>
          <w:rFonts w:ascii="Arial" w:cs="Arial" w:eastAsia="Arial" w:hAnsi="Arial"/>
          <w:sz w:val="32"/>
          <w:szCs w:val="32"/>
          <w:color w:val="00A1DF"/>
        </w:rPr>
        <w:t>A Message from the Independent Lead Director on Your Board’s Leadership Structure</w:t>
      </w:r>
    </w:p>
    <w:p>
      <w:pPr>
        <w:spacing w:after="0" w:line="265" w:lineRule="exact"/>
        <w:rPr>
          <w:sz w:val="20"/>
          <w:szCs w:val="20"/>
          <w:color w:val="auto"/>
        </w:rPr>
      </w:pPr>
    </w:p>
    <w:p>
      <w:pPr>
        <w:jc w:val="both"/>
        <w:ind w:left="440" w:right="40"/>
        <w:spacing w:after="0" w:line="253" w:lineRule="auto"/>
        <w:rPr>
          <w:sz w:val="20"/>
          <w:szCs w:val="20"/>
          <w:color w:val="auto"/>
        </w:rPr>
      </w:pPr>
      <w:r>
        <w:rPr>
          <w:rFonts w:ascii="Arial" w:cs="Arial" w:eastAsia="Arial" w:hAnsi="Arial"/>
          <w:sz w:val="16"/>
          <w:szCs w:val="16"/>
          <w:color w:val="auto"/>
        </w:rPr>
        <w:t>As the Independent Lead Director, I regularly engage with GM’s investors and other key stakeholders on a variety of issues, including GM’s corporate governance structure and practices and, importantly, your Board’s leadership structure. I want to share with you the same message I deliver during these engagements.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Mary Barra Is the Right Person to Lead Your Board</w:t>
      </w:r>
    </w:p>
    <w:p>
      <w:pPr>
        <w:spacing w:after="0" w:line="66" w:lineRule="exact"/>
        <w:rPr>
          <w:sz w:val="20"/>
          <w:szCs w:val="20"/>
          <w:color w:val="auto"/>
        </w:rPr>
      </w:pPr>
    </w:p>
    <w:p>
      <w:pPr>
        <w:jc w:val="both"/>
        <w:ind w:left="440" w:right="20"/>
        <w:spacing w:after="0" w:line="248" w:lineRule="auto"/>
        <w:rPr>
          <w:sz w:val="20"/>
          <w:szCs w:val="20"/>
          <w:color w:val="auto"/>
        </w:rPr>
      </w:pPr>
      <w:r>
        <w:rPr>
          <w:rFonts w:ascii="Arial" w:cs="Arial" w:eastAsia="Arial" w:hAnsi="Arial"/>
          <w:sz w:val="16"/>
          <w:szCs w:val="16"/>
          <w:color w:val="auto"/>
        </w:rPr>
        <w:t>Your Board carefully considers the appropriate leadership structure for GM and its shareholders on an annual basis and determines whether to combine or split the roles of Chairman and CEO. Your Board believes that Ms. Barra’s service as both Chairman and CEO has provided, and continues to provide, a clear and unified strategic vision for GM during this time of unprecedented industry change. As the individual with primary responsibility for managing the Company, Ms. Barra’s in-depth knowledge of our business and understanding of GM’s day-to-day operations brings focused leadership to your Board. She has been a key leader as we have reset our culture of safety and relentlessly focused on putting the customer at the center of everything we do. As Chairman, she facilitates your Board’s continued strong oversight of compliance and enterprise risk management programs. For example, under her leadership, in 2017 the Board established a new Cybersecurity Committee to enhance the Board’s oversight of GM’s evolving cybersecurity risks.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Your Board Is Independent and Holds Management Accountable</w:t>
      </w:r>
    </w:p>
    <w:p>
      <w:pPr>
        <w:spacing w:after="0" w:line="66" w:lineRule="exact"/>
        <w:rPr>
          <w:sz w:val="20"/>
          <w:szCs w:val="20"/>
          <w:color w:val="auto"/>
        </w:rPr>
      </w:pPr>
    </w:p>
    <w:p>
      <w:pPr>
        <w:jc w:val="both"/>
        <w:ind w:left="440" w:right="40"/>
        <w:spacing w:after="0" w:line="250" w:lineRule="auto"/>
        <w:rPr>
          <w:sz w:val="20"/>
          <w:szCs w:val="20"/>
          <w:color w:val="auto"/>
        </w:rPr>
      </w:pPr>
      <w:r>
        <w:rPr>
          <w:rFonts w:ascii="Arial" w:cs="Arial" w:eastAsia="Arial" w:hAnsi="Arial"/>
          <w:sz w:val="16"/>
          <w:szCs w:val="16"/>
          <w:color w:val="auto"/>
        </w:rPr>
        <w:t>With 10 of 11 directors being independent, your Board holds management accountable. We have the right mix of skills, qualifications, and experiences to oversee, guide, and challenge the leadership team. We are engaged in shaping and overseeing GM’s strategy. Strategy is a part of every Board meeting, and every year your Board holds a multiday session devoted exclusively to GM’s strategic plan. During these discussions, Board members engage in active debate and dialogue, challenge and validate management assumptions, and shape various aspects of management’s strategy and execution.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00A1DF"/>
        </w:rPr>
        <w:t>My Role as the Independent Lead Director</w:t>
      </w:r>
    </w:p>
    <w:p>
      <w:pPr>
        <w:spacing w:after="0" w:line="66" w:lineRule="exact"/>
        <w:rPr>
          <w:sz w:val="20"/>
          <w:szCs w:val="20"/>
          <w:color w:val="auto"/>
        </w:rPr>
      </w:pPr>
    </w:p>
    <w:p>
      <w:pPr>
        <w:jc w:val="both"/>
        <w:ind w:left="440" w:right="40"/>
        <w:spacing w:after="0" w:line="260" w:lineRule="auto"/>
        <w:rPr>
          <w:sz w:val="20"/>
          <w:szCs w:val="20"/>
          <w:color w:val="auto"/>
        </w:rPr>
      </w:pPr>
      <w:r>
        <w:rPr>
          <w:rFonts w:ascii="Arial" w:cs="Arial" w:eastAsia="Arial" w:hAnsi="Arial"/>
          <w:sz w:val="16"/>
          <w:szCs w:val="16"/>
          <w:color w:val="auto"/>
        </w:rPr>
        <w:t>I strive to complement Ms. Barra’s role as Chairman by providing strong independent leadership in my role as the Independent Lead Director, with the following key duties and responsibilities:</w:t>
      </w:r>
    </w:p>
    <w:p>
      <w:pPr>
        <w:sectPr>
          <w:pgSz w:w="11900" w:h="16838" w:orient="portrait"/>
          <w:cols w:equalWidth="0" w:num="1">
            <w:col w:w="11020"/>
          </w:cols>
          <w:pgMar w:left="240" w:top="459" w:right="639" w:bottom="1440" w:gutter="0" w:footer="0" w:header="0"/>
        </w:sectPr>
      </w:pPr>
    </w:p>
    <w:p>
      <w:pPr>
        <w:spacing w:after="0" w:line="238" w:lineRule="exact"/>
        <w:rPr>
          <w:sz w:val="20"/>
          <w:szCs w:val="20"/>
          <w:color w:val="auto"/>
        </w:rPr>
      </w:pPr>
    </w:p>
    <w:p>
      <w:pPr>
        <w:jc w:val="both"/>
        <w:ind w:left="600" w:hanging="199"/>
        <w:spacing w:after="0" w:line="253" w:lineRule="auto"/>
        <w:tabs>
          <w:tab w:leader="none" w:pos="580"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Presiding over all Board meetings when the Chairman is not present, including executive sessions of non-management directors, and advising the Chairman of any actions taken;</w:t>
      </w:r>
    </w:p>
    <w:p>
      <w:pPr>
        <w:spacing w:after="0" w:line="119" w:lineRule="exact"/>
        <w:rPr>
          <w:sz w:val="20"/>
          <w:szCs w:val="20"/>
          <w:color w:val="auto"/>
        </w:rPr>
      </w:pPr>
    </w:p>
    <w:p>
      <w:pPr>
        <w:jc w:val="both"/>
        <w:ind w:left="600" w:hanging="207"/>
        <w:spacing w:after="0" w:line="253" w:lineRule="auto"/>
        <w:tabs>
          <w:tab w:leader="none" w:pos="60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Providing Board leadership if circumstances arise in which the role of the Chairman is potentially, or perceived to be, in conflict, or if potential conflicts of interest arise for any director;</w:t>
      </w:r>
    </w:p>
    <w:p>
      <w:pPr>
        <w:spacing w:after="0" w:line="106" w:lineRule="exact"/>
        <w:rPr>
          <w:rFonts w:ascii="Arial" w:cs="Arial" w:eastAsia="Arial" w:hAnsi="Arial"/>
          <w:sz w:val="16"/>
          <w:szCs w:val="16"/>
          <w:color w:val="00A1DF"/>
        </w:rPr>
      </w:pPr>
    </w:p>
    <w:p>
      <w:pPr>
        <w:jc w:val="both"/>
        <w:ind w:left="600" w:hanging="207"/>
        <w:spacing w:after="0" w:line="253" w:lineRule="auto"/>
        <w:tabs>
          <w:tab w:leader="none" w:pos="60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Calling executive sessions for independent directors, relaying feedback from these sessions to the Chairman, and implementing decisions made by the independent directors;</w:t>
      </w:r>
    </w:p>
    <w:p>
      <w:pPr>
        <w:spacing w:after="0" w:line="106" w:lineRule="exact"/>
        <w:rPr>
          <w:rFonts w:ascii="Arial" w:cs="Arial" w:eastAsia="Arial" w:hAnsi="Arial"/>
          <w:sz w:val="16"/>
          <w:szCs w:val="16"/>
          <w:color w:val="00A1DF"/>
        </w:rPr>
      </w:pPr>
    </w:p>
    <w:p>
      <w:pPr>
        <w:jc w:val="both"/>
        <w:ind w:left="600" w:hanging="207"/>
        <w:spacing w:after="0" w:line="253" w:lineRule="auto"/>
        <w:tabs>
          <w:tab w:leader="none" w:pos="60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Leading non-management directors in the annual evaluation of the CEO’s performance, communicating it to the CEO, and overseeing the process for CEO succession;</w:t>
      </w:r>
    </w:p>
    <w:p>
      <w:pPr>
        <w:spacing w:after="0" w:line="106" w:lineRule="exact"/>
        <w:rPr>
          <w:rFonts w:ascii="Arial" w:cs="Arial" w:eastAsia="Arial" w:hAnsi="Arial"/>
          <w:sz w:val="16"/>
          <w:szCs w:val="16"/>
          <w:color w:val="00A1DF"/>
        </w:rPr>
      </w:pPr>
    </w:p>
    <w:p>
      <w:pPr>
        <w:jc w:val="both"/>
        <w:ind w:left="600" w:hanging="207"/>
        <w:spacing w:after="0" w:line="251" w:lineRule="auto"/>
        <w:tabs>
          <w:tab w:leader="none" w:pos="600" w:val="left"/>
        </w:tabs>
        <w:numPr>
          <w:ilvl w:val="0"/>
          <w:numId w:val="38"/>
        </w:numPr>
        <w:rPr>
          <w:rFonts w:ascii="Arial" w:cs="Arial" w:eastAsia="Arial" w:hAnsi="Arial"/>
          <w:sz w:val="16"/>
          <w:szCs w:val="16"/>
          <w:color w:val="00A1DF"/>
        </w:rPr>
      </w:pPr>
      <w:r>
        <w:rPr>
          <w:rFonts w:ascii="Arial" w:cs="Arial" w:eastAsia="Arial" w:hAnsi="Arial"/>
          <w:sz w:val="16"/>
          <w:szCs w:val="16"/>
          <w:color w:val="auto"/>
        </w:rPr>
        <w:t>Advising on the scope, quality, quantity, and timeliness of the flow of information between management and the Board and approving Board meeting agendas and materials recommended by the Chairman;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96" w:hanging="196"/>
        <w:spacing w:after="0" w:line="260" w:lineRule="auto"/>
        <w:tabs>
          <w:tab w:leader="none" w:pos="196"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Approving Board meeting schedules to ensure sufficient time for discussion of all agenda items;</w:t>
      </w:r>
    </w:p>
    <w:p>
      <w:pPr>
        <w:spacing w:after="0" w:line="101" w:lineRule="exact"/>
        <w:rPr>
          <w:rFonts w:ascii="Arial" w:cs="Arial" w:eastAsia="Arial" w:hAnsi="Arial"/>
          <w:sz w:val="16"/>
          <w:szCs w:val="16"/>
          <w:color w:val="00A1DF"/>
        </w:rPr>
      </w:pPr>
    </w:p>
    <w:p>
      <w:pPr>
        <w:jc w:val="both"/>
        <w:ind w:left="196" w:hanging="196"/>
        <w:spacing w:after="0" w:line="250" w:lineRule="auto"/>
        <w:tabs>
          <w:tab w:leader="none" w:pos="196"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Serving as a liaison between independent directors and the Chairman when requested to do so by independent directors (although all non-management directors have direct and complete access to the Chairman at any time that they deem necessary or appropriate);</w:t>
      </w:r>
    </w:p>
    <w:p>
      <w:pPr>
        <w:spacing w:after="0" w:line="300" w:lineRule="exact"/>
        <w:rPr>
          <w:rFonts w:ascii="Arial" w:cs="Arial" w:eastAsia="Arial" w:hAnsi="Arial"/>
          <w:sz w:val="16"/>
          <w:szCs w:val="16"/>
          <w:color w:val="00A1DF"/>
        </w:rPr>
      </w:pPr>
    </w:p>
    <w:p>
      <w:pPr>
        <w:jc w:val="both"/>
        <w:ind w:left="196" w:hanging="196"/>
        <w:spacing w:after="0" w:line="253" w:lineRule="auto"/>
        <w:tabs>
          <w:tab w:leader="none" w:pos="196"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Interviewing, along with the Chair of the Governance Committee, all Board candidates and making recommendations to the Governance Committee and the Board;</w:t>
      </w:r>
    </w:p>
    <w:p>
      <w:pPr>
        <w:spacing w:after="0" w:line="106" w:lineRule="exact"/>
        <w:rPr>
          <w:rFonts w:ascii="Arial" w:cs="Arial" w:eastAsia="Arial" w:hAnsi="Arial"/>
          <w:sz w:val="16"/>
          <w:szCs w:val="16"/>
          <w:color w:val="00A1DF"/>
        </w:rPr>
      </w:pPr>
    </w:p>
    <w:p>
      <w:pPr>
        <w:jc w:val="both"/>
        <w:ind w:left="196" w:hanging="196"/>
        <w:spacing w:after="0" w:line="258" w:lineRule="auto"/>
        <w:tabs>
          <w:tab w:leader="none" w:pos="196"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Being available to advise the Chairs of the Committees of the Board in fulfilling their designated roles and responsibilities to the Board; and</w:t>
      </w:r>
    </w:p>
    <w:p>
      <w:pPr>
        <w:spacing w:after="0" w:line="293" w:lineRule="exact"/>
        <w:rPr>
          <w:rFonts w:ascii="Arial" w:cs="Arial" w:eastAsia="Arial" w:hAnsi="Arial"/>
          <w:sz w:val="16"/>
          <w:szCs w:val="16"/>
          <w:color w:val="00A1DF"/>
        </w:rPr>
      </w:pPr>
    </w:p>
    <w:p>
      <w:pPr>
        <w:jc w:val="both"/>
        <w:ind w:left="196" w:hanging="196"/>
        <w:spacing w:after="0" w:line="253" w:lineRule="auto"/>
        <w:tabs>
          <w:tab w:leader="none" w:pos="196" w:val="left"/>
        </w:tabs>
        <w:numPr>
          <w:ilvl w:val="0"/>
          <w:numId w:val="39"/>
        </w:numPr>
        <w:rPr>
          <w:rFonts w:ascii="Arial" w:cs="Arial" w:eastAsia="Arial" w:hAnsi="Arial"/>
          <w:sz w:val="16"/>
          <w:szCs w:val="16"/>
          <w:color w:val="00A1DF"/>
        </w:rPr>
      </w:pPr>
      <w:r>
        <w:rPr>
          <w:rFonts w:ascii="Arial" w:cs="Arial" w:eastAsia="Arial" w:hAnsi="Arial"/>
          <w:sz w:val="16"/>
          <w:szCs w:val="16"/>
          <w:color w:val="auto"/>
        </w:rPr>
        <w:t>Being available, if requested by major shareholders, for consultation and communication in accordance with the Board’s Director-Shareholder Engagement Policy.</w:t>
      </w:r>
    </w:p>
    <w:p>
      <w:pPr>
        <w:spacing w:after="0" w:line="200" w:lineRule="exact"/>
        <w:rPr>
          <w:sz w:val="20"/>
          <w:szCs w:val="20"/>
          <w:color w:val="auto"/>
        </w:rPr>
      </w:pPr>
    </w:p>
    <w:p>
      <w:pPr>
        <w:sectPr>
          <w:pgSz w:w="11900" w:h="16838" w:orient="portrait"/>
          <w:cols w:equalWidth="0" w:num="2">
            <w:col w:w="5480" w:space="344"/>
            <w:col w:w="5196"/>
          </w:cols>
          <w:pgMar w:left="240" w:top="459" w:right="639" w:bottom="1440" w:gutter="0" w:footer="0" w:header="0"/>
          <w:type w:val="continuous"/>
        </w:sectPr>
      </w:pP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always, I am proud to work closely with our Chairman and CEO and my fellow independent directors as we drive long-term shareholder value.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behalf of the entire Board, thank you for your continued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Theodore M. Solso</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Independent Lead Director</w:t>
      </w:r>
    </w:p>
    <w:p>
      <w:pPr>
        <w:spacing w:after="0" w:line="305" w:lineRule="exact"/>
        <w:rPr>
          <w:sz w:val="20"/>
          <w:szCs w:val="20"/>
          <w:color w:val="auto"/>
        </w:rPr>
      </w:pPr>
    </w:p>
    <w:p>
      <w:pPr>
        <w:jc w:val="center"/>
        <w:ind w:right="10460"/>
        <w:spacing w:after="0"/>
        <w:rPr>
          <w:sz w:val="20"/>
          <w:szCs w:val="20"/>
          <w:color w:val="auto"/>
        </w:rPr>
      </w:pPr>
      <w:r>
        <w:rPr>
          <w:rFonts w:ascii="Arial" w:cs="Arial" w:eastAsia="Arial" w:hAnsi="Arial"/>
          <w:sz w:val="14"/>
          <w:szCs w:val="14"/>
          <w:color w:val="0033A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Executive Sessions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Independent directors have an opportunity to meet in executive session without management present as part of each regularly scheduled Board meeting.</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sessions are chaired by the Independent Lead Director, Mr. Solso.</w:t>
      </w:r>
    </w:p>
    <w:p>
      <w:pPr>
        <w:spacing w:after="0" w:line="113"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During executive sessions, the independent directors may review CEO performance, compensation, and succession planning; strategy; risk; future Board agendas and flow of information to directors; corporate governance matters; and any other matters of importance to the Company raised during a meeting or otherwise presented by the independent directors.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non-management directors of the Board met in executive session six times in 2017, including one time with only independent directors present.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Committees</w:t>
      </w:r>
    </w:p>
    <w:p>
      <w:pPr>
        <w:spacing w:after="0" w:line="216" w:lineRule="exact"/>
        <w:rPr>
          <w:sz w:val="20"/>
          <w:szCs w:val="20"/>
          <w:color w:val="auto"/>
        </w:rPr>
      </w:pPr>
    </w:p>
    <w:p>
      <w:pPr>
        <w:jc w:val="both"/>
        <w:ind w:left="200" w:right="40"/>
        <w:spacing w:after="0" w:line="249" w:lineRule="auto"/>
        <w:rPr>
          <w:sz w:val="20"/>
          <w:szCs w:val="20"/>
          <w:color w:val="auto"/>
        </w:rPr>
      </w:pPr>
      <w:r>
        <w:rPr>
          <w:rFonts w:ascii="Arial" w:cs="Arial" w:eastAsia="Arial" w:hAnsi="Arial"/>
          <w:sz w:val="16"/>
          <w:szCs w:val="16"/>
          <w:color w:val="auto"/>
        </w:rPr>
        <w:t>Your Board of Directors has seven standing Committees: Audit, Cybersecurity, Executive Compensation, Finance, Governance, Risk, and Executive. The key responsibilities, recent activities, and focus areas of each Committee are set forth below, together with their current membership and the number of meetings held in 2017. Each Committee Chair meets regularly with management during the year to discuss Committee business, shape agendas, and facilitate efficient meetings. The Independent Lead Director, Mr. Solso, attends all Committee meetings to serve as a resource and identify topics requiring the full Board’s attention. The Board has determined that each member of the Audit, Compensation, Governance, Cybersecurity, Finance, and Risk Committees is independent according to NYSE listing standards and our Corporate Governance Guidelines.</w:t>
      </w:r>
    </w:p>
    <w:p>
      <w:pPr>
        <w:spacing w:after="0" w:line="97"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In November 2017, the Board formed the Cybersecurity Committee, at which time the Risk Committee and Audit Committee charters were revised to reflect the transfer of cybersecurity oversight responsibilities. For additional information about our new Cybersecurity Committee, see “Corporate Governance—Board and Committee Oversight of Risk” on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131445</wp:posOffset>
            </wp:positionV>
            <wp:extent cx="3172460" cy="11315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72460" cy="113157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sz w:val="1"/>
          <w:szCs w:val="1"/>
          <w:color w:val="auto"/>
        </w:rPr>
        <w:drawing>
          <wp:inline distT="0" distB="0" distL="0" distR="0">
            <wp:extent cx="308610" cy="2146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8610" cy="214630"/>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Each Committee has a charter governing its activities.</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Committee charters are available on our website at:</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i w:val="1"/>
          <w:iCs w:val="1"/>
          <w:color w:val="00A1DF"/>
        </w:rPr>
        <w:t>gm.com/investors/corporate-governance</w:t>
      </w:r>
      <w:r>
        <w:rPr>
          <w:rFonts w:ascii="Arial" w:cs="Arial" w:eastAsia="Arial" w:hAnsi="Arial"/>
          <w:sz w:val="16"/>
          <w:szCs w:val="16"/>
          <w:color w:val="00A1DF"/>
        </w:rPr>
        <w:t>.</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326390</wp:posOffset>
            </wp:positionV>
            <wp:extent cx="7040880" cy="43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40880" cy="43751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60" w:right="12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Thomas M. Schoewe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Linda R. Gooden, Jane L. Mendillo, and 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668655" cy="668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ind w:left="2560"/>
        <w:spacing w:after="0"/>
        <w:rPr>
          <w:sz w:val="20"/>
          <w:szCs w:val="20"/>
          <w:color w:val="auto"/>
        </w:rPr>
      </w:pPr>
      <w:r>
        <w:rPr>
          <w:rFonts w:ascii="Arial" w:cs="Arial" w:eastAsia="Arial" w:hAnsi="Arial"/>
          <w:sz w:val="16"/>
          <w:szCs w:val="16"/>
          <w:b w:val="1"/>
          <w:bCs w:val="1"/>
          <w:i w:val="1"/>
          <w:iCs w:val="1"/>
          <w:color w:val="00A1DF"/>
        </w:rPr>
        <w:t>Meetings held in 2017: 7</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Thomas M. Schoewe,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34220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520" w:right="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Oversees the quality and integrity of our financial statements, related disclosures, and internal controls;</w:t>
      </w:r>
    </w:p>
    <w:p>
      <w:pPr>
        <w:ind w:left="520" w:hanging="316"/>
        <w:spacing w:after="0" w:line="252"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Reviews and discusses with management and the independent auditors the Company’s earnings releases and quarterly and annual reports on Forms 10-Q and 10-K prior to filing with the SEC;</w:t>
      </w:r>
    </w:p>
    <w:p>
      <w:pPr>
        <w:spacing w:after="0" w:line="1" w:lineRule="exact"/>
        <w:rPr>
          <w:rFonts w:ascii="Arial" w:cs="Arial" w:eastAsia="Arial" w:hAnsi="Arial"/>
          <w:sz w:val="16"/>
          <w:szCs w:val="16"/>
          <w:color w:val="00A1DF"/>
        </w:rPr>
      </w:pPr>
    </w:p>
    <w:p>
      <w:pPr>
        <w:ind w:left="520" w:hanging="316"/>
        <w:spacing w:after="0" w:line="256"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Reviews the Company’s critical accounting policies, financial reporting and accounting standards and principles, and key accounting decisions and judgments affecting the Company’s financial statements;</w:t>
      </w:r>
    </w:p>
    <w:p>
      <w:pPr>
        <w:spacing w:after="0" w:line="181" w:lineRule="exact"/>
        <w:rPr>
          <w:rFonts w:ascii="Arial" w:cs="Arial" w:eastAsia="Arial" w:hAnsi="Arial"/>
          <w:sz w:val="16"/>
          <w:szCs w:val="16"/>
          <w:color w:val="00A1DF"/>
        </w:rPr>
      </w:pPr>
    </w:p>
    <w:p>
      <w:pPr>
        <w:ind w:left="520" w:right="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Reviews the scope and effectiveness of the Company’s compliance and ethics programs;</w:t>
      </w:r>
    </w:p>
    <w:p>
      <w:pPr>
        <w:ind w:left="5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Oversees the retention, qualifications, and performance of the independent auditor;</w:t>
      </w:r>
    </w:p>
    <w:p>
      <w:pPr>
        <w:ind w:left="520" w:right="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Preapproves all audit and permitted non-audit services provided by the independent auditor;</w:t>
      </w:r>
    </w:p>
    <w:p>
      <w:pPr>
        <w:ind w:left="520" w:right="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Regularly meets in private sessions with the General Counsel, Chief Compliance Officer, General Auditor and independent auditor;</w:t>
      </w:r>
    </w:p>
    <w:p>
      <w:pPr>
        <w:ind w:left="520" w:hanging="316"/>
        <w:spacing w:after="0" w:line="255"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Reviews the scope, effectiveness, and independence of the Company’s internal audit function; and</w:t>
      </w:r>
    </w:p>
    <w:p>
      <w:pPr>
        <w:ind w:left="520" w:right="20" w:hanging="316"/>
        <w:spacing w:after="0" w:line="278" w:lineRule="auto"/>
        <w:tabs>
          <w:tab w:leader="none" w:pos="449" w:val="left"/>
        </w:tabs>
        <w:numPr>
          <w:ilvl w:val="0"/>
          <w:numId w:val="40"/>
        </w:numPr>
        <w:rPr>
          <w:rFonts w:ascii="Arial" w:cs="Arial" w:eastAsia="Arial" w:hAnsi="Arial"/>
          <w:sz w:val="16"/>
          <w:szCs w:val="16"/>
          <w:color w:val="00A1DF"/>
        </w:rPr>
      </w:pPr>
      <w:r>
        <w:rPr>
          <w:rFonts w:ascii="Arial" w:cs="Arial" w:eastAsia="Arial" w:hAnsi="Arial"/>
          <w:sz w:val="16"/>
          <w:szCs w:val="16"/>
          <w:color w:val="auto"/>
        </w:rPr>
        <w:t>Oversees the Company’s compliance with legal, ethical, and regulatory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20" w:right="46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Linda R. Gooden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Michael G. Mullen,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-376555</wp:posOffset>
            </wp:positionV>
            <wp:extent cx="668655" cy="668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jc w:val="center"/>
        <w:ind w:left="-719"/>
        <w:spacing w:after="0"/>
        <w:rPr>
          <w:sz w:val="20"/>
          <w:szCs w:val="20"/>
          <w:color w:val="auto"/>
        </w:rPr>
      </w:pPr>
      <w:r>
        <w:rPr>
          <w:rFonts w:ascii="Arial" w:cs="Arial" w:eastAsia="Arial" w:hAnsi="Arial"/>
          <w:sz w:val="16"/>
          <w:szCs w:val="16"/>
          <w:b w:val="1"/>
          <w:bCs w:val="1"/>
          <w:i w:val="1"/>
          <w:iCs w:val="1"/>
          <w:color w:val="00A1DF"/>
        </w:rPr>
        <w:t>Meetings held in 2017: 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Linda R. Gooden,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31750</wp:posOffset>
            </wp:positionV>
            <wp:extent cx="34563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340" w:hanging="330"/>
        <w:spacing w:after="0" w:line="252" w:lineRule="auto"/>
        <w:tabs>
          <w:tab w:leader="none" w:pos="269"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Oversees the effectiveness of the Company’s cybersecurity programs and its practices for identifying, assessing, and mitigating cybersecurity risks;</w:t>
      </w:r>
    </w:p>
    <w:p>
      <w:pPr>
        <w:spacing w:after="0" w:line="1" w:lineRule="exact"/>
        <w:rPr>
          <w:rFonts w:ascii="Arial" w:cs="Arial" w:eastAsia="Arial" w:hAnsi="Arial"/>
          <w:sz w:val="16"/>
          <w:szCs w:val="16"/>
          <w:color w:val="00A1DF"/>
        </w:rPr>
      </w:pPr>
    </w:p>
    <w:p>
      <w:pPr>
        <w:ind w:left="340" w:right="20" w:hanging="330"/>
        <w:spacing w:after="0" w:line="251" w:lineRule="auto"/>
        <w:tabs>
          <w:tab w:leader="none" w:pos="269"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Reviews the Company’s controls to prevent, detect, and respond to cyberattacks and breaches involving GM’s electronic information, intellectual property, sensitive data, connected products, and the connected ecosystem;</w:t>
      </w:r>
    </w:p>
    <w:p>
      <w:pPr>
        <w:ind w:left="340" w:hanging="330"/>
        <w:spacing w:after="0" w:line="252" w:lineRule="auto"/>
        <w:tabs>
          <w:tab w:leader="none" w:pos="269"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Oversees management’s implementation of cybersecurity programs and risk policies and procedures and management’s actions to safeguard their effectiveness; and</w:t>
      </w:r>
    </w:p>
    <w:p>
      <w:pPr>
        <w:spacing w:after="0" w:line="1" w:lineRule="exact"/>
        <w:rPr>
          <w:rFonts w:ascii="Arial" w:cs="Arial" w:eastAsia="Arial" w:hAnsi="Arial"/>
          <w:sz w:val="16"/>
          <w:szCs w:val="16"/>
          <w:color w:val="00A1DF"/>
        </w:rPr>
      </w:pPr>
    </w:p>
    <w:p>
      <w:pPr>
        <w:ind w:left="340" w:right="20" w:hanging="330"/>
        <w:spacing w:after="0" w:line="278" w:lineRule="auto"/>
        <w:tabs>
          <w:tab w:leader="none" w:pos="269" w:val="left"/>
        </w:tabs>
        <w:numPr>
          <w:ilvl w:val="0"/>
          <w:numId w:val="41"/>
        </w:numPr>
        <w:rPr>
          <w:rFonts w:ascii="Arial" w:cs="Arial" w:eastAsia="Arial" w:hAnsi="Arial"/>
          <w:sz w:val="16"/>
          <w:szCs w:val="16"/>
          <w:color w:val="00A1DF"/>
        </w:rPr>
      </w:pPr>
      <w:r>
        <w:rPr>
          <w:rFonts w:ascii="Arial" w:cs="Arial" w:eastAsia="Arial" w:hAnsi="Arial"/>
          <w:sz w:val="16"/>
          <w:szCs w:val="16"/>
          <w:color w:val="auto"/>
        </w:rPr>
        <w:t>Evaluates the Company’s cyber crisis preparedness, incident response plans, and disaster recovery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3430270" cy="11061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30270" cy="1106170"/>
                    </a:xfrm>
                    <a:prstGeom prst="rect">
                      <a:avLst/>
                    </a:prstGeom>
                    <a:noFill/>
                  </pic:spPr>
                </pic:pic>
              </a:graphicData>
            </a:graphic>
          </wp:anchor>
        </w:drawing>
      </w:r>
    </w:p>
    <w:p>
      <w:pPr>
        <w:spacing w:after="0" w:line="1856" w:lineRule="exact"/>
        <w:rPr>
          <w:sz w:val="20"/>
          <w:szCs w:val="20"/>
          <w:color w:val="auto"/>
        </w:rPr>
      </w:pPr>
    </w:p>
    <w:p>
      <w:pPr>
        <w:sectPr>
          <w:pgSz w:w="11900" w:h="16838" w:orient="portrait"/>
          <w:cols w:equalWidth="0" w:num="2">
            <w:col w:w="5600" w:space="280"/>
            <w:col w:w="5400"/>
          </w:cols>
          <w:pgMar w:left="240" w:top="459" w:right="3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Board has determined that all members of the Audit Committee meet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heightened independence and qualification criteria and are financially</w:t>
      </w:r>
    </w:p>
    <w:p>
      <w:pPr>
        <w:spacing w:after="0" w:line="5" w:lineRule="exact"/>
        <w:rPr>
          <w:sz w:val="20"/>
          <w:szCs w:val="20"/>
          <w:color w:val="auto"/>
        </w:rPr>
      </w:pPr>
    </w:p>
    <w:p>
      <w:pPr>
        <w:ind w:left="200"/>
        <w:spacing w:after="0"/>
        <w:tabs>
          <w:tab w:leader="none" w:pos="820" w:val="left"/>
          <w:tab w:leader="none" w:pos="1080" w:val="left"/>
          <w:tab w:leader="none" w:pos="2080" w:val="left"/>
          <w:tab w:leader="none" w:pos="2500" w:val="left"/>
          <w:tab w:leader="none" w:pos="2880" w:val="left"/>
          <w:tab w:leader="none" w:pos="3460" w:val="left"/>
          <w:tab w:leader="none" w:pos="4020" w:val="left"/>
          <w:tab w:leader="none" w:pos="4880" w:val="left"/>
          <w:tab w:leader="none" w:pos="5300" w:val="left"/>
        </w:tabs>
        <w:rPr>
          <w:sz w:val="20"/>
          <w:szCs w:val="20"/>
          <w:color w:val="auto"/>
        </w:rPr>
      </w:pPr>
      <w:r>
        <w:rPr>
          <w:rFonts w:ascii="Arial" w:cs="Arial" w:eastAsia="Arial" w:hAnsi="Arial"/>
          <w:sz w:val="16"/>
          <w:szCs w:val="16"/>
          <w:color w:val="auto"/>
        </w:rPr>
        <w:t>literate</w:t>
        <w:tab/>
        <w:t>in</w:t>
        <w:tab/>
        <w:t>accordance</w:t>
        <w:tab/>
        <w:t>with</w:t>
        <w:tab/>
        <w:t>the</w:t>
        <w:tab/>
        <w:t>NYSE</w:t>
        <w:tab/>
        <w:t>listing</w:t>
        <w:tab/>
        <w:t>standards</w:t>
        <w:tab/>
        <w:t>and</w:t>
      </w:r>
      <w:r>
        <w:rPr>
          <w:sz w:val="20"/>
          <w:szCs w:val="20"/>
          <w:color w:val="auto"/>
        </w:rPr>
        <w:tab/>
      </w:r>
      <w:r>
        <w:rPr>
          <w:rFonts w:ascii="Arial" w:cs="Arial" w:eastAsia="Arial" w:hAnsi="Arial"/>
          <w:sz w:val="15"/>
          <w:szCs w:val="15"/>
          <w:color w:val="auto"/>
        </w:rPr>
        <w:t>that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Gooden, Ms. Mendillo, and Mr. Schoewe are each qualified as an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wp:posOffset>
            </wp:positionV>
            <wp:extent cx="3430270" cy="128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3027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For  additional  information  about  the  Audit  Committee  and  its  2017</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activities, see its report included in this Proxy Statement beginning on page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70.</w:t>
      </w:r>
    </w:p>
    <w:p>
      <w:pPr>
        <w:spacing w:after="0" w:line="170" w:lineRule="exact"/>
        <w:rPr>
          <w:sz w:val="20"/>
          <w:szCs w:val="20"/>
          <w:color w:val="auto"/>
        </w:rPr>
      </w:pPr>
    </w:p>
    <w:p>
      <w:pPr>
        <w:jc w:val="center"/>
        <w:ind w:right="10720"/>
        <w:spacing w:after="0"/>
        <w:rPr>
          <w:sz w:val="20"/>
          <w:szCs w:val="20"/>
          <w:color w:val="auto"/>
        </w:rPr>
      </w:pPr>
      <w:r>
        <w:rPr>
          <w:rFonts w:ascii="Arial" w:cs="Arial" w:eastAsia="Arial" w:hAnsi="Arial"/>
          <w:sz w:val="14"/>
          <w:szCs w:val="14"/>
          <w:color w:val="0033A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326390</wp:posOffset>
            </wp:positionV>
            <wp:extent cx="7040880" cy="2228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40880" cy="22288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560" w:right="2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b w:val="1"/>
          <w:bCs w:val="1"/>
          <w:color w:val="000000"/>
        </w:rPr>
        <w:t>Carol M. Stephenson (Chair),</w:t>
      </w:r>
      <w:r>
        <w:rPr>
          <w:rFonts w:ascii="Arial" w:cs="Arial" w:eastAsia="Arial" w:hAnsi="Arial"/>
          <w:sz w:val="16"/>
          <w:szCs w:val="16"/>
          <w:b w:val="1"/>
          <w:bCs w:val="1"/>
          <w:i w:val="1"/>
          <w:iCs w:val="1"/>
          <w:color w:val="00A1DF"/>
        </w:rPr>
        <w:t xml:space="preserve"> </w:t>
      </w:r>
      <w:r>
        <w:rPr>
          <w:rFonts w:ascii="Arial" w:cs="Arial" w:eastAsia="Arial" w:hAnsi="Arial"/>
          <w:sz w:val="16"/>
          <w:szCs w:val="16"/>
          <w:b w:val="1"/>
          <w:bCs w:val="1"/>
          <w:color w:val="000000"/>
        </w:rPr>
        <w:t>Joseph Jimenez, James J. Mulva, and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668655" cy="668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ind w:left="2560"/>
        <w:spacing w:after="0"/>
        <w:rPr>
          <w:sz w:val="20"/>
          <w:szCs w:val="20"/>
          <w:color w:val="auto"/>
        </w:rPr>
      </w:pPr>
      <w:r>
        <w:rPr>
          <w:rFonts w:ascii="Arial" w:cs="Arial" w:eastAsia="Arial" w:hAnsi="Arial"/>
          <w:sz w:val="16"/>
          <w:szCs w:val="16"/>
          <w:b w:val="1"/>
          <w:bCs w:val="1"/>
          <w:i w:val="1"/>
          <w:iCs w:val="1"/>
          <w:color w:val="00A1DF"/>
        </w:rPr>
        <w:t>Meetings held in 2017: 6</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Carol M. Stephenson,</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3422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520" w:right="20" w:hanging="316"/>
        <w:spacing w:after="0" w:line="255" w:lineRule="auto"/>
        <w:tabs>
          <w:tab w:leader="none" w:pos="449"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Oversees the Company’s executive compensation policies, practices, and programs;</w:t>
      </w:r>
    </w:p>
    <w:p>
      <w:pPr>
        <w:ind w:left="520" w:right="20" w:hanging="316"/>
        <w:spacing w:after="0" w:line="252" w:lineRule="auto"/>
        <w:tabs>
          <w:tab w:leader="none" w:pos="449"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Reviews and approves corporate goals and objectives, evaluates performance (along with the full Board), and determines compensation levels for the Chairman and CEO;</w:t>
      </w:r>
    </w:p>
    <w:p>
      <w:pPr>
        <w:spacing w:after="0" w:line="1" w:lineRule="exact"/>
        <w:rPr>
          <w:rFonts w:ascii="Arial" w:cs="Arial" w:eastAsia="Arial" w:hAnsi="Arial"/>
          <w:sz w:val="16"/>
          <w:szCs w:val="16"/>
          <w:color w:val="00A1DF"/>
        </w:rPr>
      </w:pPr>
    </w:p>
    <w:p>
      <w:pPr>
        <w:ind w:left="520" w:right="20" w:hanging="316"/>
        <w:spacing w:after="0" w:line="255" w:lineRule="auto"/>
        <w:tabs>
          <w:tab w:leader="none" w:pos="449"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Reviews and approves compensation of NEOs, executive officers, and other senior leaders under its purview;</w:t>
      </w:r>
    </w:p>
    <w:p>
      <w:pPr>
        <w:ind w:left="520" w:right="20" w:hanging="316"/>
        <w:spacing w:after="0" w:line="255" w:lineRule="auto"/>
        <w:tabs>
          <w:tab w:leader="none" w:pos="449"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Oversees compensation policies and practices so that the plans do not encourage unnecessary or excessive risks; and</w:t>
      </w:r>
    </w:p>
    <w:p>
      <w:pPr>
        <w:ind w:left="520" w:right="20" w:hanging="316"/>
        <w:spacing w:after="0" w:line="278" w:lineRule="auto"/>
        <w:tabs>
          <w:tab w:leader="none" w:pos="449" w:val="left"/>
        </w:tabs>
        <w:numPr>
          <w:ilvl w:val="0"/>
          <w:numId w:val="42"/>
        </w:numPr>
        <w:rPr>
          <w:rFonts w:ascii="Arial" w:cs="Arial" w:eastAsia="Arial" w:hAnsi="Arial"/>
          <w:sz w:val="16"/>
          <w:szCs w:val="16"/>
          <w:color w:val="00A1DF"/>
        </w:rPr>
      </w:pPr>
      <w:r>
        <w:rPr>
          <w:rFonts w:ascii="Arial" w:cs="Arial" w:eastAsia="Arial" w:hAnsi="Arial"/>
          <w:sz w:val="16"/>
          <w:szCs w:val="16"/>
          <w:color w:val="auto"/>
        </w:rPr>
        <w:t>Oversees the Company’s policies and practices that promote diversity and inclusion.</w:t>
      </w:r>
    </w:p>
    <w:p>
      <w:pPr>
        <w:spacing w:after="0" w:line="87"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color w:val="auto"/>
        </w:rPr>
        <w:t>The Board has determined that all members of the Executive Compensation Committee meet heightened independence and qualification criteria in accordance with NYSE listing standards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187960</wp:posOffset>
            </wp:positionV>
            <wp:extent cx="3430270" cy="131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30270" cy="131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60" w:right="12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James J. Mulva (Chair), Jane</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L. Mendillo, Patricia F. Russo,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-376555</wp:posOffset>
            </wp:positionV>
            <wp:extent cx="668655" cy="668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jc w:val="center"/>
        <w:ind w:left="-799"/>
        <w:spacing w:after="0"/>
        <w:rPr>
          <w:sz w:val="20"/>
          <w:szCs w:val="20"/>
          <w:color w:val="auto"/>
        </w:rPr>
      </w:pPr>
      <w:r>
        <w:rPr>
          <w:rFonts w:ascii="Arial" w:cs="Arial" w:eastAsia="Arial" w:hAnsi="Arial"/>
          <w:sz w:val="16"/>
          <w:szCs w:val="16"/>
          <w:b w:val="1"/>
          <w:bCs w:val="1"/>
          <w:i w:val="1"/>
          <w:iCs w:val="1"/>
          <w:color w:val="00A1DF"/>
        </w:rPr>
        <w:t>Meetings held in 2017: 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James J. Mulva,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31750</wp:posOffset>
            </wp:positionV>
            <wp:extent cx="34563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340" w:hanging="330"/>
        <w:spacing w:after="0" w:line="255" w:lineRule="auto"/>
        <w:tabs>
          <w:tab w:leader="none" w:pos="260"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Assists the Board in its oversight of financial policies, strategies, and capital structure;</w:t>
      </w:r>
    </w:p>
    <w:p>
      <w:pPr>
        <w:ind w:left="340" w:hanging="330"/>
        <w:spacing w:after="0" w:line="251" w:lineRule="auto"/>
        <w:tabs>
          <w:tab w:leader="none" w:pos="269"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Reviews the Company’s cash management as well as proposed capital plans, capital expenditures, dividend actions, stock splits and repurchases, issuances of debt or equity securities, and credit facility and other borrowings;</w:t>
      </w:r>
    </w:p>
    <w:p>
      <w:pPr>
        <w:ind w:left="340" w:hanging="330"/>
        <w:spacing w:after="0" w:line="251" w:lineRule="auto"/>
        <w:tabs>
          <w:tab w:leader="none" w:pos="269"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Reviews any significant financial exposures and contingent liabilities of the Company, including foreign exchange, interest rate, and commodities exposures, and the use of derivatives to hedge those exposures; and</w:t>
      </w:r>
    </w:p>
    <w:p>
      <w:pPr>
        <w:ind w:left="340" w:hanging="330"/>
        <w:spacing w:after="0" w:line="262" w:lineRule="auto"/>
        <w:tabs>
          <w:tab w:leader="none" w:pos="269" w:val="left"/>
        </w:tabs>
        <w:numPr>
          <w:ilvl w:val="0"/>
          <w:numId w:val="43"/>
        </w:numPr>
        <w:rPr>
          <w:rFonts w:ascii="Arial" w:cs="Arial" w:eastAsia="Arial" w:hAnsi="Arial"/>
          <w:sz w:val="16"/>
          <w:szCs w:val="16"/>
          <w:color w:val="00A1DF"/>
        </w:rPr>
      </w:pPr>
      <w:r>
        <w:rPr>
          <w:rFonts w:ascii="Arial" w:cs="Arial" w:eastAsia="Arial" w:hAnsi="Arial"/>
          <w:sz w:val="16"/>
          <w:szCs w:val="16"/>
          <w:color w:val="auto"/>
        </w:rPr>
        <w:t>Reviews the regulatory compliance, administration, financing, investment performance, risk and liability profile, and funding of the Company’s U.S.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3430270" cy="1697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30270" cy="1697990"/>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5600" w:space="280"/>
            <w:col w:w="5400"/>
          </w:cols>
          <w:pgMar w:left="240" w:top="45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25</w:t>
      </w:r>
    </w:p>
    <w:p>
      <w:pPr>
        <w:sectPr>
          <w:pgSz w:w="11900" w:h="16838" w:orient="portrait"/>
          <w:cols w:equalWidth="0" w:num="1">
            <w:col w:w="11280"/>
          </w:cols>
          <w:pgMar w:left="240" w:top="459"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326390</wp:posOffset>
            </wp:positionV>
            <wp:extent cx="7040880" cy="222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40880" cy="22288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560" w:right="44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Patricia F. Russo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Joseph Jimenez, and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668655" cy="6686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ind w:left="2560"/>
        <w:spacing w:after="0"/>
        <w:rPr>
          <w:sz w:val="20"/>
          <w:szCs w:val="20"/>
          <w:color w:val="auto"/>
        </w:rPr>
      </w:pPr>
      <w:r>
        <w:rPr>
          <w:rFonts w:ascii="Arial" w:cs="Arial" w:eastAsia="Arial" w:hAnsi="Arial"/>
          <w:sz w:val="16"/>
          <w:szCs w:val="16"/>
          <w:b w:val="1"/>
          <w:bCs w:val="1"/>
          <w:i w:val="1"/>
          <w:iCs w:val="1"/>
          <w:color w:val="00A1DF"/>
        </w:rPr>
        <w:t>Meetings held in 2017: 6</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Patricia F. Russo,</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3422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520" w:right="20" w:hanging="316"/>
        <w:spacing w:after="0" w:line="255" w:lineRule="auto"/>
        <w:tabs>
          <w:tab w:leader="none" w:pos="449"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Reviews the Company’s corporate governance framework, including all significant governance policies and procedures;</w:t>
      </w:r>
    </w:p>
    <w:p>
      <w:pPr>
        <w:ind w:left="520" w:right="20" w:hanging="316"/>
        <w:spacing w:after="0" w:line="255" w:lineRule="auto"/>
        <w:tabs>
          <w:tab w:leader="none" w:pos="449"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Oversees Company policies and strategies related to corporate responsibility, sustainability, and political contributions;</w:t>
      </w:r>
    </w:p>
    <w:p>
      <w:pPr>
        <w:ind w:left="520" w:right="20" w:hanging="316"/>
        <w:spacing w:after="0" w:line="255" w:lineRule="auto"/>
        <w:tabs>
          <w:tab w:leader="none" w:pos="449"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Reviews the appropriate composition of the Board and recommends director nominees;</w:t>
      </w:r>
    </w:p>
    <w:p>
      <w:pPr>
        <w:ind w:left="460" w:hanging="256"/>
        <w:spacing w:after="0"/>
        <w:tabs>
          <w:tab w:leader="none" w:pos="460"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Oversees the self-evaluation process of the Board and Committees;</w:t>
      </w:r>
    </w:p>
    <w:p>
      <w:pPr>
        <w:spacing w:after="0" w:line="18" w:lineRule="exact"/>
        <w:rPr>
          <w:rFonts w:ascii="Arial" w:cs="Arial" w:eastAsia="Arial" w:hAnsi="Arial"/>
          <w:sz w:val="16"/>
          <w:szCs w:val="16"/>
          <w:color w:val="00A1DF"/>
        </w:rPr>
      </w:pPr>
    </w:p>
    <w:p>
      <w:pPr>
        <w:ind w:left="520" w:hanging="316"/>
        <w:spacing w:after="0" w:line="255" w:lineRule="auto"/>
        <w:tabs>
          <w:tab w:leader="none" w:pos="449"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Recommends compensation of non-employee directors to the Board; and</w:t>
      </w:r>
    </w:p>
    <w:p>
      <w:pPr>
        <w:ind w:left="520" w:hanging="316"/>
        <w:spacing w:after="0" w:line="278" w:lineRule="auto"/>
        <w:tabs>
          <w:tab w:leader="none" w:pos="449" w:val="left"/>
        </w:tabs>
        <w:numPr>
          <w:ilvl w:val="0"/>
          <w:numId w:val="44"/>
        </w:numPr>
        <w:rPr>
          <w:rFonts w:ascii="Arial" w:cs="Arial" w:eastAsia="Arial" w:hAnsi="Arial"/>
          <w:sz w:val="16"/>
          <w:szCs w:val="16"/>
          <w:color w:val="00A1DF"/>
        </w:rPr>
      </w:pPr>
      <w:r>
        <w:rPr>
          <w:rFonts w:ascii="Arial" w:cs="Arial" w:eastAsia="Arial" w:hAnsi="Arial"/>
          <w:sz w:val="16"/>
          <w:szCs w:val="16"/>
          <w:color w:val="auto"/>
        </w:rPr>
        <w:t>Reviews and approves related party transactions and any potential Board conflicts of interest,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2266315</wp:posOffset>
            </wp:positionV>
            <wp:extent cx="1277620" cy="651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7620" cy="65151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53975</wp:posOffset>
            </wp:positionV>
            <wp:extent cx="2958465" cy="1663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58465" cy="166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60" w:right="240"/>
        <w:spacing w:after="0" w:line="266" w:lineRule="auto"/>
        <w:rPr>
          <w:sz w:val="20"/>
          <w:szCs w:val="20"/>
          <w:color w:val="auto"/>
        </w:rPr>
      </w:pPr>
      <w:r>
        <w:rPr>
          <w:rFonts w:ascii="Arial" w:cs="Arial" w:eastAsia="Arial" w:hAnsi="Arial"/>
          <w:sz w:val="16"/>
          <w:szCs w:val="16"/>
          <w:b w:val="1"/>
          <w:bCs w:val="1"/>
          <w:i w:val="1"/>
          <w:iCs w:val="1"/>
          <w:color w:val="00A1DF"/>
        </w:rPr>
        <w:t xml:space="preserve">Members: </w:t>
      </w:r>
      <w:r>
        <w:rPr>
          <w:rFonts w:ascii="Arial" w:cs="Arial" w:eastAsia="Arial" w:hAnsi="Arial"/>
          <w:sz w:val="16"/>
          <w:szCs w:val="16"/>
          <w:color w:val="000000"/>
        </w:rPr>
        <w:t>Michael G. Mullen (Chair),</w:t>
      </w:r>
      <w:r>
        <w:rPr>
          <w:rFonts w:ascii="Arial" w:cs="Arial" w:eastAsia="Arial" w:hAnsi="Arial"/>
          <w:sz w:val="16"/>
          <w:szCs w:val="16"/>
          <w:b w:val="1"/>
          <w:bCs w:val="1"/>
          <w:i w:val="1"/>
          <w:iCs w:val="1"/>
          <w:color w:val="00A1DF"/>
        </w:rPr>
        <w:t xml:space="preserve"> </w:t>
      </w:r>
      <w:r>
        <w:rPr>
          <w:rFonts w:ascii="Arial" w:cs="Arial" w:eastAsia="Arial" w:hAnsi="Arial"/>
          <w:sz w:val="16"/>
          <w:szCs w:val="16"/>
          <w:color w:val="000000"/>
        </w:rPr>
        <w:t>Linda R. Gooden, James J. Mulva,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-376555</wp:posOffset>
            </wp:positionV>
            <wp:extent cx="668655" cy="668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79" w:lineRule="exact"/>
        <w:rPr>
          <w:sz w:val="20"/>
          <w:szCs w:val="20"/>
          <w:color w:val="auto"/>
        </w:rPr>
      </w:pPr>
    </w:p>
    <w:p>
      <w:pPr>
        <w:jc w:val="center"/>
        <w:ind w:left="-799"/>
        <w:spacing w:after="0"/>
        <w:rPr>
          <w:sz w:val="20"/>
          <w:szCs w:val="20"/>
          <w:color w:val="auto"/>
        </w:rPr>
      </w:pPr>
      <w:r>
        <w:rPr>
          <w:rFonts w:ascii="Arial" w:cs="Arial" w:eastAsia="Arial" w:hAnsi="Arial"/>
          <w:sz w:val="16"/>
          <w:szCs w:val="16"/>
          <w:b w:val="1"/>
          <w:bCs w:val="1"/>
          <w:i w:val="1"/>
          <w:iCs w:val="1"/>
          <w:color w:val="00A1DF"/>
        </w:rPr>
        <w:t>Meetings held in 2017: 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Adm. Michael G. Mullen,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31750</wp:posOffset>
            </wp:positionV>
            <wp:extent cx="34563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25" w:lineRule="exact"/>
        <w:rPr>
          <w:sz w:val="20"/>
          <w:szCs w:val="20"/>
          <w:color w:val="auto"/>
        </w:rPr>
      </w:pPr>
    </w:p>
    <w:p>
      <w:pPr>
        <w:ind w:left="340" w:right="20" w:hanging="330"/>
        <w:spacing w:after="0" w:line="255" w:lineRule="auto"/>
        <w:tabs>
          <w:tab w:leader="none" w:pos="260"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Assists the Board in its oversight of the Company’s risk management framework and practices;</w:t>
      </w:r>
    </w:p>
    <w:p>
      <w:pPr>
        <w:ind w:left="340" w:hanging="330"/>
        <w:spacing w:after="0" w:line="252" w:lineRule="auto"/>
        <w:tabs>
          <w:tab w:leader="none" w:pos="269"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Reviews the Company’s risk culture, including open risk discussions and the integration of risk management into the Company’s behaviors, decision making, and processes;</w:t>
      </w:r>
    </w:p>
    <w:p>
      <w:pPr>
        <w:spacing w:after="0" w:line="1" w:lineRule="exact"/>
        <w:rPr>
          <w:rFonts w:ascii="Arial" w:cs="Arial" w:eastAsia="Arial" w:hAnsi="Arial"/>
          <w:sz w:val="16"/>
          <w:szCs w:val="16"/>
          <w:color w:val="00A1DF"/>
        </w:rPr>
      </w:pPr>
    </w:p>
    <w:p>
      <w:pPr>
        <w:ind w:left="340" w:hanging="330"/>
        <w:spacing w:after="0" w:line="251" w:lineRule="auto"/>
        <w:tabs>
          <w:tab w:leader="none" w:pos="269"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Reviews management’s evaluation of strategic and operating risks, including risk concentrations, mitigating measures and the types and levels of risk that are acceptable in the pursuit and protection of shareholder value;</w:t>
      </w:r>
    </w:p>
    <w:p>
      <w:pPr>
        <w:ind w:left="340" w:hanging="330"/>
        <w:spacing w:after="0" w:line="255" w:lineRule="auto"/>
        <w:tabs>
          <w:tab w:leader="none" w:pos="269"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Reviews the impact of the Company’s programs and practices regarding vehicle and workplace safety; and</w:t>
      </w:r>
    </w:p>
    <w:p>
      <w:pPr>
        <w:ind w:left="340" w:hanging="330"/>
        <w:spacing w:after="0" w:line="278" w:lineRule="auto"/>
        <w:tabs>
          <w:tab w:leader="none" w:pos="269" w:val="left"/>
        </w:tabs>
        <w:numPr>
          <w:ilvl w:val="0"/>
          <w:numId w:val="45"/>
        </w:numPr>
        <w:rPr>
          <w:rFonts w:ascii="Arial" w:cs="Arial" w:eastAsia="Arial" w:hAnsi="Arial"/>
          <w:sz w:val="16"/>
          <w:szCs w:val="16"/>
          <w:color w:val="00A1DF"/>
        </w:rPr>
      </w:pPr>
      <w:r>
        <w:rPr>
          <w:rFonts w:ascii="Arial" w:cs="Arial" w:eastAsia="Arial" w:hAnsi="Arial"/>
          <w:sz w:val="16"/>
          <w:szCs w:val="16"/>
          <w:color w:val="auto"/>
        </w:rPr>
        <w:t>Reviews risks related to the Company’s public policy positions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3430270" cy="1818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30270" cy="1818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280"/>
            <w:col w:w="5400"/>
          </w:cols>
          <w:pgMar w:left="240" w:top="45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EXECUTIVE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0033A0"/>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Your Board has an Executive Committee composed of the Chairman and CEO, the Independent Lead Director, and the Chairs of our other standing Committees. The Executive Committee is chaired by Ms. Barra and empowered to act for the full Board in intervals between Board meetings, with the exception of certain matters that the Board has not delegated. The Executive Committee meets as necessary, and all actions by the Executive Committee are reported and ratified at the next succeeding Board meeting. The Executive Committee did not meet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144780</wp:posOffset>
            </wp:positionV>
            <wp:extent cx="6174740" cy="94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2">
            <w:col w:w="1660" w:space="660"/>
            <w:col w:w="8960"/>
          </w:cols>
          <w:pgMar w:left="240" w:top="459" w:right="3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Access to Outside Advisors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and each Board Committee can select and retain the services of outside advisors at the Company’s expense.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and Committee Meetings and Attendance</w:t>
      </w:r>
    </w:p>
    <w:p>
      <w:pPr>
        <w:spacing w:after="0" w:line="176"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In 2017, your Board held a total of 10 meetings, and average director attendance at Board and Committee meetings was 97%. Each director standing for re-election attended at least 90% of the total meetings of the Board and Committees on which he or she served in 2017. Directors are expected to attend our Annual Meeting of shareholders, which is held in conjunction with a regularly scheduled Board meeting. All directors in office at such time attended the 2017 Annual Meeting.</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and Committee 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135890</wp:posOffset>
            </wp:positionV>
            <wp:extent cx="6860540" cy="2933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6054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Your Board has the overall responsibility for risk oversight, with a focus on the most significant risks facing the Company. Effective risk management is the responsibility of the CEO and other members of management, specifically the Senior Leadership Team. As part of the risk management process, each of the Company’s business units and functions is responsible for identifying risks that could affect the achievement of business goals and strategies, assessing the likelihood and potential impact of significant risks, and prioritizing the risks and actions to be taken to mitigate such risks, as appropriate.</w:t>
      </w:r>
    </w:p>
    <w:p>
      <w:pPr>
        <w:spacing w:after="0" w:line="95"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Your Board implements its risk oversight function both as a whole and through delegation to Board Committees, particularly the Risk Committee. The Board receives regular reports from management on particular risks within the Company, through review of the Company’s strategic plan and through regular communication with its Committees. Management provides comprehensive reports to the Risk Committee on the key strategic, operating, vehicle, and workplace safety, financial, and compliance risks facing the Company, including management’s response to managing and mitigating such risks, as appropriate. The Company’s Chief Compliance Officer also regularly reports to the Audit Committee.</w:t>
      </w:r>
    </w:p>
    <w:p>
      <w:pPr>
        <w:spacing w:after="0" w:line="95"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The Chair of the Risk Committee coordinates with the Chairs of the other Board Committees in their review of the Company risks that have been delegated to these Committees to support them in coordinating the relationship between risk management policies and practices and their respective oversight accountabilities. Each of the other Board Committees, which meet regularly and report back to the Board, is responsible for oversight of risk management practices for categories of risks relevant to its functions.</w:t>
      </w:r>
    </w:p>
    <w:p>
      <w:pPr>
        <w:spacing w:after="0" w:line="95"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Your Board believes that its structure for risk oversight provides for open communication between management and the Board and its Committees, which effectively supports management’s enterprise risk management programs. In addition, strong independent directors chair the Committees involved in risk oversight, and all directors are involved in the risk assessment and ongoing risk reviews.</w:t>
      </w:r>
    </w:p>
    <w:p>
      <w:pPr>
        <w:spacing w:after="0" w:line="117"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27</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403860</wp:posOffset>
            </wp:positionV>
            <wp:extent cx="6946265" cy="24955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626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30"/>
          <w:szCs w:val="30"/>
          <w:color w:val="00A1DF"/>
        </w:rPr>
        <w:t>Succession Planning and Leadership Development</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One of your Board’s primary responsibilities is to oversee the development of appropriate executive-level talent to successfully execute GM’s strategy. Management succession is regularly discussed by the directors with the CEO and during the Board’s executive sessions. The Board reviews candidates for all senior executive positions to confirm that qualified successor-candidates are available for all positions and that development plans are being utilized to strengthen the skills and qualifications of successor-candidates. Our Independent Lead Director oversees the process for CEO succession and leads, at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least annually, the Board’s discussion of CEO succession planning. Our CEO provides the Board with recommendations for and evaluations of potential CEO successors and reviews with the Board development plans for these successors. Directors engage with potential CEO and senior management talent at Board and Committee meetings and in less formal settings to enable directors to personally assess candidates. The Board reviews management succession in the ordinary course of business as well as contingency planning in the event of an emergency or unanticipated event.</w:t>
      </w:r>
    </w:p>
    <w:p>
      <w:pPr>
        <w:spacing w:after="0" w:line="200"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Board and Committee Evaluations</w:t>
      </w:r>
    </w:p>
    <w:p>
      <w:pPr>
        <w:spacing w:after="0" w:line="284"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Board and each Committee conducts an annual self-evaluation to assess effectiveness and consider opportunities for improvement. As part of the evaluation process, each director completes a written questionnaire and is also interviewed by the Chairman and, if requested or needed, the Independent Lead Director. The results of the written questionnaires are compiled anonymously by the Corporate Secretary in the form of summaries for the full Board and each Committee. The feedback received from the questionnaires and interviews is reviewed and discussed by the Governance Committee (as it relates to both the Board and all Committees) and each other Committee (as it relates to such Committee). Following review and discussion by the Committees, the Chairman and the Chair of the Governance Committee summarize the results of the evaluations and report to the full Board for discussion and any action items. In addition, the Chairman and, if applicable, the Independent Lead Director, provide feedback from the individual director interviews to the full Board.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Matters considered in evaluations include the following:</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5480" w:type="dxa"/>
            <w:vAlign w:val="bottom"/>
            <w:shd w:val="clear" w:color="auto" w:fill="E5F5FB"/>
          </w:tcPr>
          <w:p>
            <w:pPr>
              <w:jc w:val="right"/>
              <w:ind w:right="23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effectiveness  of  the  Board’s  leadership  and  Committee</w:t>
            </w:r>
          </w:p>
        </w:tc>
        <w:tc>
          <w:tcPr>
            <w:tcW w:w="5540" w:type="dxa"/>
            <w:vAlign w:val="bottom"/>
            <w:shd w:val="clear" w:color="auto" w:fill="E5F5FB"/>
          </w:tcPr>
          <w:p>
            <w:pPr>
              <w:jc w:val="right"/>
              <w:ind w:right="7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quality of Board and Committee agendas and the appropriate</w:t>
            </w:r>
          </w:p>
        </w:tc>
        <w:tc>
          <w:tcPr>
            <w:tcW w:w="0" w:type="dxa"/>
            <w:vAlign w:val="bottom"/>
          </w:tcPr>
          <w:p>
            <w:pPr>
              <w:spacing w:after="0"/>
              <w:rPr>
                <w:sz w:val="1"/>
                <w:szCs w:val="1"/>
                <w:color w:val="auto"/>
              </w:rPr>
            </w:pPr>
          </w:p>
        </w:tc>
      </w:tr>
      <w:tr>
        <w:trPr>
          <w:trHeight w:val="203"/>
        </w:trPr>
        <w:tc>
          <w:tcPr>
            <w:tcW w:w="5480" w:type="dxa"/>
            <w:vAlign w:val="bottom"/>
            <w:shd w:val="clear" w:color="auto" w:fill="E5F5FB"/>
          </w:tcPr>
          <w:p>
            <w:pPr>
              <w:ind w:left="260"/>
              <w:spacing w:after="0"/>
              <w:rPr>
                <w:sz w:val="20"/>
                <w:szCs w:val="20"/>
                <w:color w:val="auto"/>
              </w:rPr>
            </w:pPr>
            <w:r>
              <w:rPr>
                <w:rFonts w:ascii="Arial" w:cs="Arial" w:eastAsia="Arial" w:hAnsi="Arial"/>
                <w:sz w:val="16"/>
                <w:szCs w:val="16"/>
                <w:color w:val="auto"/>
              </w:rPr>
              <w:t>structure;</w:t>
            </w:r>
          </w:p>
        </w:tc>
        <w:tc>
          <w:tcPr>
            <w:tcW w:w="5540" w:type="dxa"/>
            <w:vAlign w:val="bottom"/>
            <w:shd w:val="clear" w:color="auto" w:fill="E5F5FB"/>
          </w:tcPr>
          <w:p>
            <w:pPr>
              <w:ind w:left="480"/>
              <w:spacing w:after="0"/>
              <w:rPr>
                <w:sz w:val="20"/>
                <w:szCs w:val="20"/>
                <w:color w:val="auto"/>
              </w:rPr>
            </w:pPr>
            <w:r>
              <w:rPr>
                <w:rFonts w:ascii="Arial" w:cs="Arial" w:eastAsia="Arial" w:hAnsi="Arial"/>
                <w:sz w:val="16"/>
                <w:szCs w:val="16"/>
                <w:color w:val="auto"/>
              </w:rPr>
              <w:t>Board and Committee priorities;</w:t>
            </w:r>
          </w:p>
        </w:tc>
        <w:tc>
          <w:tcPr>
            <w:tcW w:w="0" w:type="dxa"/>
            <w:vAlign w:val="bottom"/>
          </w:tcPr>
          <w:p>
            <w:pPr>
              <w:spacing w:after="0"/>
              <w:rPr>
                <w:sz w:val="1"/>
                <w:szCs w:val="1"/>
                <w:color w:val="auto"/>
              </w:rPr>
            </w:pPr>
          </w:p>
        </w:tc>
      </w:tr>
      <w:tr>
        <w:trPr>
          <w:trHeight w:val="270"/>
        </w:trPr>
        <w:tc>
          <w:tcPr>
            <w:tcW w:w="5480" w:type="dxa"/>
            <w:vAlign w:val="bottom"/>
            <w:shd w:val="clear" w:color="auto" w:fill="E5F5FB"/>
          </w:tcPr>
          <w:p>
            <w:pPr>
              <w:jc w:val="right"/>
              <w:ind w:right="23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Board and Committee skills, composition, and diversity and Board</w:t>
            </w:r>
          </w:p>
        </w:tc>
        <w:tc>
          <w:tcPr>
            <w:tcW w:w="5540" w:type="dxa"/>
            <w:vAlign w:val="bottom"/>
            <w:shd w:val="clear" w:color="auto" w:fill="E5F5FB"/>
          </w:tcPr>
          <w:p>
            <w:pPr>
              <w:jc w:val="right"/>
              <w:ind w:right="7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Dynamics between the Board and management, including the quality</w:t>
            </w:r>
          </w:p>
        </w:tc>
        <w:tc>
          <w:tcPr>
            <w:tcW w:w="0" w:type="dxa"/>
            <w:vAlign w:val="bottom"/>
          </w:tcPr>
          <w:p>
            <w:pPr>
              <w:spacing w:after="0"/>
              <w:rPr>
                <w:sz w:val="1"/>
                <w:szCs w:val="1"/>
                <w:color w:val="auto"/>
              </w:rPr>
            </w:pPr>
          </w:p>
        </w:tc>
      </w:tr>
      <w:tr>
        <w:trPr>
          <w:trHeight w:val="197"/>
        </w:trPr>
        <w:tc>
          <w:tcPr>
            <w:tcW w:w="5480" w:type="dxa"/>
            <w:vAlign w:val="bottom"/>
            <w:shd w:val="clear" w:color="auto" w:fill="E5F5FB"/>
          </w:tcPr>
          <w:p>
            <w:pPr>
              <w:ind w:left="260"/>
              <w:spacing w:after="0"/>
              <w:rPr>
                <w:sz w:val="20"/>
                <w:szCs w:val="20"/>
                <w:color w:val="auto"/>
              </w:rPr>
            </w:pPr>
            <w:r>
              <w:rPr>
                <w:rFonts w:ascii="Arial" w:cs="Arial" w:eastAsia="Arial" w:hAnsi="Arial"/>
                <w:sz w:val="16"/>
                <w:szCs w:val="16"/>
                <w:color w:val="auto"/>
              </w:rPr>
              <w:t>succession planning;</w:t>
            </w:r>
          </w:p>
        </w:tc>
        <w:tc>
          <w:tcPr>
            <w:tcW w:w="5540" w:type="dxa"/>
            <w:vAlign w:val="bottom"/>
            <w:shd w:val="clear" w:color="auto" w:fill="E5F5FB"/>
          </w:tcPr>
          <w:p>
            <w:pPr>
              <w:jc w:val="right"/>
              <w:ind w:right="79"/>
              <w:spacing w:after="0"/>
              <w:rPr>
                <w:sz w:val="20"/>
                <w:szCs w:val="20"/>
                <w:color w:val="auto"/>
              </w:rPr>
            </w:pPr>
            <w:r>
              <w:rPr>
                <w:rFonts w:ascii="Arial" w:cs="Arial" w:eastAsia="Arial" w:hAnsi="Arial"/>
                <w:sz w:val="16"/>
                <w:szCs w:val="16"/>
                <w:color w:val="auto"/>
              </w:rPr>
              <w:t>of management presentations and information provided to the Board</w:t>
            </w:r>
          </w:p>
        </w:tc>
        <w:tc>
          <w:tcPr>
            <w:tcW w:w="0" w:type="dxa"/>
            <w:vAlign w:val="bottom"/>
          </w:tcPr>
          <w:p>
            <w:pPr>
              <w:spacing w:after="0"/>
              <w:rPr>
                <w:sz w:val="1"/>
                <w:szCs w:val="1"/>
                <w:color w:val="auto"/>
              </w:rPr>
            </w:pPr>
          </w:p>
        </w:tc>
      </w:tr>
      <w:tr>
        <w:trPr>
          <w:trHeight w:val="195"/>
        </w:trPr>
        <w:tc>
          <w:tcPr>
            <w:tcW w:w="5480" w:type="dxa"/>
            <w:vAlign w:val="bottom"/>
            <w:vMerge w:val="restart"/>
            <w:shd w:val="clear" w:color="auto" w:fill="E5F5FB"/>
          </w:tcPr>
          <w:p>
            <w:pPr>
              <w:jc w:val="right"/>
              <w:ind w:right="23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Board  and  Committee  culture  and  dynamics,  including  the</w:t>
            </w:r>
          </w:p>
        </w:tc>
        <w:tc>
          <w:tcPr>
            <w:tcW w:w="5540" w:type="dxa"/>
            <w:vAlign w:val="bottom"/>
            <w:shd w:val="clear" w:color="auto" w:fill="E5F5FB"/>
          </w:tcPr>
          <w:p>
            <w:pPr>
              <w:ind w:left="480"/>
              <w:spacing w:after="0"/>
              <w:rPr>
                <w:sz w:val="20"/>
                <w:szCs w:val="20"/>
                <w:color w:val="auto"/>
              </w:rPr>
            </w:pPr>
            <w:r>
              <w:rPr>
                <w:rFonts w:ascii="Arial" w:cs="Arial" w:eastAsia="Arial" w:hAnsi="Arial"/>
                <w:sz w:val="16"/>
                <w:szCs w:val="16"/>
                <w:color w:val="auto"/>
              </w:rPr>
              <w:t>and Committees; and</w:t>
            </w:r>
          </w:p>
        </w:tc>
        <w:tc>
          <w:tcPr>
            <w:tcW w:w="0" w:type="dxa"/>
            <w:vAlign w:val="bottom"/>
          </w:tcPr>
          <w:p>
            <w:pPr>
              <w:spacing w:after="0"/>
              <w:rPr>
                <w:sz w:val="1"/>
                <w:szCs w:val="1"/>
                <w:color w:val="auto"/>
              </w:rPr>
            </w:pPr>
          </w:p>
        </w:tc>
      </w:tr>
      <w:tr>
        <w:trPr>
          <w:trHeight w:val="81"/>
        </w:trPr>
        <w:tc>
          <w:tcPr>
            <w:tcW w:w="5480" w:type="dxa"/>
            <w:vAlign w:val="bottom"/>
            <w:vMerge w:val="continue"/>
            <w:shd w:val="clear" w:color="auto" w:fill="E5F5FB"/>
          </w:tcPr>
          <w:p>
            <w:pPr>
              <w:spacing w:after="0"/>
              <w:rPr>
                <w:sz w:val="7"/>
                <w:szCs w:val="7"/>
                <w:color w:val="auto"/>
              </w:rPr>
            </w:pPr>
          </w:p>
        </w:tc>
        <w:tc>
          <w:tcPr>
            <w:tcW w:w="5540" w:type="dxa"/>
            <w:vAlign w:val="bottom"/>
            <w:vMerge w:val="restart"/>
            <w:shd w:val="clear" w:color="auto" w:fill="E5F5FB"/>
          </w:tcPr>
          <w:p>
            <w:pPr>
              <w:jc w:val="right"/>
              <w:ind w:right="79"/>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contributions and performance of individual directors, including</w:t>
            </w:r>
          </w:p>
        </w:tc>
        <w:tc>
          <w:tcPr>
            <w:tcW w:w="0" w:type="dxa"/>
            <w:vAlign w:val="bottom"/>
          </w:tcPr>
          <w:p>
            <w:pPr>
              <w:spacing w:after="0"/>
              <w:rPr>
                <w:sz w:val="1"/>
                <w:szCs w:val="1"/>
                <w:color w:val="auto"/>
              </w:rPr>
            </w:pPr>
          </w:p>
        </w:tc>
      </w:tr>
      <w:tr>
        <w:trPr>
          <w:trHeight w:val="197"/>
        </w:trPr>
        <w:tc>
          <w:tcPr>
            <w:tcW w:w="5480" w:type="dxa"/>
            <w:vAlign w:val="bottom"/>
            <w:shd w:val="clear" w:color="auto" w:fill="E5F5FB"/>
          </w:tcPr>
          <w:p>
            <w:pPr>
              <w:jc w:val="right"/>
              <w:ind w:right="259"/>
              <w:spacing w:after="0"/>
              <w:rPr>
                <w:sz w:val="20"/>
                <w:szCs w:val="20"/>
                <w:color w:val="auto"/>
              </w:rPr>
            </w:pPr>
            <w:r>
              <w:rPr>
                <w:rFonts w:ascii="Arial" w:cs="Arial" w:eastAsia="Arial" w:hAnsi="Arial"/>
                <w:sz w:val="16"/>
                <w:szCs w:val="16"/>
                <w:color w:val="auto"/>
              </w:rPr>
              <w:t>effectiveness of discussion and debate at Board and Committee</w:t>
            </w:r>
          </w:p>
        </w:tc>
        <w:tc>
          <w:tcPr>
            <w:tcW w:w="5540" w:type="dxa"/>
            <w:vAlign w:val="bottom"/>
            <w:vMerge w:val="continue"/>
            <w:shd w:val="clear" w:color="auto" w:fill="E5F5FB"/>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80" w:type="dxa"/>
            <w:vAlign w:val="bottom"/>
            <w:shd w:val="clear" w:color="auto" w:fill="E5F5FB"/>
          </w:tcPr>
          <w:p>
            <w:pPr>
              <w:ind w:left="260"/>
              <w:spacing w:after="0"/>
              <w:rPr>
                <w:sz w:val="20"/>
                <w:szCs w:val="20"/>
                <w:color w:val="auto"/>
              </w:rPr>
            </w:pPr>
            <w:r>
              <w:rPr>
                <w:rFonts w:ascii="Arial" w:cs="Arial" w:eastAsia="Arial" w:hAnsi="Arial"/>
                <w:sz w:val="16"/>
                <w:szCs w:val="16"/>
                <w:color w:val="auto"/>
              </w:rPr>
              <w:t>meetings;</w:t>
            </w:r>
          </w:p>
        </w:tc>
        <w:tc>
          <w:tcPr>
            <w:tcW w:w="5540" w:type="dxa"/>
            <w:vAlign w:val="bottom"/>
            <w:shd w:val="clear" w:color="auto" w:fill="E5F5FB"/>
          </w:tcPr>
          <w:p>
            <w:pPr>
              <w:ind w:left="480"/>
              <w:spacing w:after="0"/>
              <w:rPr>
                <w:sz w:val="20"/>
                <w:szCs w:val="20"/>
                <w:color w:val="auto"/>
              </w:rPr>
            </w:pPr>
            <w:r>
              <w:rPr>
                <w:rFonts w:ascii="Arial" w:cs="Arial" w:eastAsia="Arial" w:hAnsi="Arial"/>
                <w:sz w:val="16"/>
                <w:szCs w:val="16"/>
                <w:color w:val="auto"/>
              </w:rPr>
              <w:t>the Chairman, Independent Lead Director, and Committee Chairs.</w:t>
            </w:r>
          </w:p>
        </w:tc>
        <w:tc>
          <w:tcPr>
            <w:tcW w:w="0" w:type="dxa"/>
            <w:vAlign w:val="bottom"/>
          </w:tcPr>
          <w:p>
            <w:pPr>
              <w:spacing w:after="0"/>
              <w:rPr>
                <w:sz w:val="1"/>
                <w:szCs w:val="1"/>
                <w:color w:val="auto"/>
              </w:rPr>
            </w:pPr>
          </w:p>
        </w:tc>
      </w:tr>
      <w:tr>
        <w:trPr>
          <w:trHeight w:val="128"/>
        </w:trPr>
        <w:tc>
          <w:tcPr>
            <w:tcW w:w="5480" w:type="dxa"/>
            <w:vAlign w:val="bottom"/>
            <w:shd w:val="clear" w:color="auto" w:fill="E5F5FB"/>
          </w:tcPr>
          <w:p>
            <w:pPr>
              <w:spacing w:after="0"/>
              <w:rPr>
                <w:sz w:val="11"/>
                <w:szCs w:val="11"/>
                <w:color w:val="auto"/>
              </w:rPr>
            </w:pPr>
          </w:p>
        </w:tc>
        <w:tc>
          <w:tcPr>
            <w:tcW w:w="5540" w:type="dxa"/>
            <w:vAlign w:val="bottom"/>
            <w:shd w:val="clear" w:color="auto" w:fill="E5F5FB"/>
          </w:tcPr>
          <w:p>
            <w:pPr>
              <w:spacing w:after="0"/>
              <w:rPr>
                <w:sz w:val="11"/>
                <w:szCs w:val="1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Annual Evaluation of CEO</w:t>
      </w:r>
    </w:p>
    <w:p>
      <w:pPr>
        <w:sectPr>
          <w:pgSz w:w="11900" w:h="16838" w:orient="portrait"/>
          <w:cols w:equalWidth="0" w:num="1">
            <w:col w:w="11260"/>
          </w:cols>
          <w:pgMar w:left="240" w:top="459" w:right="399" w:bottom="1440" w:gutter="0" w:footer="0" w:header="0"/>
        </w:sectPr>
      </w:pPr>
    </w:p>
    <w:p>
      <w:pPr>
        <w:spacing w:after="0" w:line="392"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CEO reports annually to the Board regarding achievement of previously established goals and objectives.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 accomplishment of ongoing initiatives in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furtherance of the Company’s long-term strategic objectives, and development of the Company’s top management team. The results of the evaluation are considered by the Compensation Committee in its deliberations when determining the compensation of the CEO, as further described in the “Executive Compensation” on page 35.</w:t>
      </w:r>
    </w:p>
    <w:p>
      <w:pPr>
        <w:spacing w:after="0" w:line="572"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30"/>
          <w:szCs w:val="30"/>
          <w:color w:val="00A1DF"/>
        </w:rPr>
        <w:t>Director Orientation and Continuing Education</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All new directors participate in the Company’s director orientation program, which generally commences promptly after the meeting at which a new director is elected. The Governance Committee oversees this orientation program to on-board new directors through a review of background material and meetings with senior management. The orientation also includes tours of GM plant(s), the Design Studio at the Warren Technical Center, dealer visits and/or auto show events. The orientation enables new directors to become familiar with the Company’s business and strategic plans; significant financial matters; core values, including ethics, compliance programs, and corporate governance practices; and other key policies and practices, including, but not limited to,</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sustainability, vehicle and workplace safety, public policy and governance relations, risk management, and investor relations.</w:t>
      </w:r>
    </w:p>
    <w:p>
      <w:pPr>
        <w:spacing w:after="0" w:line="88"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Continuing education opportunities are provided to keep directors updated with information about the Company and its strategy, operations, products, and other matters relevant to Board service. Board members are encouraged to visit GM facilities, dealers, auto shows, and other key corporate and industry events to enhance their understanding of the Company and its competitors in the auto industry. In addition, all directors are encouraged to attend, at our expense, director continuing education programs sponsored by governance organizations and other institutions.</w:t>
      </w:r>
    </w:p>
    <w:p>
      <w:pPr>
        <w:spacing w:after="0" w:line="465"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30"/>
          <w:szCs w:val="30"/>
          <w:color w:val="00A1DF"/>
        </w:rPr>
        <w:t>Director Service on Other Public Company Boards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Board recognizes that service on other public company boards provides valuable governance and leadership experience that benefits the Company. The Board also believes, however, that it is critical that directors dedicate sufficient time to their service on the Company’s Board. Directors are expected to advise the Chairman of the Board, Independent Lead Director, or Chair of the Governance Committee in advance of accepting an invitation to serve on another board of directors or any audit committee of another public company board. This provides an opportunity to assess the impact of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would have less time to devote to Board service than a director whose principal occupation is serving on boards.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Corporate Governance Guidelines provide that without obtaining the approval of the Board:</w:t>
      </w:r>
    </w:p>
    <w:p>
      <w:pPr>
        <w:spacing w:after="0" w:line="101" w:lineRule="exact"/>
        <w:rPr>
          <w:sz w:val="20"/>
          <w:szCs w:val="20"/>
          <w:color w:val="auto"/>
        </w:rPr>
      </w:pPr>
    </w:p>
    <w:p>
      <w:pPr>
        <w:ind w:left="200" w:right="40" w:hanging="191"/>
        <w:spacing w:after="0" w:line="260" w:lineRule="auto"/>
        <w:tabs>
          <w:tab w:leader="none" w:pos="20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A director may not serve on the boards of more than four other public companies (excluding nonprofits and subsidiaries); and</w:t>
      </w:r>
    </w:p>
    <w:p>
      <w:pPr>
        <w:spacing w:after="0" w:line="101" w:lineRule="exact"/>
        <w:rPr>
          <w:rFonts w:ascii="Arial" w:cs="Arial" w:eastAsia="Arial" w:hAnsi="Arial"/>
          <w:sz w:val="16"/>
          <w:szCs w:val="16"/>
          <w:color w:val="00A1DF"/>
        </w:rPr>
      </w:pPr>
    </w:p>
    <w:p>
      <w:pPr>
        <w:ind w:left="200" w:right="60" w:hanging="191"/>
        <w:spacing w:after="0" w:line="260" w:lineRule="auto"/>
        <w:tabs>
          <w:tab w:leader="none" w:pos="20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No member of the Audit Committee may serve on more than two other public company audit committees.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are in compliance with this policy.</w:t>
      </w:r>
    </w:p>
    <w:p>
      <w:pPr>
        <w:spacing w:after="0" w:line="113"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In general, senior members of management may not serve on the board of more than one other public company or for-profit entity and must obtain the approval of the Governance Committee prior to accepting an invitation to serve on an outside board.</w:t>
      </w:r>
    </w:p>
    <w:p>
      <w:pPr>
        <w:spacing w:after="0" w:line="298"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Compensation Committee Interlocks and Insider Participation</w:t>
      </w:r>
    </w:p>
    <w:p>
      <w:pPr>
        <w:spacing w:after="0" w:line="284"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During 2017, and as of the date of this Proxy Statement, none of the members of the Compensation Committee was or is an officer or employee of the Company, and no executive officer of the Company served or serves on the compensation committee or board of any company that employed or employs any member of the Company’s Compensation Committee or Board of Directors.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Shareholder Engagement</w:t>
      </w:r>
    </w:p>
    <w:p>
      <w:pPr>
        <w:spacing w:after="0" w:line="176"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A priority for the Board is to meet with and hear from shareholders. This dialogue helps the Board and the senior management team gain feedback on a variety of topics, including strategic and financial performance, operations, products, executive compensation, Board composition, and leadership structure as well as important environmental and social issues. The constructive insights, experiences, and ideas exchanged during these engagements enable your Board to further evaluate and assess key initiatives from different perspectives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204470</wp:posOffset>
            </wp:positionV>
            <wp:extent cx="1406525" cy="31470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06525" cy="31470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A1DF"/>
        </w:rPr>
        <w:t>DIRECTOR-</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A1DF"/>
        </w:rPr>
        <w:t>SHAREHOLDER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A1DF"/>
        </w:rPr>
        <w:t>ENGAGEMENT POLICY</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(adopted in 2016)</w:t>
      </w:r>
    </w:p>
    <w:p>
      <w:pPr>
        <w:spacing w:after="0" w:line="216" w:lineRule="exact"/>
        <w:rPr>
          <w:sz w:val="20"/>
          <w:szCs w:val="20"/>
          <w:color w:val="auto"/>
        </w:rPr>
      </w:pPr>
    </w:p>
    <w:p>
      <w:pPr>
        <w:ind w:left="520" w:right="520" w:hanging="161"/>
        <w:spacing w:after="0" w:line="26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Frequent and</w:t>
      </w:r>
      <w:r>
        <w:rPr>
          <w:rFonts w:ascii="Arial" w:cs="Arial" w:eastAsia="Arial" w:hAnsi="Arial"/>
          <w:sz w:val="16"/>
          <w:szCs w:val="16"/>
          <w:color w:val="00A1DF"/>
        </w:rPr>
        <w:t xml:space="preserve"> </w:t>
      </w:r>
      <w:r>
        <w:rPr>
          <w:rFonts w:ascii="Arial" w:cs="Arial" w:eastAsia="Arial" w:hAnsi="Arial"/>
          <w:sz w:val="16"/>
          <w:szCs w:val="16"/>
          <w:color w:val="000000"/>
        </w:rPr>
        <w:t>recurring proactive</w:t>
      </w:r>
    </w:p>
    <w:p>
      <w:pPr>
        <w:jc w:val="both"/>
        <w:ind w:left="520" w:right="20"/>
        <w:spacing w:after="0" w:line="253" w:lineRule="auto"/>
        <w:rPr>
          <w:sz w:val="20"/>
          <w:szCs w:val="20"/>
          <w:color w:val="auto"/>
        </w:rPr>
      </w:pPr>
      <w:r>
        <w:rPr>
          <w:rFonts w:ascii="Arial" w:cs="Arial" w:eastAsia="Arial" w:hAnsi="Arial"/>
          <w:sz w:val="16"/>
          <w:szCs w:val="16"/>
          <w:color w:val="auto"/>
        </w:rPr>
        <w:t>and reactive engagement sessions with our largest shareholders</w:t>
      </w:r>
    </w:p>
    <w:p>
      <w:pPr>
        <w:spacing w:after="0" w:line="203" w:lineRule="exact"/>
        <w:rPr>
          <w:sz w:val="20"/>
          <w:szCs w:val="20"/>
          <w:color w:val="auto"/>
        </w:rPr>
      </w:pPr>
    </w:p>
    <w:p>
      <w:pPr>
        <w:jc w:val="both"/>
        <w:ind w:left="520" w:hanging="161"/>
        <w:spacing w:after="0" w:line="296" w:lineRule="auto"/>
        <w:rPr>
          <w:sz w:val="20"/>
          <w:szCs w:val="20"/>
          <w:color w:val="auto"/>
        </w:rPr>
      </w:pPr>
      <w:r>
        <w:rPr>
          <w:rFonts w:ascii="Arial" w:cs="Arial" w:eastAsia="Arial" w:hAnsi="Arial"/>
          <w:sz w:val="15"/>
          <w:szCs w:val="15"/>
          <w:color w:val="00A1DF"/>
        </w:rPr>
        <w:t xml:space="preserve">u </w:t>
      </w:r>
      <w:r>
        <w:rPr>
          <w:rFonts w:ascii="Arial" w:cs="Arial" w:eastAsia="Arial" w:hAnsi="Arial"/>
          <w:sz w:val="15"/>
          <w:szCs w:val="15"/>
          <w:color w:val="000000"/>
        </w:rPr>
        <w:t>Shareholders and analysts</w:t>
      </w:r>
      <w:r>
        <w:rPr>
          <w:rFonts w:ascii="Arial" w:cs="Arial" w:eastAsia="Arial" w:hAnsi="Arial"/>
          <w:sz w:val="15"/>
          <w:szCs w:val="15"/>
          <w:color w:val="00A1DF"/>
        </w:rPr>
        <w:t xml:space="preserve"> </w:t>
      </w:r>
      <w:r>
        <w:rPr>
          <w:rFonts w:ascii="Arial" w:cs="Arial" w:eastAsia="Arial" w:hAnsi="Arial"/>
          <w:sz w:val="15"/>
          <w:szCs w:val="15"/>
          <w:color w:val="000000"/>
        </w:rPr>
        <w:t>invited to Board meetings on an annual basis</w:t>
      </w:r>
    </w:p>
    <w:p>
      <w:pPr>
        <w:spacing w:after="0" w:line="168"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i w:val="1"/>
          <w:iCs w:val="1"/>
          <w:color w:val="auto"/>
        </w:rPr>
        <w:t>During 2017, members of the Board, including our Independent Lead Director, met in-person with shareholders representing approximately 25% of shares outstanding.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left="260" w:right="20"/>
        <w:spacing w:after="0" w:line="253" w:lineRule="auto"/>
        <w:rPr>
          <w:sz w:val="20"/>
          <w:szCs w:val="20"/>
          <w:color w:val="auto"/>
        </w:rPr>
      </w:pPr>
      <w:r>
        <w:rPr>
          <w:rFonts w:ascii="Arial" w:cs="Arial" w:eastAsia="Arial" w:hAnsi="Arial"/>
          <w:sz w:val="16"/>
          <w:szCs w:val="16"/>
          <w:color w:val="auto"/>
        </w:rPr>
        <w:t>During 2017, one or more members of management were involved in more than 75 in-person and telephonic meetings on these topics with investors representing more than 45% of shares outstanding. The common themes we heard in 2017 that led to boardroom discussion and action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5325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Borders>
              <w:bottom w:val="single" w:sz="8" w:color="00A1DF"/>
            </w:tcBorders>
          </w:tcPr>
          <w:p>
            <w:pPr>
              <w:ind w:left="1900"/>
              <w:spacing w:after="0"/>
              <w:rPr>
                <w:sz w:val="20"/>
                <w:szCs w:val="20"/>
                <w:color w:val="auto"/>
              </w:rPr>
            </w:pPr>
            <w:r>
              <w:rPr>
                <w:rFonts w:ascii="Arial" w:cs="Arial" w:eastAsia="Arial" w:hAnsi="Arial"/>
                <w:sz w:val="16"/>
                <w:szCs w:val="16"/>
                <w:b w:val="1"/>
                <w:bCs w:val="1"/>
                <w:color w:val="00A1DF"/>
              </w:rPr>
              <w:t>Message</w:t>
            </w:r>
          </w:p>
        </w:tc>
        <w:tc>
          <w:tcPr>
            <w:tcW w:w="4120" w:type="dxa"/>
            <w:vAlign w:val="bottom"/>
            <w:tcBorders>
              <w:bottom w:val="single" w:sz="8" w:color="00A1DF"/>
            </w:tcBorders>
          </w:tcPr>
          <w:p>
            <w:pPr>
              <w:ind w:left="1820"/>
              <w:spacing w:after="0"/>
              <w:rPr>
                <w:sz w:val="20"/>
                <w:szCs w:val="20"/>
                <w:color w:val="auto"/>
              </w:rPr>
            </w:pPr>
            <w:r>
              <w:rPr>
                <w:rFonts w:ascii="Arial" w:cs="Arial" w:eastAsia="Arial" w:hAnsi="Arial"/>
                <w:sz w:val="16"/>
                <w:szCs w:val="16"/>
                <w:b w:val="1"/>
                <w:bCs w:val="1"/>
                <w:color w:val="00A1DF"/>
              </w:rPr>
              <w:t>Actions</w:t>
            </w:r>
          </w:p>
        </w:tc>
      </w:tr>
      <w:tr>
        <w:trPr>
          <w:trHeight w:val="204"/>
        </w:trPr>
        <w:tc>
          <w:tcPr>
            <w:tcW w:w="4280" w:type="dxa"/>
            <w:vAlign w:val="bottom"/>
          </w:tcPr>
          <w:p>
            <w:pPr>
              <w:ind w:left="260"/>
              <w:spacing w:after="0"/>
              <w:rPr>
                <w:sz w:val="20"/>
                <w:szCs w:val="20"/>
                <w:color w:val="auto"/>
              </w:rPr>
            </w:pPr>
            <w:r>
              <w:rPr>
                <w:rFonts w:ascii="Arial" w:cs="Arial" w:eastAsia="Arial" w:hAnsi="Arial"/>
                <w:sz w:val="16"/>
                <w:szCs w:val="16"/>
                <w:color w:val="auto"/>
              </w:rPr>
              <w:t>Received positive feedback regarding the quality and</w:t>
            </w:r>
          </w:p>
        </w:tc>
        <w:tc>
          <w:tcPr>
            <w:tcW w:w="4120" w:type="dxa"/>
            <w:vAlign w:val="bottom"/>
          </w:tcPr>
          <w:p>
            <w:pPr>
              <w:ind w:left="140"/>
              <w:spacing w:after="0"/>
              <w:rPr>
                <w:sz w:val="20"/>
                <w:szCs w:val="20"/>
                <w:color w:val="auto"/>
              </w:rPr>
            </w:pPr>
            <w:r>
              <w:rPr>
                <w:rFonts w:ascii="Arial" w:cs="Arial" w:eastAsia="Arial" w:hAnsi="Arial"/>
                <w:sz w:val="16"/>
                <w:szCs w:val="16"/>
                <w:color w:val="auto"/>
              </w:rPr>
              <w:t>See pages 7–9 for additional information on why we</w:t>
            </w:r>
          </w:p>
        </w:tc>
      </w:tr>
      <w:tr>
        <w:trPr>
          <w:trHeight w:val="195"/>
        </w:trPr>
        <w:tc>
          <w:tcPr>
            <w:tcW w:w="4280" w:type="dxa"/>
            <w:vAlign w:val="bottom"/>
          </w:tcPr>
          <w:p>
            <w:pPr>
              <w:ind w:left="260"/>
              <w:spacing w:after="0"/>
              <w:rPr>
                <w:sz w:val="20"/>
                <w:szCs w:val="20"/>
                <w:color w:val="auto"/>
              </w:rPr>
            </w:pPr>
            <w:r>
              <w:rPr>
                <w:rFonts w:ascii="Arial" w:cs="Arial" w:eastAsia="Arial" w:hAnsi="Arial"/>
                <w:sz w:val="16"/>
                <w:szCs w:val="16"/>
                <w:color w:val="auto"/>
              </w:rPr>
              <w:t>diversity of the Board.</w:t>
            </w:r>
          </w:p>
        </w:tc>
        <w:tc>
          <w:tcPr>
            <w:tcW w:w="4120" w:type="dxa"/>
            <w:vAlign w:val="bottom"/>
          </w:tcPr>
          <w:p>
            <w:pPr>
              <w:ind w:left="140"/>
              <w:spacing w:after="0"/>
              <w:rPr>
                <w:sz w:val="20"/>
                <w:szCs w:val="20"/>
                <w:color w:val="auto"/>
              </w:rPr>
            </w:pPr>
            <w:r>
              <w:rPr>
                <w:rFonts w:ascii="Arial" w:cs="Arial" w:eastAsia="Arial" w:hAnsi="Arial"/>
                <w:sz w:val="16"/>
                <w:szCs w:val="16"/>
                <w:color w:val="auto"/>
              </w:rPr>
              <w:t>have the right Board at the right time for GM.</w:t>
            </w:r>
          </w:p>
        </w:tc>
      </w:tr>
      <w:tr>
        <w:trPr>
          <w:trHeight w:val="33"/>
        </w:trPr>
        <w:tc>
          <w:tcPr>
            <w:tcW w:w="4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198"/>
        </w:trPr>
        <w:tc>
          <w:tcPr>
            <w:tcW w:w="4280" w:type="dxa"/>
            <w:vAlign w:val="bottom"/>
          </w:tcPr>
          <w:p>
            <w:pPr>
              <w:ind w:left="260"/>
              <w:spacing w:after="0"/>
              <w:rPr>
                <w:sz w:val="20"/>
                <w:szCs w:val="20"/>
                <w:color w:val="auto"/>
              </w:rPr>
            </w:pPr>
            <w:r>
              <w:rPr>
                <w:rFonts w:ascii="Arial" w:cs="Arial" w:eastAsia="Arial" w:hAnsi="Arial"/>
                <w:sz w:val="16"/>
                <w:szCs w:val="16"/>
                <w:color w:val="auto"/>
              </w:rPr>
              <w:t>Encouraged to enhance our Audit Committee report in</w:t>
            </w:r>
          </w:p>
        </w:tc>
        <w:tc>
          <w:tcPr>
            <w:tcW w:w="4120" w:type="dxa"/>
            <w:vAlign w:val="bottom"/>
          </w:tcPr>
          <w:p>
            <w:pPr>
              <w:ind w:left="140"/>
              <w:spacing w:after="0"/>
              <w:rPr>
                <w:sz w:val="20"/>
                <w:szCs w:val="20"/>
                <w:color w:val="auto"/>
              </w:rPr>
            </w:pPr>
            <w:r>
              <w:rPr>
                <w:rFonts w:ascii="Arial" w:cs="Arial" w:eastAsia="Arial" w:hAnsi="Arial"/>
                <w:sz w:val="16"/>
                <w:szCs w:val="16"/>
                <w:color w:val="auto"/>
              </w:rPr>
              <w:t>See page 70 for the 2017 audit committee report.</w:t>
            </w:r>
          </w:p>
        </w:tc>
      </w:tr>
      <w:tr>
        <w:trPr>
          <w:trHeight w:val="195"/>
        </w:trPr>
        <w:tc>
          <w:tcPr>
            <w:tcW w:w="4280" w:type="dxa"/>
            <w:vAlign w:val="bottom"/>
          </w:tcPr>
          <w:p>
            <w:pPr>
              <w:ind w:left="260"/>
              <w:spacing w:after="0"/>
              <w:rPr>
                <w:sz w:val="20"/>
                <w:szCs w:val="20"/>
                <w:color w:val="auto"/>
              </w:rPr>
            </w:pPr>
            <w:r>
              <w:rPr>
                <w:rFonts w:ascii="Arial" w:cs="Arial" w:eastAsia="Arial" w:hAnsi="Arial"/>
                <w:sz w:val="16"/>
                <w:szCs w:val="16"/>
                <w:color w:val="auto"/>
              </w:rPr>
              <w:t>the Proxy Statement.</w:t>
            </w:r>
          </w:p>
        </w:tc>
        <w:tc>
          <w:tcPr>
            <w:tcW w:w="4120" w:type="dxa"/>
            <w:vAlign w:val="bottom"/>
          </w:tcPr>
          <w:p>
            <w:pPr>
              <w:spacing w:after="0"/>
              <w:rPr>
                <w:sz w:val="16"/>
                <w:szCs w:val="16"/>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198"/>
        </w:trPr>
        <w:tc>
          <w:tcPr>
            <w:tcW w:w="4280" w:type="dxa"/>
            <w:vAlign w:val="bottom"/>
          </w:tcPr>
          <w:p>
            <w:pPr>
              <w:ind w:left="260"/>
              <w:spacing w:after="0"/>
              <w:rPr>
                <w:sz w:val="20"/>
                <w:szCs w:val="20"/>
                <w:color w:val="auto"/>
              </w:rPr>
            </w:pPr>
            <w:r>
              <w:rPr>
                <w:rFonts w:ascii="Arial" w:cs="Arial" w:eastAsia="Arial" w:hAnsi="Arial"/>
                <w:sz w:val="16"/>
                <w:szCs w:val="16"/>
                <w:color w:val="auto"/>
              </w:rPr>
              <w:t>Encouraged to enhance transparency about the</w:t>
            </w:r>
          </w:p>
        </w:tc>
        <w:tc>
          <w:tcPr>
            <w:tcW w:w="4120" w:type="dxa"/>
            <w:vAlign w:val="bottom"/>
          </w:tcPr>
          <w:p>
            <w:pPr>
              <w:ind w:left="140"/>
              <w:spacing w:after="0"/>
              <w:rPr>
                <w:sz w:val="20"/>
                <w:szCs w:val="20"/>
                <w:color w:val="auto"/>
              </w:rPr>
            </w:pPr>
            <w:r>
              <w:rPr>
                <w:rFonts w:ascii="Arial" w:cs="Arial" w:eastAsia="Arial" w:hAnsi="Arial"/>
                <w:sz w:val="16"/>
                <w:szCs w:val="16"/>
                <w:color w:val="auto"/>
              </w:rPr>
              <w:t>See pages 27–28 for insights on the Board’s new</w:t>
            </w:r>
          </w:p>
        </w:tc>
      </w:tr>
      <w:tr>
        <w:trPr>
          <w:trHeight w:val="195"/>
        </w:trPr>
        <w:tc>
          <w:tcPr>
            <w:tcW w:w="4280" w:type="dxa"/>
            <w:vAlign w:val="bottom"/>
          </w:tcPr>
          <w:p>
            <w:pPr>
              <w:ind w:left="260"/>
              <w:spacing w:after="0"/>
              <w:rPr>
                <w:sz w:val="20"/>
                <w:szCs w:val="20"/>
                <w:color w:val="auto"/>
              </w:rPr>
            </w:pPr>
            <w:r>
              <w:rPr>
                <w:rFonts w:ascii="Arial" w:cs="Arial" w:eastAsia="Arial" w:hAnsi="Arial"/>
                <w:sz w:val="16"/>
                <w:szCs w:val="16"/>
                <w:color w:val="auto"/>
              </w:rPr>
              <w:t>Board’s role in overseeing cybersecurity.</w:t>
            </w:r>
          </w:p>
        </w:tc>
        <w:tc>
          <w:tcPr>
            <w:tcW w:w="4120" w:type="dxa"/>
            <w:vAlign w:val="bottom"/>
          </w:tcPr>
          <w:p>
            <w:pPr>
              <w:ind w:left="140"/>
              <w:spacing w:after="0"/>
              <w:rPr>
                <w:sz w:val="20"/>
                <w:szCs w:val="20"/>
                <w:color w:val="auto"/>
              </w:rPr>
            </w:pPr>
            <w:r>
              <w:rPr>
                <w:rFonts w:ascii="Arial" w:cs="Arial" w:eastAsia="Arial" w:hAnsi="Arial"/>
                <w:sz w:val="16"/>
                <w:szCs w:val="16"/>
                <w:color w:val="auto"/>
              </w:rPr>
              <w:t>Cybersecurity Committee.</w:t>
            </w:r>
          </w:p>
        </w:tc>
      </w:tr>
      <w:tr>
        <w:trPr>
          <w:trHeight w:val="33"/>
        </w:trPr>
        <w:tc>
          <w:tcPr>
            <w:tcW w:w="4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198"/>
        </w:trPr>
        <w:tc>
          <w:tcPr>
            <w:tcW w:w="4280" w:type="dxa"/>
            <w:vAlign w:val="bottom"/>
          </w:tcPr>
          <w:p>
            <w:pPr>
              <w:ind w:left="260"/>
              <w:spacing w:after="0"/>
              <w:rPr>
                <w:sz w:val="20"/>
                <w:szCs w:val="20"/>
                <w:color w:val="auto"/>
              </w:rPr>
            </w:pPr>
            <w:r>
              <w:rPr>
                <w:rFonts w:ascii="Arial" w:cs="Arial" w:eastAsia="Arial" w:hAnsi="Arial"/>
                <w:sz w:val="16"/>
                <w:szCs w:val="16"/>
                <w:color w:val="auto"/>
              </w:rPr>
              <w:t>Encouraged to include safety and ESG/ sustainability</w:t>
            </w:r>
          </w:p>
        </w:tc>
        <w:tc>
          <w:tcPr>
            <w:tcW w:w="4120" w:type="dxa"/>
            <w:vAlign w:val="bottom"/>
          </w:tcPr>
          <w:p>
            <w:pPr>
              <w:ind w:left="140"/>
              <w:spacing w:after="0"/>
              <w:rPr>
                <w:sz w:val="20"/>
                <w:szCs w:val="20"/>
                <w:color w:val="auto"/>
              </w:rPr>
            </w:pPr>
            <w:r>
              <w:rPr>
                <w:rFonts w:ascii="Arial" w:cs="Arial" w:eastAsia="Arial" w:hAnsi="Arial"/>
                <w:sz w:val="16"/>
                <w:szCs w:val="16"/>
                <w:color w:val="auto"/>
              </w:rPr>
              <w:t>See page 6 for insights into sustainability commitments</w:t>
            </w:r>
          </w:p>
        </w:tc>
      </w:tr>
      <w:tr>
        <w:trPr>
          <w:trHeight w:val="189"/>
        </w:trPr>
        <w:tc>
          <w:tcPr>
            <w:tcW w:w="4280" w:type="dxa"/>
            <w:vAlign w:val="bottom"/>
          </w:tcPr>
          <w:p>
            <w:pPr>
              <w:ind w:left="260"/>
              <w:spacing w:after="0"/>
              <w:rPr>
                <w:sz w:val="20"/>
                <w:szCs w:val="20"/>
                <w:color w:val="auto"/>
              </w:rPr>
            </w:pPr>
            <w:r>
              <w:rPr>
                <w:rFonts w:ascii="Arial" w:cs="Arial" w:eastAsia="Arial" w:hAnsi="Arial"/>
                <w:sz w:val="16"/>
                <w:szCs w:val="16"/>
                <w:color w:val="auto"/>
              </w:rPr>
              <w:t>metrics in executive compensation decisions.</w:t>
            </w:r>
          </w:p>
        </w:tc>
        <w:tc>
          <w:tcPr>
            <w:tcW w:w="4120" w:type="dxa"/>
            <w:vAlign w:val="bottom"/>
          </w:tcPr>
          <w:p>
            <w:pPr>
              <w:ind w:left="140"/>
              <w:spacing w:after="0"/>
              <w:rPr>
                <w:sz w:val="20"/>
                <w:szCs w:val="20"/>
                <w:color w:val="auto"/>
              </w:rPr>
            </w:pPr>
            <w:r>
              <w:rPr>
                <w:rFonts w:ascii="Arial" w:cs="Arial" w:eastAsia="Arial" w:hAnsi="Arial"/>
                <w:sz w:val="16"/>
                <w:szCs w:val="16"/>
                <w:color w:val="auto"/>
              </w:rPr>
              <w:t>and performance and pages 48–51 for achievements</w:t>
            </w:r>
          </w:p>
        </w:tc>
      </w:tr>
      <w:tr>
        <w:trPr>
          <w:trHeight w:val="195"/>
        </w:trPr>
        <w:tc>
          <w:tcPr>
            <w:tcW w:w="4280" w:type="dxa"/>
            <w:vAlign w:val="bottom"/>
          </w:tcPr>
          <w:p>
            <w:pPr>
              <w:spacing w:after="0"/>
              <w:rPr>
                <w:sz w:val="16"/>
                <w:szCs w:val="16"/>
                <w:color w:val="auto"/>
              </w:rPr>
            </w:pPr>
          </w:p>
        </w:tc>
        <w:tc>
          <w:tcPr>
            <w:tcW w:w="4120" w:type="dxa"/>
            <w:vAlign w:val="bottom"/>
          </w:tcPr>
          <w:p>
            <w:pPr>
              <w:ind w:left="140"/>
              <w:spacing w:after="0"/>
              <w:rPr>
                <w:sz w:val="20"/>
                <w:szCs w:val="20"/>
                <w:color w:val="auto"/>
              </w:rPr>
            </w:pPr>
            <w:r>
              <w:rPr>
                <w:rFonts w:ascii="Arial" w:cs="Arial" w:eastAsia="Arial" w:hAnsi="Arial"/>
                <w:sz w:val="16"/>
                <w:szCs w:val="16"/>
                <w:color w:val="auto"/>
              </w:rPr>
              <w:t>by our key executives.</w:t>
            </w:r>
          </w:p>
        </w:tc>
      </w:tr>
      <w:tr>
        <w:trPr>
          <w:trHeight w:val="47"/>
        </w:trPr>
        <w:tc>
          <w:tcPr>
            <w:tcW w:w="4280" w:type="dxa"/>
            <w:vAlign w:val="bottom"/>
            <w:tcBorders>
              <w:bottom w:val="single" w:sz="8" w:color="0033A0"/>
            </w:tcBorders>
          </w:tcPr>
          <w:p>
            <w:pPr>
              <w:spacing w:after="0"/>
              <w:rPr>
                <w:sz w:val="4"/>
                <w:szCs w:val="4"/>
                <w:color w:val="auto"/>
              </w:rPr>
            </w:pPr>
          </w:p>
        </w:tc>
        <w:tc>
          <w:tcPr>
            <w:tcW w:w="4120" w:type="dxa"/>
            <w:vAlign w:val="bottom"/>
            <w:tcBorders>
              <w:bottom w:val="single" w:sz="8" w:color="0033A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5351145" cy="1071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51145" cy="1071880"/>
                    </a:xfrm>
                    <a:prstGeom prst="rect">
                      <a:avLst/>
                    </a:prstGeom>
                    <a:noFill/>
                  </pic:spPr>
                </pic:pic>
              </a:graphicData>
            </a:graphic>
          </wp:anchor>
        </w:drawing>
      </w:r>
    </w:p>
    <w:p>
      <w:pPr>
        <w:spacing w:after="0" w:line="372" w:lineRule="exact"/>
        <w:rPr>
          <w:sz w:val="20"/>
          <w:szCs w:val="20"/>
          <w:color w:val="auto"/>
        </w:rPr>
      </w:pPr>
    </w:p>
    <w:p>
      <w:pPr>
        <w:jc w:val="center"/>
        <w:ind w:right="-239"/>
        <w:spacing w:after="0"/>
        <w:rPr>
          <w:sz w:val="20"/>
          <w:szCs w:val="20"/>
          <w:color w:val="auto"/>
        </w:rPr>
      </w:pPr>
      <w:r>
        <w:rPr>
          <w:sz w:val="1"/>
          <w:szCs w:val="1"/>
          <w:color w:val="auto"/>
        </w:rPr>
        <w:drawing>
          <wp:inline distT="0" distB="0" distL="0" distR="0">
            <wp:extent cx="308610" cy="2146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8610" cy="214630"/>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23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Instructions on contacting our Board of Directors is available on our website at:</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00A1DF"/>
        </w:rPr>
        <w:t>gm.com/investors/corporate-governance.</w:t>
      </w:r>
    </w:p>
    <w:p>
      <w:pPr>
        <w:spacing w:after="0" w:line="582" w:lineRule="exact"/>
        <w:rPr>
          <w:sz w:val="20"/>
          <w:szCs w:val="20"/>
          <w:color w:val="auto"/>
        </w:rPr>
      </w:pPr>
    </w:p>
    <w:p>
      <w:pPr>
        <w:sectPr>
          <w:pgSz w:w="11900" w:h="16838" w:orient="portrait"/>
          <w:cols w:equalWidth="0" w:num="2">
            <w:col w:w="2380" w:space="460"/>
            <w:col w:w="8400"/>
          </w:cols>
          <w:pgMar w:left="240" w:top="459" w:right="419" w:bottom="1440" w:gutter="0" w:footer="0" w:header="0"/>
          <w:type w:val="continuous"/>
        </w:sectPr>
      </w:pPr>
    </w:p>
    <w:p>
      <w:pPr>
        <w:spacing w:after="0" w:line="18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Shareholder Protections</w:t>
      </w:r>
    </w:p>
    <w:p>
      <w:pPr>
        <w:spacing w:after="0" w:line="176"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Your Board is committed to governance structures and practices that increase shareholder value and protect important shareholder rights. Our Governance Committee regularly reviews these structures and practices, which include the following:</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Supermajority of independent directors serving on the Board, with all</w:t>
            </w:r>
          </w:p>
        </w:tc>
        <w:tc>
          <w:tcPr>
            <w:tcW w:w="340" w:type="dxa"/>
            <w:vAlign w:val="bottom"/>
            <w:shd w:val="clear" w:color="auto" w:fill="E5F5FB"/>
          </w:tcPr>
          <w:p>
            <w:pPr>
              <w:ind w:left="200"/>
              <w:spacing w:after="0"/>
              <w:rPr>
                <w:sz w:val="20"/>
                <w:szCs w:val="20"/>
                <w:color w:val="auto"/>
              </w:rPr>
            </w:pPr>
            <w:r>
              <w:rPr>
                <w:rFonts w:ascii="Arial" w:cs="Arial" w:eastAsia="Arial" w:hAnsi="Arial"/>
                <w:sz w:val="16"/>
                <w:szCs w:val="16"/>
                <w:color w:val="00A1DF"/>
              </w:rPr>
              <w:t>u</w:t>
            </w: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Proxy  access  permitting  a  shareholder,  or  a  group  of  up  to  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E5F5FB"/>
          </w:tcPr>
          <w:p>
            <w:pPr>
              <w:ind w:left="260"/>
              <w:spacing w:after="0"/>
              <w:rPr>
                <w:sz w:val="20"/>
                <w:szCs w:val="20"/>
                <w:color w:val="auto"/>
              </w:rPr>
            </w:pPr>
            <w:r>
              <w:rPr>
                <w:rFonts w:ascii="Arial" w:cs="Arial" w:eastAsia="Arial" w:hAnsi="Arial"/>
                <w:sz w:val="16"/>
                <w:szCs w:val="16"/>
                <w:color w:val="auto"/>
              </w:rPr>
              <w:t>standing committees (except the Executive Committee) composed</w:t>
            </w:r>
          </w:p>
        </w:tc>
        <w:tc>
          <w:tcPr>
            <w:tcW w:w="340" w:type="dxa"/>
            <w:vAlign w:val="bottom"/>
            <w:shd w:val="clear" w:color="auto" w:fill="E5F5FB"/>
          </w:tcPr>
          <w:p>
            <w:pPr>
              <w:spacing w:after="0"/>
              <w:rPr>
                <w:sz w:val="16"/>
                <w:szCs w:val="16"/>
                <w:color w:val="auto"/>
              </w:rPr>
            </w:pP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shareholders owning at least 3% of the Company’s outstanding voting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E5F5FB"/>
          </w:tcPr>
          <w:p>
            <w:pPr>
              <w:ind w:left="260"/>
              <w:spacing w:after="0"/>
              <w:rPr>
                <w:sz w:val="20"/>
                <w:szCs w:val="20"/>
                <w:color w:val="auto"/>
              </w:rPr>
            </w:pPr>
            <w:r>
              <w:rPr>
                <w:rFonts w:ascii="Arial" w:cs="Arial" w:eastAsia="Arial" w:hAnsi="Arial"/>
                <w:sz w:val="16"/>
                <w:szCs w:val="16"/>
                <w:color w:val="auto"/>
              </w:rPr>
              <w:t>entirely of independent directors;</w:t>
            </w:r>
          </w:p>
        </w:tc>
        <w:tc>
          <w:tcPr>
            <w:tcW w:w="340" w:type="dxa"/>
            <w:vAlign w:val="bottom"/>
            <w:shd w:val="clear" w:color="auto" w:fill="E5F5FB"/>
          </w:tcPr>
          <w:p>
            <w:pPr>
              <w:spacing w:after="0"/>
              <w:rPr>
                <w:sz w:val="16"/>
                <w:szCs w:val="16"/>
                <w:color w:val="auto"/>
              </w:rPr>
            </w:pP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shares continuously for at least three years, to nominate and include 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Annual election of all directors;</w:t>
            </w:r>
          </w:p>
        </w:tc>
        <w:tc>
          <w:tcPr>
            <w:tcW w:w="340" w:type="dxa"/>
            <w:vAlign w:val="bottom"/>
            <w:shd w:val="clear" w:color="auto" w:fill="E5F5FB"/>
          </w:tcPr>
          <w:p>
            <w:pPr>
              <w:spacing w:after="0"/>
              <w:rPr>
                <w:sz w:val="16"/>
                <w:szCs w:val="16"/>
                <w:color w:val="auto"/>
              </w:rPr>
            </w:pP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the Company’s proxy materials director nominees (two individuals or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400" w:type="dxa"/>
            <w:vAlign w:val="bottom"/>
            <w:vMerge w:val="continue"/>
            <w:shd w:val="clear" w:color="auto" w:fill="E5F5FB"/>
          </w:tcPr>
          <w:p>
            <w:pPr>
              <w:spacing w:after="0"/>
              <w:rPr>
                <w:sz w:val="11"/>
                <w:szCs w:val="11"/>
                <w:color w:val="auto"/>
              </w:rPr>
            </w:pPr>
          </w:p>
        </w:tc>
        <w:tc>
          <w:tcPr>
            <w:tcW w:w="340" w:type="dxa"/>
            <w:vAlign w:val="bottom"/>
            <w:shd w:val="clear" w:color="auto" w:fill="E5F5FB"/>
          </w:tcPr>
          <w:p>
            <w:pPr>
              <w:spacing w:after="0"/>
              <w:rPr>
                <w:sz w:val="11"/>
                <w:szCs w:val="11"/>
                <w:color w:val="auto"/>
              </w:rPr>
            </w:pPr>
          </w:p>
        </w:tc>
        <w:tc>
          <w:tcPr>
            <w:tcW w:w="528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20% of the Board, whichever is greater);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00" w:type="dxa"/>
            <w:vAlign w:val="bottom"/>
            <w:shd w:val="clear" w:color="auto" w:fill="E5F5FB"/>
          </w:tcPr>
          <w:p>
            <w:pPr>
              <w:spacing w:after="0"/>
              <w:rPr>
                <w:sz w:val="5"/>
                <w:szCs w:val="5"/>
                <w:color w:val="auto"/>
              </w:rPr>
            </w:pPr>
          </w:p>
        </w:tc>
        <w:tc>
          <w:tcPr>
            <w:tcW w:w="340" w:type="dxa"/>
            <w:vAlign w:val="bottom"/>
            <w:shd w:val="clear" w:color="auto" w:fill="E5F5FB"/>
          </w:tcPr>
          <w:p>
            <w:pPr>
              <w:spacing w:after="0"/>
              <w:rPr>
                <w:sz w:val="5"/>
                <w:szCs w:val="5"/>
                <w:color w:val="auto"/>
              </w:rPr>
            </w:pPr>
          </w:p>
        </w:tc>
        <w:tc>
          <w:tcPr>
            <w:tcW w:w="5280" w:type="dxa"/>
            <w:vAlign w:val="bottom"/>
            <w:vMerge w:val="continue"/>
            <w:shd w:val="clear" w:color="auto" w:fill="E5F5FB"/>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One-share, one-vote standard;</w:t>
            </w:r>
          </w:p>
        </w:tc>
        <w:tc>
          <w:tcPr>
            <w:tcW w:w="340" w:type="dxa"/>
            <w:vAlign w:val="bottom"/>
            <w:vMerge w:val="restart"/>
            <w:shd w:val="clear" w:color="auto" w:fill="E5F5FB"/>
          </w:tcPr>
          <w:p>
            <w:pPr>
              <w:ind w:left="200"/>
              <w:spacing w:after="0"/>
              <w:rPr>
                <w:sz w:val="20"/>
                <w:szCs w:val="20"/>
                <w:color w:val="auto"/>
              </w:rPr>
            </w:pPr>
            <w:r>
              <w:rPr>
                <w:rFonts w:ascii="Arial" w:cs="Arial" w:eastAsia="Arial" w:hAnsi="Arial"/>
                <w:sz w:val="16"/>
                <w:szCs w:val="16"/>
                <w:color w:val="00A1DF"/>
              </w:rPr>
              <w:t>u</w:t>
            </w:r>
          </w:p>
        </w:tc>
        <w:tc>
          <w:tcPr>
            <w:tcW w:w="528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No poison pill;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400" w:type="dxa"/>
            <w:vAlign w:val="bottom"/>
            <w:shd w:val="clear" w:color="auto" w:fill="E5F5FB"/>
          </w:tcPr>
          <w:p>
            <w:pPr>
              <w:spacing w:after="0"/>
              <w:rPr>
                <w:sz w:val="4"/>
                <w:szCs w:val="4"/>
                <w:color w:val="auto"/>
              </w:rPr>
            </w:pPr>
          </w:p>
        </w:tc>
        <w:tc>
          <w:tcPr>
            <w:tcW w:w="340" w:type="dxa"/>
            <w:vAlign w:val="bottom"/>
            <w:vMerge w:val="continue"/>
            <w:shd w:val="clear" w:color="auto" w:fill="E5F5FB"/>
          </w:tcPr>
          <w:p>
            <w:pPr>
              <w:spacing w:after="0"/>
              <w:rPr>
                <w:sz w:val="4"/>
                <w:szCs w:val="4"/>
                <w:color w:val="auto"/>
              </w:rPr>
            </w:pPr>
          </w:p>
        </w:tc>
        <w:tc>
          <w:tcPr>
            <w:tcW w:w="5280" w:type="dxa"/>
            <w:vAlign w:val="bottom"/>
            <w:vMerge w:val="continue"/>
            <w:shd w:val="clear" w:color="auto" w:fill="E5F5FB"/>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Majority voting standard for the election of directors in uncontested</w:t>
            </w:r>
          </w:p>
        </w:tc>
        <w:tc>
          <w:tcPr>
            <w:tcW w:w="340" w:type="dxa"/>
            <w:vAlign w:val="bottom"/>
            <w:vMerge w:val="restart"/>
            <w:shd w:val="clear" w:color="auto" w:fill="E5F5FB"/>
          </w:tcPr>
          <w:p>
            <w:pPr>
              <w:ind w:left="200"/>
              <w:spacing w:after="0"/>
              <w:rPr>
                <w:sz w:val="20"/>
                <w:szCs w:val="20"/>
                <w:color w:val="auto"/>
              </w:rPr>
            </w:pPr>
            <w:r>
              <w:rPr>
                <w:rFonts w:ascii="Arial" w:cs="Arial" w:eastAsia="Arial" w:hAnsi="Arial"/>
                <w:sz w:val="16"/>
                <w:szCs w:val="16"/>
                <w:color w:val="00A1DF"/>
              </w:rPr>
              <w:t>u</w:t>
            </w:r>
          </w:p>
        </w:tc>
        <w:tc>
          <w:tcPr>
            <w:tcW w:w="528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Executive sessions without management present; and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400" w:type="dxa"/>
            <w:vAlign w:val="bottom"/>
            <w:vMerge w:val="restart"/>
            <w:shd w:val="clear" w:color="auto" w:fill="E5F5FB"/>
          </w:tcPr>
          <w:p>
            <w:pPr>
              <w:ind w:left="260"/>
              <w:spacing w:after="0"/>
              <w:rPr>
                <w:sz w:val="20"/>
                <w:szCs w:val="20"/>
                <w:color w:val="auto"/>
              </w:rPr>
            </w:pPr>
            <w:r>
              <w:rPr>
                <w:rFonts w:ascii="Arial" w:cs="Arial" w:eastAsia="Arial" w:hAnsi="Arial"/>
                <w:sz w:val="16"/>
                <w:szCs w:val="16"/>
                <w:color w:val="auto"/>
              </w:rPr>
              <w:t>elections (plurality voting standard in contested elections), coupled</w:t>
            </w:r>
          </w:p>
        </w:tc>
        <w:tc>
          <w:tcPr>
            <w:tcW w:w="340" w:type="dxa"/>
            <w:vAlign w:val="bottom"/>
            <w:vMerge w:val="continue"/>
            <w:shd w:val="clear" w:color="auto" w:fill="E5F5FB"/>
          </w:tcPr>
          <w:p>
            <w:pPr>
              <w:spacing w:after="0"/>
              <w:rPr>
                <w:sz w:val="5"/>
                <w:szCs w:val="5"/>
                <w:color w:val="auto"/>
              </w:rPr>
            </w:pPr>
          </w:p>
        </w:tc>
        <w:tc>
          <w:tcPr>
            <w:tcW w:w="5280" w:type="dxa"/>
            <w:vAlign w:val="bottom"/>
            <w:vMerge w:val="continue"/>
            <w:shd w:val="clear" w:color="auto" w:fill="E5F5FB"/>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vMerge w:val="continue"/>
            <w:shd w:val="clear" w:color="auto" w:fill="E5F5FB"/>
          </w:tcPr>
          <w:p>
            <w:pPr>
              <w:spacing w:after="0"/>
              <w:rPr>
                <w:sz w:val="11"/>
                <w:szCs w:val="11"/>
                <w:color w:val="auto"/>
              </w:rPr>
            </w:pPr>
          </w:p>
        </w:tc>
        <w:tc>
          <w:tcPr>
            <w:tcW w:w="340" w:type="dxa"/>
            <w:vAlign w:val="bottom"/>
            <w:vMerge w:val="restart"/>
            <w:shd w:val="clear" w:color="auto" w:fill="E5F5FB"/>
          </w:tcPr>
          <w:p>
            <w:pPr>
              <w:ind w:left="200"/>
              <w:spacing w:after="0"/>
              <w:rPr>
                <w:sz w:val="20"/>
                <w:szCs w:val="20"/>
                <w:color w:val="auto"/>
              </w:rPr>
            </w:pPr>
            <w:r>
              <w:rPr>
                <w:rFonts w:ascii="Arial" w:cs="Arial" w:eastAsia="Arial" w:hAnsi="Arial"/>
                <w:sz w:val="16"/>
                <w:szCs w:val="16"/>
                <w:color w:val="00A1DF"/>
              </w:rPr>
              <w:t>u</w:t>
            </w:r>
          </w:p>
        </w:tc>
        <w:tc>
          <w:tcPr>
            <w:tcW w:w="5280" w:type="dxa"/>
            <w:vAlign w:val="bottom"/>
            <w:shd w:val="clear" w:color="auto" w:fill="E5F5FB"/>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E5F5FB"/>
          </w:tcPr>
          <w:p>
            <w:pPr>
              <w:ind w:left="260"/>
              <w:spacing w:after="0"/>
              <w:rPr>
                <w:sz w:val="20"/>
                <w:szCs w:val="20"/>
                <w:color w:val="auto"/>
              </w:rPr>
            </w:pPr>
            <w:r>
              <w:rPr>
                <w:rFonts w:ascii="Arial" w:cs="Arial" w:eastAsia="Arial" w:hAnsi="Arial"/>
                <w:sz w:val="16"/>
                <w:szCs w:val="16"/>
                <w:color w:val="auto"/>
              </w:rPr>
              <w:t>with a director resignation policy;</w:t>
            </w:r>
          </w:p>
        </w:tc>
        <w:tc>
          <w:tcPr>
            <w:tcW w:w="340" w:type="dxa"/>
            <w:vAlign w:val="bottom"/>
            <w:vMerge w:val="continue"/>
            <w:shd w:val="clear" w:color="auto" w:fill="E5F5FB"/>
          </w:tcPr>
          <w:p>
            <w:pPr>
              <w:spacing w:after="0"/>
              <w:rPr>
                <w:sz w:val="16"/>
                <w:szCs w:val="16"/>
                <w:color w:val="auto"/>
              </w:rPr>
            </w:pP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Director-Shareholder Engagement Policy that contemplates proactive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Shareholder right to call for a special meeting;</w:t>
            </w:r>
          </w:p>
        </w:tc>
        <w:tc>
          <w:tcPr>
            <w:tcW w:w="340" w:type="dxa"/>
            <w:vAlign w:val="bottom"/>
            <w:shd w:val="clear" w:color="auto" w:fill="E5F5FB"/>
          </w:tcPr>
          <w:p>
            <w:pPr>
              <w:spacing w:after="0"/>
              <w:rPr>
                <w:sz w:val="16"/>
                <w:szCs w:val="16"/>
                <w:color w:val="auto"/>
              </w:rPr>
            </w:pPr>
          </w:p>
        </w:tc>
        <w:tc>
          <w:tcPr>
            <w:tcW w:w="5280" w:type="dxa"/>
            <w:vAlign w:val="bottom"/>
            <w:shd w:val="clear" w:color="auto" w:fill="E5F5FB"/>
          </w:tcPr>
          <w:p>
            <w:pPr>
              <w:ind w:left="60"/>
              <w:spacing w:after="0"/>
              <w:rPr>
                <w:sz w:val="20"/>
                <w:szCs w:val="20"/>
                <w:color w:val="auto"/>
              </w:rPr>
            </w:pPr>
            <w:r>
              <w:rPr>
                <w:rFonts w:ascii="Arial" w:cs="Arial" w:eastAsia="Arial" w:hAnsi="Arial"/>
                <w:sz w:val="16"/>
                <w:szCs w:val="16"/>
                <w:color w:val="auto"/>
              </w:rPr>
              <w:t>and productive engagement with shareholders.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vMerge w:val="continue"/>
            <w:shd w:val="clear" w:color="auto" w:fill="E5F5FB"/>
          </w:tcPr>
          <w:p>
            <w:pPr>
              <w:spacing w:after="0"/>
              <w:rPr>
                <w:sz w:val="10"/>
                <w:szCs w:val="10"/>
                <w:color w:val="auto"/>
              </w:rPr>
            </w:pPr>
          </w:p>
        </w:tc>
        <w:tc>
          <w:tcPr>
            <w:tcW w:w="340" w:type="dxa"/>
            <w:vAlign w:val="bottom"/>
            <w:shd w:val="clear" w:color="auto" w:fill="E5F5FB"/>
          </w:tcPr>
          <w:p>
            <w:pPr>
              <w:spacing w:after="0"/>
              <w:rPr>
                <w:sz w:val="10"/>
                <w:szCs w:val="10"/>
                <w:color w:val="auto"/>
              </w:rPr>
            </w:pPr>
          </w:p>
        </w:tc>
        <w:tc>
          <w:tcPr>
            <w:tcW w:w="5280" w:type="dxa"/>
            <w:vAlign w:val="bottom"/>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0" w:type="dxa"/>
            <w:vAlign w:val="bottom"/>
            <w:shd w:val="clear" w:color="auto" w:fill="E5F5FB"/>
          </w:tcPr>
          <w:p>
            <w:pPr>
              <w:spacing w:after="0"/>
              <w:rPr>
                <w:sz w:val="16"/>
                <w:szCs w:val="16"/>
                <w:color w:val="auto"/>
              </w:rPr>
            </w:pPr>
          </w:p>
        </w:tc>
        <w:tc>
          <w:tcPr>
            <w:tcW w:w="340" w:type="dxa"/>
            <w:vAlign w:val="bottom"/>
            <w:shd w:val="clear" w:color="auto" w:fill="E5F5FB"/>
          </w:tcPr>
          <w:p>
            <w:pPr>
              <w:spacing w:after="0"/>
              <w:rPr>
                <w:sz w:val="16"/>
                <w:szCs w:val="16"/>
                <w:color w:val="auto"/>
              </w:rPr>
            </w:pPr>
          </w:p>
        </w:tc>
        <w:tc>
          <w:tcPr>
            <w:tcW w:w="5280" w:type="dxa"/>
            <w:vAlign w:val="bottom"/>
            <w:shd w:val="clear" w:color="auto" w:fill="E5F5FB"/>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5420" w:type="dxa"/>
            <w:vAlign w:val="bottom"/>
            <w:gridSpan w:val="2"/>
          </w:tcPr>
          <w:p>
            <w:pPr>
              <w:jc w:val="right"/>
              <w:ind w:right="5179"/>
              <w:spacing w:after="0"/>
              <w:rPr>
                <w:sz w:val="20"/>
                <w:szCs w:val="20"/>
                <w:color w:val="auto"/>
              </w:rPr>
            </w:pPr>
            <w:r>
              <w:rPr>
                <w:rFonts w:ascii="Arial" w:cs="Arial" w:eastAsia="Arial" w:hAnsi="Arial"/>
                <w:sz w:val="14"/>
                <w:szCs w:val="14"/>
                <w:color w:val="0033A0"/>
                <w:w w:val="89"/>
              </w:rPr>
              <w:t>30</w:t>
            </w:r>
          </w:p>
        </w:tc>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-103505</wp:posOffset>
            </wp:positionV>
            <wp:extent cx="617474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29"/>
          <w:szCs w:val="29"/>
          <w:color w:val="00A1DF"/>
        </w:rPr>
        <w:t>Certain Relationships and Related Party Transactions</w:t>
      </w:r>
    </w:p>
    <w:p>
      <w:pPr>
        <w:spacing w:after="0" w:line="186"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Our code of business conduct and ethics, “Winning with Integrity,” requires all of our employees and directors to avoid any activity that is in conflict with our business interests. In addition, your Board has adopted a written policy regarding the review and approval or ratification of “related party transactions.” Under the Related Party Transactions Policy, which is administered by our Governance Committee, directors and executive officers must report any potential related party transactions (including transactions involving immediate family members of directors and executive officers) to the General Counsel or Corporate Secretary to determine whether the transaction constitutes a related party transaction.</w:t>
      </w:r>
    </w:p>
    <w:p>
      <w:pPr>
        <w:spacing w:after="0" w:line="203"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For purposes of our Related Party Transactions Policy, a related party transaction includes transactions in which our Company is a participant, the amount involved exceeds $120,000, and a “related party” has or will have a direct or an indirect material interest. Related parties of our Company consist of directors (including nominees for election as directors), executive officers, shareholders beneficially owning more than 5% of the Company’s voting securities, and the immediate family members of these individuals.</w:t>
      </w:r>
    </w:p>
    <w:p>
      <w:pPr>
        <w:spacing w:after="0" w:line="203"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Once a related party transaction has been identified, the Governance Committee will review all of the relevant facts and circumstances and approve or disapprove entry into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127635</wp:posOffset>
            </wp:positionV>
            <wp:extent cx="3172460" cy="1148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7246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sz w:val="1"/>
          <w:szCs w:val="1"/>
          <w:color w:val="auto"/>
        </w:rPr>
        <w:drawing>
          <wp:inline distT="0" distB="0" distL="0" distR="0">
            <wp:extent cx="308610" cy="21463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8610" cy="214630"/>
                    </a:xfrm>
                    <a:prstGeom prst="rect">
                      <a:avLst/>
                    </a:prstGeom>
                    <a:noFill/>
                    <a:ln>
                      <a:noFill/>
                    </a:ln>
                  </pic:spPr>
                </pic:pic>
              </a:graphicData>
            </a:graphic>
          </wp:inline>
        </w:drawing>
      </w:r>
      <w:r>
        <w:rPr>
          <w:rFonts w:ascii="Arial" w:cs="Arial" w:eastAsia="Arial" w:hAnsi="Arial"/>
          <w:sz w:val="22"/>
          <w:szCs w:val="22"/>
          <w:b w:val="1"/>
          <w:bCs w:val="1"/>
          <w:color w:val="0033A0"/>
        </w:rPr>
        <w:t xml:space="preserve"> Find more online.</w:t>
      </w:r>
    </w:p>
    <w:p>
      <w:pPr>
        <w:spacing w:after="0" w:line="239"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Our Related Party Transactions Policy is available on our</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i w:val="1"/>
          <w:iCs w:val="1"/>
          <w:color w:val="00A1DF"/>
        </w:rPr>
        <w:t>gm.com/investors/corporate-governance.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25"/>
          <w:szCs w:val="25"/>
          <w:color w:val="0033A0"/>
        </w:rPr>
      </w:pPr>
      <w:r>
        <w:rPr>
          <w:rFonts w:ascii="Arial" w:cs="Arial" w:eastAsia="Arial" w:hAnsi="Arial"/>
          <w:sz w:val="25"/>
          <w:szCs w:val="25"/>
          <w:color w:val="auto"/>
        </w:rPr>
        <w:t>Factors Used in Assessing Related Party Transactions</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5440" w:type="dxa"/>
            <w:vAlign w:val="bottom"/>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terms of the related party transaction are fair to the</w:t>
            </w:r>
          </w:p>
        </w:tc>
        <w:tc>
          <w:tcPr>
            <w:tcW w:w="5580" w:type="dxa"/>
            <w:vAlign w:val="bottom"/>
            <w:shd w:val="clear" w:color="auto" w:fill="E5F5FB"/>
          </w:tcPr>
          <w:p>
            <w:pPr>
              <w:ind w:left="1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Company was notified about the related party transaction</w:t>
            </w:r>
          </w:p>
        </w:tc>
        <w:tc>
          <w:tcPr>
            <w:tcW w:w="0" w:type="dxa"/>
            <w:vAlign w:val="bottom"/>
          </w:tcPr>
          <w:p>
            <w:pPr>
              <w:spacing w:after="0"/>
              <w:rPr>
                <w:sz w:val="1"/>
                <w:szCs w:val="1"/>
                <w:color w:val="auto"/>
              </w:rPr>
            </w:pPr>
          </w:p>
        </w:tc>
      </w:tr>
      <w:tr>
        <w:trPr>
          <w:trHeight w:val="189"/>
        </w:trPr>
        <w:tc>
          <w:tcPr>
            <w:tcW w:w="5440" w:type="dxa"/>
            <w:vAlign w:val="bottom"/>
            <w:shd w:val="clear" w:color="auto" w:fill="E5F5FB"/>
          </w:tcPr>
          <w:p>
            <w:pPr>
              <w:ind w:left="260"/>
              <w:spacing w:after="0"/>
              <w:rPr>
                <w:sz w:val="20"/>
                <w:szCs w:val="20"/>
                <w:color w:val="auto"/>
              </w:rPr>
            </w:pPr>
            <w:r>
              <w:rPr>
                <w:rFonts w:ascii="Arial" w:cs="Arial" w:eastAsia="Arial" w:hAnsi="Arial"/>
                <w:sz w:val="16"/>
                <w:szCs w:val="16"/>
                <w:color w:val="auto"/>
              </w:rPr>
              <w:t>Company and on the same basis as if the transaction had occurred</w:t>
            </w:r>
          </w:p>
        </w:tc>
        <w:tc>
          <w:tcPr>
            <w:tcW w:w="5580" w:type="dxa"/>
            <w:vAlign w:val="bottom"/>
            <w:shd w:val="clear" w:color="auto" w:fill="E5F5FB"/>
          </w:tcPr>
          <w:p>
            <w:pPr>
              <w:ind w:left="360"/>
              <w:spacing w:after="0"/>
              <w:rPr>
                <w:sz w:val="20"/>
                <w:szCs w:val="20"/>
                <w:color w:val="auto"/>
              </w:rPr>
            </w:pPr>
            <w:r>
              <w:rPr>
                <w:rFonts w:ascii="Arial" w:cs="Arial" w:eastAsia="Arial" w:hAnsi="Arial"/>
                <w:sz w:val="16"/>
                <w:szCs w:val="16"/>
                <w:color w:val="auto"/>
              </w:rPr>
              <w:t>before its commencement, and if not, why preapproval was not sought</w:t>
            </w:r>
          </w:p>
        </w:tc>
        <w:tc>
          <w:tcPr>
            <w:tcW w:w="0" w:type="dxa"/>
            <w:vAlign w:val="bottom"/>
          </w:tcPr>
          <w:p>
            <w:pPr>
              <w:spacing w:after="0"/>
              <w:rPr>
                <w:sz w:val="1"/>
                <w:szCs w:val="1"/>
                <w:color w:val="auto"/>
              </w:rPr>
            </w:pPr>
          </w:p>
        </w:tc>
      </w:tr>
      <w:tr>
        <w:trPr>
          <w:trHeight w:val="189"/>
        </w:trPr>
        <w:tc>
          <w:tcPr>
            <w:tcW w:w="5440" w:type="dxa"/>
            <w:vAlign w:val="bottom"/>
            <w:shd w:val="clear" w:color="auto" w:fill="E5F5FB"/>
          </w:tcPr>
          <w:p>
            <w:pPr>
              <w:ind w:left="260"/>
              <w:spacing w:after="0"/>
              <w:rPr>
                <w:sz w:val="20"/>
                <w:szCs w:val="20"/>
                <w:color w:val="auto"/>
              </w:rPr>
            </w:pPr>
            <w:r>
              <w:rPr>
                <w:rFonts w:ascii="Arial" w:cs="Arial" w:eastAsia="Arial" w:hAnsi="Arial"/>
                <w:sz w:val="16"/>
                <w:szCs w:val="16"/>
                <w:color w:val="auto"/>
              </w:rPr>
              <w:t>on an arms-length basis;</w:t>
            </w:r>
          </w:p>
        </w:tc>
        <w:tc>
          <w:tcPr>
            <w:tcW w:w="5580" w:type="dxa"/>
            <w:vAlign w:val="bottom"/>
            <w:shd w:val="clear" w:color="auto" w:fill="E5F5FB"/>
          </w:tcPr>
          <w:p>
            <w:pPr>
              <w:ind w:left="360"/>
              <w:spacing w:after="0"/>
              <w:rPr>
                <w:sz w:val="20"/>
                <w:szCs w:val="20"/>
                <w:color w:val="auto"/>
              </w:rPr>
            </w:pPr>
            <w:r>
              <w:rPr>
                <w:rFonts w:ascii="Arial" w:cs="Arial" w:eastAsia="Arial" w:hAnsi="Arial"/>
                <w:sz w:val="16"/>
                <w:szCs w:val="16"/>
                <w:color w:val="auto"/>
              </w:rPr>
              <w:t>and  whether  subsequent  ratification  would  be  detrimental  to  the</w:t>
            </w:r>
          </w:p>
        </w:tc>
        <w:tc>
          <w:tcPr>
            <w:tcW w:w="0" w:type="dxa"/>
            <w:vAlign w:val="bottom"/>
          </w:tcPr>
          <w:p>
            <w:pPr>
              <w:spacing w:after="0"/>
              <w:rPr>
                <w:sz w:val="1"/>
                <w:szCs w:val="1"/>
                <w:color w:val="auto"/>
              </w:rPr>
            </w:pPr>
          </w:p>
        </w:tc>
      </w:tr>
      <w:tr>
        <w:trPr>
          <w:trHeight w:val="195"/>
        </w:trPr>
        <w:tc>
          <w:tcPr>
            <w:tcW w:w="544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there are any compelling business reasons for the Company</w:t>
            </w:r>
          </w:p>
        </w:tc>
        <w:tc>
          <w:tcPr>
            <w:tcW w:w="5580" w:type="dxa"/>
            <w:vAlign w:val="bottom"/>
            <w:shd w:val="clear" w:color="auto" w:fill="E5F5FB"/>
          </w:tcPr>
          <w:p>
            <w:pPr>
              <w:ind w:left="360"/>
              <w:spacing w:after="0"/>
              <w:rPr>
                <w:sz w:val="20"/>
                <w:szCs w:val="20"/>
                <w:color w:val="auto"/>
              </w:rPr>
            </w:pPr>
            <w:r>
              <w:rPr>
                <w:rFonts w:ascii="Arial" w:cs="Arial" w:eastAsia="Arial" w:hAnsi="Arial"/>
                <w:sz w:val="16"/>
                <w:szCs w:val="16"/>
                <w:color w:val="auto"/>
              </w:rPr>
              <w:t>Company; and</w:t>
            </w:r>
          </w:p>
        </w:tc>
        <w:tc>
          <w:tcPr>
            <w:tcW w:w="0" w:type="dxa"/>
            <w:vAlign w:val="bottom"/>
          </w:tcPr>
          <w:p>
            <w:pPr>
              <w:spacing w:after="0"/>
              <w:rPr>
                <w:sz w:val="1"/>
                <w:szCs w:val="1"/>
                <w:color w:val="auto"/>
              </w:rPr>
            </w:pPr>
          </w:p>
        </w:tc>
      </w:tr>
      <w:tr>
        <w:trPr>
          <w:trHeight w:val="116"/>
        </w:trPr>
        <w:tc>
          <w:tcPr>
            <w:tcW w:w="5440" w:type="dxa"/>
            <w:vAlign w:val="bottom"/>
            <w:vMerge w:val="continue"/>
            <w:shd w:val="clear" w:color="auto" w:fill="E5F5FB"/>
          </w:tcPr>
          <w:p>
            <w:pPr>
              <w:spacing w:after="0"/>
              <w:rPr>
                <w:sz w:val="10"/>
                <w:szCs w:val="10"/>
                <w:color w:val="auto"/>
              </w:rPr>
            </w:pPr>
          </w:p>
        </w:tc>
        <w:tc>
          <w:tcPr>
            <w:tcW w:w="5580" w:type="dxa"/>
            <w:vAlign w:val="bottom"/>
            <w:vMerge w:val="restart"/>
            <w:shd w:val="clear" w:color="auto" w:fill="E5F5FB"/>
          </w:tcPr>
          <w:p>
            <w:pPr>
              <w:ind w:left="1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related party transaction would present an improper</w:t>
            </w:r>
          </w:p>
        </w:tc>
        <w:tc>
          <w:tcPr>
            <w:tcW w:w="0" w:type="dxa"/>
            <w:vAlign w:val="bottom"/>
          </w:tcPr>
          <w:p>
            <w:pPr>
              <w:spacing w:after="0"/>
              <w:rPr>
                <w:sz w:val="1"/>
                <w:szCs w:val="1"/>
                <w:color w:val="auto"/>
              </w:rPr>
            </w:pPr>
          </w:p>
        </w:tc>
      </w:tr>
      <w:tr>
        <w:trPr>
          <w:trHeight w:val="189"/>
        </w:trPr>
        <w:tc>
          <w:tcPr>
            <w:tcW w:w="5440" w:type="dxa"/>
            <w:vAlign w:val="bottom"/>
            <w:shd w:val="clear" w:color="auto" w:fill="E5F5FB"/>
          </w:tcPr>
          <w:p>
            <w:pPr>
              <w:ind w:left="260"/>
              <w:spacing w:after="0"/>
              <w:rPr>
                <w:sz w:val="20"/>
                <w:szCs w:val="20"/>
                <w:color w:val="auto"/>
              </w:rPr>
            </w:pPr>
            <w:r>
              <w:rPr>
                <w:rFonts w:ascii="Arial" w:cs="Arial" w:eastAsia="Arial" w:hAnsi="Arial"/>
                <w:sz w:val="16"/>
                <w:szCs w:val="16"/>
                <w:color w:val="auto"/>
              </w:rPr>
              <w:t>to enter into the related party transaction and the nature of alternative</w:t>
            </w:r>
          </w:p>
        </w:tc>
        <w:tc>
          <w:tcPr>
            <w:tcW w:w="5580" w:type="dxa"/>
            <w:vAlign w:val="bottom"/>
            <w:vMerge w:val="continue"/>
            <w:shd w:val="clear" w:color="auto" w:fill="E5F5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E5F5FB"/>
          </w:tcPr>
          <w:p>
            <w:pPr>
              <w:ind w:left="260"/>
              <w:spacing w:after="0"/>
              <w:rPr>
                <w:sz w:val="20"/>
                <w:szCs w:val="20"/>
                <w:color w:val="auto"/>
              </w:rPr>
            </w:pPr>
            <w:r>
              <w:rPr>
                <w:rFonts w:ascii="Arial" w:cs="Arial" w:eastAsia="Arial" w:hAnsi="Arial"/>
                <w:sz w:val="16"/>
                <w:szCs w:val="16"/>
                <w:color w:val="auto"/>
              </w:rPr>
              <w:t>transactions, if any;</w:t>
            </w:r>
          </w:p>
        </w:tc>
        <w:tc>
          <w:tcPr>
            <w:tcW w:w="5580" w:type="dxa"/>
            <w:vAlign w:val="bottom"/>
            <w:shd w:val="clear" w:color="auto" w:fill="E5F5FB"/>
          </w:tcPr>
          <w:p>
            <w:pPr>
              <w:ind w:left="360"/>
              <w:spacing w:after="0"/>
              <w:rPr>
                <w:sz w:val="20"/>
                <w:szCs w:val="20"/>
                <w:color w:val="auto"/>
              </w:rPr>
            </w:pPr>
            <w:r>
              <w:rPr>
                <w:rFonts w:ascii="Arial" w:cs="Arial" w:eastAsia="Arial" w:hAnsi="Arial"/>
                <w:sz w:val="16"/>
                <w:szCs w:val="16"/>
                <w:color w:val="auto"/>
              </w:rPr>
              <w:t>conflict of interest for any director or executive officer of the Company,</w:t>
            </w:r>
          </w:p>
        </w:tc>
        <w:tc>
          <w:tcPr>
            <w:tcW w:w="0" w:type="dxa"/>
            <w:vAlign w:val="bottom"/>
          </w:tcPr>
          <w:p>
            <w:pPr>
              <w:spacing w:after="0"/>
              <w:rPr>
                <w:sz w:val="1"/>
                <w:szCs w:val="1"/>
                <w:color w:val="auto"/>
              </w:rPr>
            </w:pPr>
          </w:p>
        </w:tc>
      </w:tr>
      <w:tr>
        <w:trPr>
          <w:trHeight w:val="189"/>
        </w:trPr>
        <w:tc>
          <w:tcPr>
            <w:tcW w:w="544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related party transaction would impair the independence</w:t>
            </w:r>
          </w:p>
        </w:tc>
        <w:tc>
          <w:tcPr>
            <w:tcW w:w="5580" w:type="dxa"/>
            <w:vAlign w:val="bottom"/>
            <w:shd w:val="clear" w:color="auto" w:fill="E5F5FB"/>
          </w:tcPr>
          <w:p>
            <w:pPr>
              <w:ind w:left="360"/>
              <w:spacing w:after="0"/>
              <w:rPr>
                <w:sz w:val="20"/>
                <w:szCs w:val="20"/>
                <w:color w:val="auto"/>
              </w:rPr>
            </w:pPr>
            <w:r>
              <w:rPr>
                <w:rFonts w:ascii="Arial" w:cs="Arial" w:eastAsia="Arial" w:hAnsi="Arial"/>
                <w:sz w:val="16"/>
                <w:szCs w:val="16"/>
                <w:color w:val="auto"/>
              </w:rPr>
              <w:t>taking into account the specific facts and circumstances of such</w:t>
            </w:r>
          </w:p>
        </w:tc>
        <w:tc>
          <w:tcPr>
            <w:tcW w:w="0" w:type="dxa"/>
            <w:vAlign w:val="bottom"/>
          </w:tcPr>
          <w:p>
            <w:pPr>
              <w:spacing w:after="0"/>
              <w:rPr>
                <w:sz w:val="1"/>
                <w:szCs w:val="1"/>
                <w:color w:val="auto"/>
              </w:rPr>
            </w:pPr>
          </w:p>
        </w:tc>
      </w:tr>
      <w:tr>
        <w:trPr>
          <w:trHeight w:val="122"/>
        </w:trPr>
        <w:tc>
          <w:tcPr>
            <w:tcW w:w="5440" w:type="dxa"/>
            <w:vAlign w:val="bottom"/>
            <w:vMerge w:val="continue"/>
            <w:shd w:val="clear" w:color="auto" w:fill="E5F5FB"/>
          </w:tcPr>
          <w:p>
            <w:pPr>
              <w:spacing w:after="0"/>
              <w:rPr>
                <w:sz w:val="10"/>
                <w:szCs w:val="10"/>
                <w:color w:val="auto"/>
              </w:rPr>
            </w:pPr>
          </w:p>
        </w:tc>
        <w:tc>
          <w:tcPr>
            <w:tcW w:w="5580" w:type="dxa"/>
            <w:vAlign w:val="bottom"/>
            <w:vMerge w:val="restart"/>
            <w:shd w:val="clear" w:color="auto" w:fill="E5F5FB"/>
          </w:tcPr>
          <w:p>
            <w:pPr>
              <w:ind w:left="360"/>
              <w:spacing w:after="0"/>
              <w:rPr>
                <w:sz w:val="20"/>
                <w:szCs w:val="20"/>
                <w:color w:val="auto"/>
              </w:rPr>
            </w:pPr>
            <w:r>
              <w:rPr>
                <w:rFonts w:ascii="Arial" w:cs="Arial" w:eastAsia="Arial" w:hAnsi="Arial"/>
                <w:sz w:val="16"/>
                <w:szCs w:val="16"/>
                <w:color w:val="auto"/>
              </w:rPr>
              <w:t>transaction.</w:t>
            </w:r>
          </w:p>
        </w:tc>
        <w:tc>
          <w:tcPr>
            <w:tcW w:w="0" w:type="dxa"/>
            <w:vAlign w:val="bottom"/>
          </w:tcPr>
          <w:p>
            <w:pPr>
              <w:spacing w:after="0"/>
              <w:rPr>
                <w:sz w:val="1"/>
                <w:szCs w:val="1"/>
                <w:color w:val="auto"/>
              </w:rPr>
            </w:pPr>
          </w:p>
        </w:tc>
      </w:tr>
      <w:tr>
        <w:trPr>
          <w:trHeight w:val="73"/>
        </w:trPr>
        <w:tc>
          <w:tcPr>
            <w:tcW w:w="5440" w:type="dxa"/>
            <w:vAlign w:val="bottom"/>
            <w:vMerge w:val="restart"/>
            <w:shd w:val="clear" w:color="auto" w:fill="E5F5FB"/>
          </w:tcPr>
          <w:p>
            <w:pPr>
              <w:ind w:left="260"/>
              <w:spacing w:after="0"/>
              <w:rPr>
                <w:sz w:val="20"/>
                <w:szCs w:val="20"/>
                <w:color w:val="auto"/>
              </w:rPr>
            </w:pPr>
            <w:r>
              <w:rPr>
                <w:rFonts w:ascii="Arial" w:cs="Arial" w:eastAsia="Arial" w:hAnsi="Arial"/>
                <w:sz w:val="16"/>
                <w:szCs w:val="16"/>
                <w:color w:val="auto"/>
              </w:rPr>
              <w:t>of an otherwise independent director;</w:t>
            </w:r>
          </w:p>
        </w:tc>
        <w:tc>
          <w:tcPr>
            <w:tcW w:w="5580" w:type="dxa"/>
            <w:vAlign w:val="bottom"/>
            <w:vMerge w:val="continue"/>
            <w:shd w:val="clear" w:color="auto" w:fill="E5F5FB"/>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440" w:type="dxa"/>
            <w:vAlign w:val="bottom"/>
            <w:vMerge w:val="continue"/>
            <w:shd w:val="clear" w:color="auto" w:fill="E5F5FB"/>
          </w:tcPr>
          <w:p>
            <w:pPr>
              <w:spacing w:after="0"/>
              <w:rPr>
                <w:sz w:val="10"/>
                <w:szCs w:val="10"/>
                <w:color w:val="auto"/>
              </w:rPr>
            </w:pPr>
          </w:p>
        </w:tc>
        <w:tc>
          <w:tcPr>
            <w:tcW w:w="5580" w:type="dxa"/>
            <w:vAlign w:val="bottom"/>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440" w:type="dxa"/>
            <w:vAlign w:val="bottom"/>
            <w:shd w:val="clear" w:color="auto" w:fill="E5F5FB"/>
          </w:tcPr>
          <w:p>
            <w:pPr>
              <w:spacing w:after="0"/>
              <w:rPr>
                <w:sz w:val="16"/>
                <w:szCs w:val="16"/>
                <w:color w:val="auto"/>
              </w:rPr>
            </w:pPr>
          </w:p>
        </w:tc>
        <w:tc>
          <w:tcPr>
            <w:tcW w:w="5580" w:type="dxa"/>
            <w:vAlign w:val="bottom"/>
            <w:shd w:val="clear" w:color="auto" w:fill="E5F5FB"/>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Any member of the Governance Committee who has a potential interest in any related party transaction will recuse himself or herself and abstain from voting on the approval or ratification of the related party transaction, but may participate in all or a portion of the Governance Committee’s discussions of the related party transaction, if requested by the Chair of the Governance Committee. As required under SEC rules, we will disclose all related party transactions in our Proxy Statement.</w:t>
      </w:r>
    </w:p>
    <w:p>
      <w:pPr>
        <w:spacing w:after="0" w:line="95"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The son of John Quattrone, our former Senior Vice President, Global Human Resources, is employed by the Company in a non-executive position and in 2017 received compensation of approximately $133,000 and customary Company benefits. His total compensation is similar to the total compensation provided to other employees of the same level with similar responsibilities. The terms of his employment with GM were approved by the Governance Committee pursuant to the Company’s Related Party Transactions Policy.</w:t>
      </w:r>
    </w:p>
    <w:p>
      <w:pPr>
        <w:spacing w:after="0" w:line="95"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On March 2, 2018, we repurchased 2,518,257 shares of our common stock from the UAW Retiree Medical Benefits Trust (the “VEBA Trust”), a greater than 5% beneficial owner of GM’s common stock, at a cash price of $39.71 per share, for a total consideration of $100 million (the “Repurchase”). The price paid in the Repurchase represented a 1% discount over the closing price of our common stock on the day the Repurchase was announced. The Repurchase was made pursuant to our previously authorized stock repurchase program and was approved by the Board pursuant to the Company’s Related Party Transactions Policy.</w:t>
      </w:r>
    </w:p>
    <w:p>
      <w:pPr>
        <w:spacing w:after="0" w:line="119"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31</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38"/>
          <w:szCs w:val="38"/>
          <w:color w:val="0033A0"/>
        </w:rPr>
        <w:t>SECURITY OWNERSHIP INFORMATION</w:t>
      </w:r>
    </w:p>
    <w:p>
      <w:pPr>
        <w:spacing w:after="0" w:line="295" w:lineRule="exact"/>
        <w:rPr>
          <w:sz w:val="20"/>
          <w:szCs w:val="20"/>
          <w:color w:val="auto"/>
        </w:rPr>
      </w:pPr>
    </w:p>
    <w:p>
      <w:pPr>
        <w:ind w:left="200" w:right="120"/>
        <w:spacing w:after="0" w:line="245" w:lineRule="auto"/>
        <w:rPr>
          <w:sz w:val="20"/>
          <w:szCs w:val="20"/>
          <w:color w:val="auto"/>
        </w:rPr>
      </w:pPr>
      <w:r>
        <w:rPr>
          <w:rFonts w:ascii="Arial" w:cs="Arial" w:eastAsia="Arial" w:hAnsi="Arial"/>
          <w:sz w:val="32"/>
          <w:szCs w:val="32"/>
          <w:color w:val="00A1DF"/>
        </w:rPr>
        <w:t>Security Ownership of Directors, Named Executive Officers, and Certain Other Beneficial Owners</w:t>
      </w:r>
    </w:p>
    <w:p>
      <w:pPr>
        <w:spacing w:after="0" w:line="26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beneficial ownership as of April 1, 2018, of our common stock by each director, each NEO, and all directors and executive officers as a group is shown in the following tables, as well as ownership of DSUs and Deferred Salary Stock Units. Each of the individuals listed in the following tables owns less than 1% of the outstanding shares of our common stock; all directors and officers as a group own less than 1% of the outstanding shares. None of the shares shown in the following tables as beneficially owned by directors and executive officers is hedged or pledged as security for any obligation.</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A1DF"/>
        </w:rPr>
        <w:t>Non-Employee Directors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4740" w:type="dxa"/>
            <w:vAlign w:val="bottom"/>
            <w:tcBorders>
              <w:top w:val="single" w:sz="8" w:color="00A1DF"/>
            </w:tcBorders>
          </w:tcPr>
          <w:p>
            <w:pPr>
              <w:spacing w:after="0"/>
              <w:rPr>
                <w:sz w:val="13"/>
                <w:szCs w:val="13"/>
                <w:color w:val="auto"/>
              </w:rPr>
            </w:pPr>
          </w:p>
        </w:tc>
        <w:tc>
          <w:tcPr>
            <w:tcW w:w="4860" w:type="dxa"/>
            <w:vAlign w:val="bottom"/>
            <w:tcBorders>
              <w:top w:val="single" w:sz="8" w:color="00A1DF"/>
            </w:tcBorders>
          </w:tcPr>
          <w:p>
            <w:pPr>
              <w:jc w:val="right"/>
              <w:ind w:right="149"/>
              <w:spacing w:after="0" w:line="154" w:lineRule="exact"/>
              <w:rPr>
                <w:sz w:val="20"/>
                <w:szCs w:val="20"/>
                <w:color w:val="auto"/>
              </w:rPr>
            </w:pPr>
            <w:r>
              <w:rPr>
                <w:rFonts w:ascii="Arial" w:cs="Arial" w:eastAsia="Arial" w:hAnsi="Arial"/>
                <w:sz w:val="15"/>
                <w:szCs w:val="15"/>
                <w:b w:val="1"/>
                <w:bCs w:val="1"/>
                <w:color w:val="00A1DF"/>
              </w:rPr>
              <w:t>Shares of Common</w:t>
            </w:r>
          </w:p>
        </w:tc>
        <w:tc>
          <w:tcPr>
            <w:tcW w:w="1420" w:type="dxa"/>
            <w:vAlign w:val="bottom"/>
            <w:tcBorders>
              <w:top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vMerge w:val="restart"/>
          </w:tcPr>
          <w:p>
            <w:pPr>
              <w:ind w:left="60"/>
              <w:spacing w:after="0"/>
              <w:rPr>
                <w:sz w:val="20"/>
                <w:szCs w:val="20"/>
                <w:color w:val="auto"/>
              </w:rPr>
            </w:pPr>
            <w:r>
              <w:rPr>
                <w:rFonts w:ascii="Arial" w:cs="Arial" w:eastAsia="Arial" w:hAnsi="Arial"/>
                <w:sz w:val="15"/>
                <w:szCs w:val="15"/>
                <w:b w:val="1"/>
                <w:bCs w:val="1"/>
                <w:color w:val="00A1DF"/>
              </w:rPr>
              <w:t>Director</w:t>
            </w:r>
            <w:r>
              <w:rPr>
                <w:rFonts w:ascii="Arial" w:cs="Arial" w:eastAsia="Arial" w:hAnsi="Arial"/>
                <w:sz w:val="13"/>
                <w:szCs w:val="13"/>
                <w:b w:val="1"/>
                <w:bCs w:val="1"/>
                <w:color w:val="00A1DF"/>
              </w:rPr>
              <w:t>(1)</w:t>
            </w:r>
          </w:p>
        </w:tc>
        <w:tc>
          <w:tcPr>
            <w:tcW w:w="4860" w:type="dxa"/>
            <w:vAlign w:val="bottom"/>
          </w:tcPr>
          <w:p>
            <w:pPr>
              <w:jc w:val="right"/>
              <w:ind w:right="149"/>
              <w:spacing w:after="0" w:line="162" w:lineRule="exact"/>
              <w:rPr>
                <w:sz w:val="20"/>
                <w:szCs w:val="20"/>
                <w:color w:val="auto"/>
              </w:rPr>
            </w:pPr>
            <w:r>
              <w:rPr>
                <w:rFonts w:ascii="Arial" w:cs="Arial" w:eastAsia="Arial" w:hAnsi="Arial"/>
                <w:sz w:val="15"/>
                <w:szCs w:val="15"/>
                <w:b w:val="1"/>
                <w:bCs w:val="1"/>
                <w:color w:val="00A1DF"/>
              </w:rPr>
              <w:t>Stock Beneficially</w:t>
            </w:r>
          </w:p>
        </w:tc>
        <w:tc>
          <w:tcPr>
            <w:tcW w:w="1420" w:type="dxa"/>
            <w:vAlign w:val="bottom"/>
          </w:tcPr>
          <w:p>
            <w:pPr>
              <w:jc w:val="right"/>
              <w:ind w:right="49"/>
              <w:spacing w:after="0" w:line="162" w:lineRule="exact"/>
              <w:rPr>
                <w:sz w:val="20"/>
                <w:szCs w:val="20"/>
                <w:color w:val="auto"/>
              </w:rPr>
            </w:pPr>
            <w:r>
              <w:rPr>
                <w:rFonts w:ascii="Arial" w:cs="Arial" w:eastAsia="Arial" w:hAnsi="Arial"/>
                <w:sz w:val="15"/>
                <w:szCs w:val="15"/>
                <w:b w:val="1"/>
                <w:bCs w:val="1"/>
                <w:color w:val="00A1DF"/>
              </w:rPr>
              <w:t>Deferred Share</w:t>
            </w:r>
          </w:p>
        </w:tc>
        <w:tc>
          <w:tcPr>
            <w:tcW w:w="0" w:type="dxa"/>
            <w:vAlign w:val="bottom"/>
          </w:tcPr>
          <w:p>
            <w:pPr>
              <w:spacing w:after="0"/>
              <w:rPr>
                <w:sz w:val="1"/>
                <w:szCs w:val="1"/>
                <w:color w:val="auto"/>
              </w:rPr>
            </w:pPr>
          </w:p>
        </w:tc>
      </w:tr>
      <w:tr>
        <w:trPr>
          <w:trHeight w:val="25"/>
        </w:trPr>
        <w:tc>
          <w:tcPr>
            <w:tcW w:w="4740" w:type="dxa"/>
            <w:vAlign w:val="bottom"/>
            <w:vMerge w:val="continue"/>
          </w:tcPr>
          <w:p>
            <w:pPr>
              <w:spacing w:after="0"/>
              <w:rPr>
                <w:sz w:val="2"/>
                <w:szCs w:val="2"/>
                <w:color w:val="auto"/>
              </w:rPr>
            </w:pPr>
          </w:p>
        </w:tc>
        <w:tc>
          <w:tcPr>
            <w:tcW w:w="4860" w:type="dxa"/>
            <w:vAlign w:val="bottom"/>
          </w:tcPr>
          <w:p>
            <w:pPr>
              <w:jc w:val="right"/>
              <w:ind w:right="149"/>
              <w:spacing w:after="0"/>
              <w:rPr>
                <w:sz w:val="20"/>
                <w:szCs w:val="20"/>
                <w:color w:val="auto"/>
              </w:rPr>
            </w:pPr>
            <w:r>
              <w:rPr>
                <w:rFonts w:ascii="Arial" w:cs="Arial" w:eastAsia="Arial" w:hAnsi="Arial"/>
                <w:sz w:val="2"/>
                <w:szCs w:val="2"/>
                <w:b w:val="1"/>
                <w:bCs w:val="1"/>
                <w:color w:val="00A1DF"/>
              </w:rPr>
              <w:t>Owned</w:t>
            </w:r>
          </w:p>
        </w:tc>
        <w:tc>
          <w:tcPr>
            <w:tcW w:w="1420" w:type="dxa"/>
            <w:vAlign w:val="bottom"/>
          </w:tcPr>
          <w:p>
            <w:pPr>
              <w:jc w:val="right"/>
              <w:ind w:right="209"/>
              <w:spacing w:after="0"/>
              <w:rPr>
                <w:sz w:val="20"/>
                <w:szCs w:val="20"/>
                <w:color w:val="auto"/>
              </w:rPr>
            </w:pPr>
            <w:r>
              <w:rPr>
                <w:rFonts w:ascii="Arial" w:cs="Arial" w:eastAsia="Arial" w:hAnsi="Arial"/>
                <w:sz w:val="2"/>
                <w:szCs w:val="2"/>
                <w:b w:val="1"/>
                <w:bCs w:val="1"/>
                <w:color w:val="00A1DF"/>
              </w:rPr>
              <w:t>Units</w:t>
            </w:r>
          </w:p>
        </w:tc>
        <w:tc>
          <w:tcPr>
            <w:tcW w:w="0" w:type="dxa"/>
            <w:vAlign w:val="bottom"/>
          </w:tcPr>
          <w:p>
            <w:pPr>
              <w:spacing w:after="0" w:line="20" w:lineRule="exact"/>
              <w:rPr>
                <w:sz w:val="1"/>
                <w:szCs w:val="1"/>
                <w:color w:val="auto"/>
              </w:rPr>
            </w:pPr>
          </w:p>
        </w:tc>
      </w:tr>
      <w:tr>
        <w:trPr>
          <w:trHeight w:val="179"/>
        </w:trPr>
        <w:tc>
          <w:tcPr>
            <w:tcW w:w="4740" w:type="dxa"/>
            <w:vAlign w:val="bottom"/>
            <w:tcBorders>
              <w:bottom w:val="single" w:sz="8" w:color="00A1DF"/>
            </w:tcBorders>
          </w:tcPr>
          <w:p>
            <w:pPr>
              <w:spacing w:after="0"/>
              <w:rPr>
                <w:sz w:val="15"/>
                <w:szCs w:val="15"/>
                <w:color w:val="auto"/>
              </w:rPr>
            </w:pPr>
          </w:p>
        </w:tc>
        <w:tc>
          <w:tcPr>
            <w:tcW w:w="4860" w:type="dxa"/>
            <w:vAlign w:val="bottom"/>
            <w:tcBorders>
              <w:bottom w:val="single" w:sz="8" w:color="00A1DF"/>
            </w:tcBorders>
          </w:tcPr>
          <w:p>
            <w:pPr>
              <w:spacing w:after="0"/>
              <w:rPr>
                <w:sz w:val="15"/>
                <w:szCs w:val="15"/>
                <w:color w:val="auto"/>
              </w:rPr>
            </w:pPr>
          </w:p>
        </w:tc>
        <w:tc>
          <w:tcPr>
            <w:tcW w:w="1420" w:type="dxa"/>
            <w:vAlign w:val="bottom"/>
            <w:tcBorders>
              <w:bottom w:val="single" w:sz="8" w:color="00A1DF"/>
            </w:tcBorders>
          </w:tcPr>
          <w:p>
            <w:pPr>
              <w:jc w:val="right"/>
              <w:ind w:right="49"/>
              <w:spacing w:after="0"/>
              <w:rPr>
                <w:sz w:val="20"/>
                <w:szCs w:val="20"/>
                <w:color w:val="auto"/>
              </w:rPr>
            </w:pPr>
            <w:r>
              <w:rPr>
                <w:rFonts w:ascii="Arial" w:cs="Arial" w:eastAsia="Arial" w:hAnsi="Arial"/>
                <w:sz w:val="13"/>
                <w:szCs w:val="13"/>
                <w:b w:val="1"/>
                <w:bCs w:val="1"/>
                <w:color w:val="00A1DF"/>
              </w:rPr>
              <w:t>(2)</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Linda R. Gooden</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1,000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11,994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Joseph Jimenez</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32,330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21,248</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Jane L. Mendillo</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4,560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12,607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Michael G. Mullen</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750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19,855</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James J. Mulva</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28,343</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45,774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Patricia F. Russo</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12,300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29,362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Thomas M. Schoewe</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22,005</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25,081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Theodore M. Solso</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5,000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61,312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Carol M. Stephenson</w:t>
            </w:r>
          </w:p>
        </w:tc>
        <w:tc>
          <w:tcPr>
            <w:tcW w:w="48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800</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51,093</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Devin N. Wenig</w:t>
            </w:r>
          </w:p>
        </w:tc>
        <w:tc>
          <w:tcPr>
            <w:tcW w:w="4860" w:type="dxa"/>
            <w:vAlign w:val="bottom"/>
            <w:tcBorders>
              <w:bottom w:val="single" w:sz="8" w:color="0033A0"/>
            </w:tcBorders>
          </w:tcPr>
          <w:p>
            <w:pPr>
              <w:jc w:val="right"/>
              <w:ind w:right="149"/>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33A0"/>
            </w:tcBorders>
          </w:tcPr>
          <w:p>
            <w:pPr>
              <w:jc w:val="right"/>
              <w:ind w:right="4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c/o General Motors Company, 300 Renaissance Center, Detroit, Michigan 48265.</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unit equivalents of our common stock under the Director Compensation Plan described on page 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A1DF"/>
        </w:rPr>
        <w:t>Named Executive Officers and All Directors and Executive Officers as a Group</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580" w:type="dxa"/>
            <w:vAlign w:val="bottom"/>
            <w:tcBorders>
              <w:top w:val="single" w:sz="8" w:color="00A1DF"/>
            </w:tcBorders>
          </w:tcPr>
          <w:p>
            <w:pPr>
              <w:spacing w:after="0"/>
              <w:rPr>
                <w:sz w:val="17"/>
                <w:szCs w:val="17"/>
                <w:color w:val="auto"/>
              </w:rPr>
            </w:pPr>
          </w:p>
        </w:tc>
        <w:tc>
          <w:tcPr>
            <w:tcW w:w="2520" w:type="dxa"/>
            <w:vAlign w:val="bottom"/>
            <w:tcBorders>
              <w:top w:val="single" w:sz="8" w:color="00A1DF"/>
              <w:bottom w:val="single" w:sz="8" w:color="00A1DF"/>
            </w:tcBorders>
            <w:gridSpan w:val="2"/>
          </w:tcPr>
          <w:p>
            <w:pPr>
              <w:jc w:val="right"/>
              <w:spacing w:after="0"/>
              <w:rPr>
                <w:sz w:val="20"/>
                <w:szCs w:val="20"/>
                <w:color w:val="auto"/>
              </w:rPr>
            </w:pPr>
            <w:r>
              <w:rPr>
                <w:rFonts w:ascii="Arial" w:cs="Arial" w:eastAsia="Arial" w:hAnsi="Arial"/>
                <w:sz w:val="15"/>
                <w:szCs w:val="15"/>
                <w:b w:val="1"/>
                <w:bCs w:val="1"/>
                <w:color w:val="00A1DF"/>
              </w:rPr>
              <w:t>Beneficial Ownership</w:t>
            </w:r>
          </w:p>
        </w:tc>
        <w:tc>
          <w:tcPr>
            <w:tcW w:w="1920" w:type="dxa"/>
            <w:vAlign w:val="bottom"/>
            <w:tcBorders>
              <w:top w:val="single" w:sz="8" w:color="00A1DF"/>
            </w:tcBorders>
          </w:tcPr>
          <w:p>
            <w:pPr>
              <w:spacing w:after="0"/>
              <w:rPr>
                <w:sz w:val="17"/>
                <w:szCs w:val="17"/>
                <w:color w:val="auto"/>
              </w:rPr>
            </w:pPr>
          </w:p>
        </w:tc>
      </w:tr>
      <w:tr>
        <w:trPr>
          <w:trHeight w:val="134"/>
        </w:trPr>
        <w:tc>
          <w:tcPr>
            <w:tcW w:w="6580" w:type="dxa"/>
            <w:vAlign w:val="bottom"/>
          </w:tcPr>
          <w:p>
            <w:pPr>
              <w:spacing w:after="0"/>
              <w:rPr>
                <w:sz w:val="11"/>
                <w:szCs w:val="11"/>
                <w:color w:val="auto"/>
              </w:rPr>
            </w:pPr>
          </w:p>
        </w:tc>
        <w:tc>
          <w:tcPr>
            <w:tcW w:w="1460" w:type="dxa"/>
            <w:vAlign w:val="bottom"/>
          </w:tcPr>
          <w:p>
            <w:pPr>
              <w:jc w:val="right"/>
              <w:ind w:right="263"/>
              <w:spacing w:after="0" w:line="134" w:lineRule="exact"/>
              <w:rPr>
                <w:sz w:val="20"/>
                <w:szCs w:val="20"/>
                <w:color w:val="auto"/>
              </w:rPr>
            </w:pPr>
            <w:r>
              <w:rPr>
                <w:rFonts w:ascii="Arial" w:cs="Arial" w:eastAsia="Arial" w:hAnsi="Arial"/>
                <w:sz w:val="15"/>
                <w:szCs w:val="15"/>
                <w:b w:val="1"/>
                <w:bCs w:val="1"/>
                <w:color w:val="00A1DF"/>
              </w:rPr>
              <w:t>Shares of</w:t>
            </w:r>
          </w:p>
        </w:tc>
        <w:tc>
          <w:tcPr>
            <w:tcW w:w="106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62"/>
        </w:trPr>
        <w:tc>
          <w:tcPr>
            <w:tcW w:w="6580" w:type="dxa"/>
            <w:vAlign w:val="bottom"/>
          </w:tcPr>
          <w:p>
            <w:pPr>
              <w:spacing w:after="0"/>
              <w:rPr>
                <w:sz w:val="14"/>
                <w:szCs w:val="14"/>
                <w:color w:val="auto"/>
              </w:rPr>
            </w:pPr>
          </w:p>
        </w:tc>
        <w:tc>
          <w:tcPr>
            <w:tcW w:w="14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00A1DF"/>
                <w:w w:val="99"/>
              </w:rPr>
              <w:t>Common Stock</w:t>
            </w:r>
          </w:p>
        </w:tc>
        <w:tc>
          <w:tcPr>
            <w:tcW w:w="1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4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00A1DF"/>
              </w:rPr>
              <w:t>Beneficially</w:t>
            </w:r>
          </w:p>
        </w:tc>
        <w:tc>
          <w:tcPr>
            <w:tcW w:w="10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Right to</w:t>
            </w:r>
          </w:p>
        </w:tc>
        <w:tc>
          <w:tcPr>
            <w:tcW w:w="192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Total Number</w:t>
            </w:r>
          </w:p>
        </w:tc>
      </w:tr>
      <w:tr>
        <w:trPr>
          <w:trHeight w:val="210"/>
        </w:trPr>
        <w:tc>
          <w:tcPr>
            <w:tcW w:w="658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w:t>
            </w:r>
            <w:r>
              <w:rPr>
                <w:rFonts w:ascii="Arial" w:cs="Arial" w:eastAsia="Arial" w:hAnsi="Arial"/>
                <w:sz w:val="13"/>
                <w:szCs w:val="13"/>
                <w:b w:val="1"/>
                <w:bCs w:val="1"/>
                <w:color w:val="00A1DF"/>
              </w:rPr>
              <w:t>(1)</w:t>
            </w:r>
          </w:p>
        </w:tc>
        <w:tc>
          <w:tcPr>
            <w:tcW w:w="1460" w:type="dxa"/>
            <w:vAlign w:val="bottom"/>
            <w:tcBorders>
              <w:bottom w:val="single" w:sz="8" w:color="00A1DF"/>
            </w:tcBorders>
          </w:tcPr>
          <w:p>
            <w:pPr>
              <w:jc w:val="right"/>
              <w:ind w:right="263"/>
              <w:spacing w:after="0"/>
              <w:rPr>
                <w:sz w:val="20"/>
                <w:szCs w:val="20"/>
                <w:color w:val="auto"/>
              </w:rPr>
            </w:pPr>
            <w:r>
              <w:rPr>
                <w:rFonts w:ascii="Arial" w:cs="Arial" w:eastAsia="Arial" w:hAnsi="Arial"/>
                <w:sz w:val="15"/>
                <w:szCs w:val="15"/>
                <w:b w:val="1"/>
                <w:bCs w:val="1"/>
                <w:color w:val="00A1DF"/>
              </w:rPr>
              <w:t>Owned</w:t>
            </w:r>
          </w:p>
        </w:tc>
        <w:tc>
          <w:tcPr>
            <w:tcW w:w="10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Acquire</w:t>
            </w:r>
            <w:r>
              <w:rPr>
                <w:rFonts w:ascii="Arial" w:cs="Arial" w:eastAsia="Arial" w:hAnsi="Arial"/>
                <w:sz w:val="13"/>
                <w:szCs w:val="13"/>
                <w:b w:val="1"/>
                <w:bCs w:val="1"/>
                <w:color w:val="00A1DF"/>
              </w:rPr>
              <w:t>(2)</w:t>
            </w:r>
          </w:p>
        </w:tc>
        <w:tc>
          <w:tcPr>
            <w:tcW w:w="192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of Shares</w:t>
            </w:r>
          </w:p>
        </w:tc>
      </w:tr>
      <w:tr>
        <w:trPr>
          <w:trHeight w:val="219"/>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Mary T. Barra</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696,981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1,779,360</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2,476,341</w:t>
            </w:r>
          </w:p>
        </w:tc>
      </w:tr>
      <w:tr>
        <w:trPr>
          <w:trHeight w:val="227"/>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Charles K. Stevens, III</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102,741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187,062</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289,803</w:t>
            </w:r>
          </w:p>
        </w:tc>
      </w:tr>
      <w:tr>
        <w:trPr>
          <w:trHeight w:val="219"/>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Daniel Ammann</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259,340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668,306</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927,646</w:t>
            </w:r>
          </w:p>
        </w:tc>
      </w:tr>
      <w:tr>
        <w:trPr>
          <w:trHeight w:val="223"/>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Mark L. Reuss</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203,934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67,771</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271,705</w:t>
            </w:r>
          </w:p>
        </w:tc>
      </w:tr>
      <w:tr>
        <w:trPr>
          <w:trHeight w:val="223"/>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Alan S. Batey</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138,067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162,212</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300,279</w:t>
            </w:r>
          </w:p>
        </w:tc>
      </w:tr>
      <w:tr>
        <w:trPr>
          <w:trHeight w:val="223"/>
        </w:trPr>
        <w:tc>
          <w:tcPr>
            <w:tcW w:w="6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Karl-Thomas Neumann</w:t>
            </w: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r>
      <w:tr>
        <w:trPr>
          <w:trHeight w:val="197"/>
        </w:trPr>
        <w:tc>
          <w:tcPr>
            <w:tcW w:w="6580" w:type="dxa"/>
            <w:vAlign w:val="bottom"/>
          </w:tcPr>
          <w:p>
            <w:pPr>
              <w:ind w:left="60"/>
              <w:spacing w:after="0"/>
              <w:rPr>
                <w:sz w:val="20"/>
                <w:szCs w:val="20"/>
                <w:color w:val="auto"/>
              </w:rPr>
            </w:pPr>
            <w:r>
              <w:rPr>
                <w:rFonts w:ascii="Arial" w:cs="Arial" w:eastAsia="Arial" w:hAnsi="Arial"/>
                <w:sz w:val="14"/>
                <w:szCs w:val="14"/>
                <w:color w:val="auto"/>
              </w:rPr>
              <w:t>All Directors and Executive Officers as a Group</w:t>
            </w:r>
          </w:p>
        </w:tc>
        <w:tc>
          <w:tcPr>
            <w:tcW w:w="1460" w:type="dxa"/>
            <w:vAlign w:val="bottom"/>
          </w:tcPr>
          <w:p>
            <w:pPr>
              <w:jc w:val="right"/>
              <w:ind w:right="263"/>
              <w:spacing w:after="0"/>
              <w:rPr>
                <w:sz w:val="20"/>
                <w:szCs w:val="20"/>
                <w:color w:val="auto"/>
              </w:rPr>
            </w:pPr>
            <w:r>
              <w:rPr>
                <w:rFonts w:ascii="Arial" w:cs="Arial" w:eastAsia="Arial" w:hAnsi="Arial"/>
                <w:sz w:val="15"/>
                <w:szCs w:val="15"/>
                <w:color w:val="auto"/>
              </w:rPr>
              <w:t>1,856,101</w:t>
            </w:r>
          </w:p>
        </w:tc>
        <w:tc>
          <w:tcPr>
            <w:tcW w:w="1060" w:type="dxa"/>
            <w:vAlign w:val="bottom"/>
          </w:tcPr>
          <w:p>
            <w:pPr>
              <w:jc w:val="right"/>
              <w:spacing w:after="0"/>
              <w:rPr>
                <w:sz w:val="20"/>
                <w:szCs w:val="20"/>
                <w:color w:val="auto"/>
              </w:rPr>
            </w:pPr>
            <w:r>
              <w:rPr>
                <w:rFonts w:ascii="Arial" w:cs="Arial" w:eastAsia="Arial" w:hAnsi="Arial"/>
                <w:sz w:val="15"/>
                <w:szCs w:val="15"/>
                <w:color w:val="auto"/>
              </w:rPr>
              <w:t>3,600,787</w:t>
            </w:r>
          </w:p>
        </w:tc>
        <w:tc>
          <w:tcPr>
            <w:tcW w:w="1920" w:type="dxa"/>
            <w:vAlign w:val="bottom"/>
          </w:tcPr>
          <w:p>
            <w:pPr>
              <w:jc w:val="right"/>
              <w:ind w:right="43"/>
              <w:spacing w:after="0"/>
              <w:rPr>
                <w:sz w:val="20"/>
                <w:szCs w:val="20"/>
                <w:color w:val="auto"/>
              </w:rPr>
            </w:pPr>
            <w:r>
              <w:rPr>
                <w:rFonts w:ascii="Arial" w:cs="Arial" w:eastAsia="Arial" w:hAnsi="Arial"/>
                <w:sz w:val="15"/>
                <w:szCs w:val="15"/>
                <w:color w:val="auto"/>
              </w:rPr>
              <w:t>5,456,888</w:t>
            </w:r>
          </w:p>
        </w:tc>
      </w:tr>
      <w:tr>
        <w:trPr>
          <w:trHeight w:val="188"/>
        </w:trPr>
        <w:tc>
          <w:tcPr>
            <w:tcW w:w="658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(22 persons, including the foregoing)</w:t>
            </w:r>
          </w:p>
        </w:tc>
        <w:tc>
          <w:tcPr>
            <w:tcW w:w="1460" w:type="dxa"/>
            <w:vAlign w:val="bottom"/>
            <w:tcBorders>
              <w:bottom w:val="single" w:sz="8" w:color="0033A0"/>
            </w:tcBorders>
          </w:tcPr>
          <w:p>
            <w:pPr>
              <w:spacing w:after="0"/>
              <w:rPr>
                <w:sz w:val="16"/>
                <w:szCs w:val="16"/>
                <w:color w:val="auto"/>
              </w:rPr>
            </w:pPr>
          </w:p>
        </w:tc>
        <w:tc>
          <w:tcPr>
            <w:tcW w:w="1060" w:type="dxa"/>
            <w:vAlign w:val="bottom"/>
            <w:tcBorders>
              <w:bottom w:val="single" w:sz="8" w:color="0033A0"/>
            </w:tcBorders>
          </w:tcPr>
          <w:p>
            <w:pPr>
              <w:spacing w:after="0"/>
              <w:rPr>
                <w:sz w:val="16"/>
                <w:szCs w:val="16"/>
                <w:color w:val="auto"/>
              </w:rPr>
            </w:pPr>
          </w:p>
        </w:tc>
        <w:tc>
          <w:tcPr>
            <w:tcW w:w="1920" w:type="dxa"/>
            <w:vAlign w:val="bottom"/>
            <w:tcBorders>
              <w:bottom w:val="single" w:sz="8" w:color="0033A0"/>
            </w:tcBorders>
          </w:tcPr>
          <w:p>
            <w:pPr>
              <w:spacing w:after="0"/>
              <w:rPr>
                <w:sz w:val="16"/>
                <w:szCs w:val="16"/>
                <w:color w:val="auto"/>
              </w:rPr>
            </w:pPr>
          </w:p>
        </w:tc>
      </w:tr>
    </w:tbl>
    <w:p>
      <w:pPr>
        <w:spacing w:after="0" w:line="58" w:lineRule="exact"/>
        <w:rPr>
          <w:sz w:val="20"/>
          <w:szCs w:val="20"/>
          <w:color w:val="auto"/>
        </w:rPr>
      </w:pPr>
    </w:p>
    <w:p>
      <w:pPr>
        <w:ind w:left="520" w:hanging="316"/>
        <w:spacing w:after="0"/>
        <w:tabs>
          <w:tab w:leader="none" w:pos="5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c/o General Motors Company, 300 Renaissance Center, Detroit, Michigan 48265.</w:t>
      </w:r>
    </w:p>
    <w:p>
      <w:pPr>
        <w:spacing w:after="0" w:line="68" w:lineRule="exact"/>
        <w:rPr>
          <w:rFonts w:ascii="Arial" w:cs="Arial" w:eastAsia="Arial" w:hAnsi="Arial"/>
          <w:sz w:val="14"/>
          <w:szCs w:val="14"/>
          <w:i w:val="1"/>
          <w:iCs w:val="1"/>
          <w:color w:val="auto"/>
        </w:rPr>
      </w:pPr>
    </w:p>
    <w:p>
      <w:pPr>
        <w:ind w:left="520" w:right="20" w:hanging="316"/>
        <w:spacing w:after="0" w:line="279" w:lineRule="auto"/>
        <w:tabs>
          <w:tab w:leader="none" w:pos="5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shares that the named individual or group has the right to acquire through the exercise of vested Stock Options and shares that the named individual or group has the right to acquire through the vesting of restricted stock units and Stock Options within 60 days of April 1, 2018.</w:t>
      </w:r>
    </w:p>
    <w:p>
      <w:pPr>
        <w:spacing w:after="0" w:line="112"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0033A0"/>
        </w:rPr>
        <w:t>SECURITY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A1DF"/>
        </w:rPr>
        <w:t>Certain Beneficial Owners</w:t>
      </w:r>
    </w:p>
    <w:p>
      <w:pPr>
        <w:spacing w:after="0" w:line="133"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The beneficial ownership as of April 1, 2018, of our common stock by each person or group of persons who is known to be the beneficial owner of more than 5% of our outstanding shares is shown in the following table.</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6840" w:type="dxa"/>
            <w:vAlign w:val="bottom"/>
            <w:tcBorders>
              <w:top w:val="single" w:sz="8" w:color="00A1DF"/>
            </w:tcBorders>
          </w:tcPr>
          <w:p>
            <w:pPr>
              <w:spacing w:after="0"/>
              <w:rPr>
                <w:sz w:val="13"/>
                <w:szCs w:val="13"/>
                <w:color w:val="auto"/>
              </w:rPr>
            </w:pPr>
          </w:p>
        </w:tc>
        <w:tc>
          <w:tcPr>
            <w:tcW w:w="2600" w:type="dxa"/>
            <w:vAlign w:val="bottom"/>
            <w:tcBorders>
              <w:top w:val="single" w:sz="8" w:color="00A1DF"/>
            </w:tcBorders>
          </w:tcPr>
          <w:p>
            <w:pPr>
              <w:spacing w:after="0"/>
              <w:rPr>
                <w:sz w:val="13"/>
                <w:szCs w:val="13"/>
                <w:color w:val="auto"/>
              </w:rPr>
            </w:pPr>
          </w:p>
        </w:tc>
        <w:tc>
          <w:tcPr>
            <w:tcW w:w="1580" w:type="dxa"/>
            <w:vAlign w:val="bottom"/>
            <w:tcBorders>
              <w:top w:val="single" w:sz="8" w:color="00A1DF"/>
            </w:tcBorders>
          </w:tcPr>
          <w:p>
            <w:pPr>
              <w:jc w:val="right"/>
              <w:ind w:right="263"/>
              <w:spacing w:after="0" w:line="154" w:lineRule="exact"/>
              <w:rPr>
                <w:sz w:val="20"/>
                <w:szCs w:val="20"/>
                <w:color w:val="auto"/>
              </w:rPr>
            </w:pPr>
            <w:r>
              <w:rPr>
                <w:rFonts w:ascii="Arial" w:cs="Arial" w:eastAsia="Arial" w:hAnsi="Arial"/>
                <w:sz w:val="15"/>
                <w:szCs w:val="15"/>
                <w:b w:val="1"/>
                <w:bCs w:val="1"/>
                <w:color w:val="00A1DF"/>
              </w:rPr>
              <w:t>Percent of</w:t>
            </w:r>
          </w:p>
        </w:tc>
      </w:tr>
      <w:tr>
        <w:trPr>
          <w:trHeight w:val="162"/>
        </w:trPr>
        <w:tc>
          <w:tcPr>
            <w:tcW w:w="6840" w:type="dxa"/>
            <w:vAlign w:val="bottom"/>
          </w:tcPr>
          <w:p>
            <w:pPr>
              <w:spacing w:after="0"/>
              <w:rPr>
                <w:sz w:val="14"/>
                <w:szCs w:val="14"/>
                <w:color w:val="auto"/>
              </w:rPr>
            </w:pPr>
          </w:p>
        </w:tc>
        <w:tc>
          <w:tcPr>
            <w:tcW w:w="2600" w:type="dxa"/>
            <w:vAlign w:val="bottom"/>
          </w:tcPr>
          <w:p>
            <w:pPr>
              <w:jc w:val="right"/>
              <w:ind w:right="243"/>
              <w:spacing w:after="0" w:line="162" w:lineRule="exact"/>
              <w:rPr>
                <w:sz w:val="20"/>
                <w:szCs w:val="20"/>
                <w:color w:val="auto"/>
              </w:rPr>
            </w:pPr>
            <w:r>
              <w:rPr>
                <w:rFonts w:ascii="Arial" w:cs="Arial" w:eastAsia="Arial" w:hAnsi="Arial"/>
                <w:sz w:val="15"/>
                <w:szCs w:val="15"/>
                <w:b w:val="1"/>
                <w:bCs w:val="1"/>
                <w:color w:val="00A1DF"/>
              </w:rPr>
              <w:t>Number of</w:t>
            </w:r>
          </w:p>
        </w:tc>
        <w:tc>
          <w:tcPr>
            <w:tcW w:w="158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00A1DF"/>
              </w:rPr>
              <w:t>Outstanding</w:t>
            </w:r>
          </w:p>
        </w:tc>
      </w:tr>
      <w:tr>
        <w:trPr>
          <w:trHeight w:val="197"/>
        </w:trPr>
        <w:tc>
          <w:tcPr>
            <w:tcW w:w="684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 and Address of Beneficial Owner of Common Stock</w:t>
            </w:r>
          </w:p>
        </w:tc>
        <w:tc>
          <w:tcPr>
            <w:tcW w:w="2600" w:type="dxa"/>
            <w:vAlign w:val="bottom"/>
            <w:tcBorders>
              <w:bottom w:val="single" w:sz="8" w:color="00A1DF"/>
            </w:tcBorders>
          </w:tcPr>
          <w:p>
            <w:pPr>
              <w:jc w:val="right"/>
              <w:ind w:right="243"/>
              <w:spacing w:after="0"/>
              <w:rPr>
                <w:sz w:val="20"/>
                <w:szCs w:val="20"/>
                <w:color w:val="auto"/>
              </w:rPr>
            </w:pPr>
            <w:r>
              <w:rPr>
                <w:rFonts w:ascii="Arial" w:cs="Arial" w:eastAsia="Arial" w:hAnsi="Arial"/>
                <w:sz w:val="15"/>
                <w:szCs w:val="15"/>
                <w:b w:val="1"/>
                <w:bCs w:val="1"/>
                <w:color w:val="00A1DF"/>
              </w:rPr>
              <w:t>Shares</w:t>
            </w:r>
            <w:r>
              <w:rPr>
                <w:rFonts w:ascii="Arial" w:cs="Arial" w:eastAsia="Arial" w:hAnsi="Arial"/>
                <w:sz w:val="13"/>
                <w:szCs w:val="13"/>
                <w:b w:val="1"/>
                <w:bCs w:val="1"/>
                <w:color w:val="00A1DF"/>
              </w:rPr>
              <w:t>(1)</w:t>
            </w:r>
          </w:p>
        </w:tc>
        <w:tc>
          <w:tcPr>
            <w:tcW w:w="1580" w:type="dxa"/>
            <w:vAlign w:val="bottom"/>
            <w:tcBorders>
              <w:bottom w:val="single" w:sz="8" w:color="00A1DF"/>
            </w:tcBorders>
          </w:tcPr>
          <w:p>
            <w:pPr>
              <w:jc w:val="right"/>
              <w:ind w:right="263"/>
              <w:spacing w:after="0"/>
              <w:rPr>
                <w:sz w:val="20"/>
                <w:szCs w:val="20"/>
                <w:color w:val="auto"/>
              </w:rPr>
            </w:pPr>
            <w:r>
              <w:rPr>
                <w:rFonts w:ascii="Arial" w:cs="Arial" w:eastAsia="Arial" w:hAnsi="Arial"/>
                <w:sz w:val="15"/>
                <w:szCs w:val="15"/>
                <w:b w:val="1"/>
                <w:bCs w:val="1"/>
                <w:color w:val="00A1DF"/>
              </w:rPr>
              <w:t>Shares</w:t>
            </w:r>
          </w:p>
        </w:tc>
      </w:tr>
      <w:tr>
        <w:trPr>
          <w:trHeight w:val="179"/>
        </w:trPr>
        <w:tc>
          <w:tcPr>
            <w:tcW w:w="6840" w:type="dxa"/>
            <w:vAlign w:val="bottom"/>
          </w:tcPr>
          <w:p>
            <w:pPr>
              <w:ind w:left="60"/>
              <w:spacing w:after="0"/>
              <w:rPr>
                <w:sz w:val="20"/>
                <w:szCs w:val="20"/>
                <w:color w:val="auto"/>
              </w:rPr>
            </w:pPr>
            <w:r>
              <w:rPr>
                <w:rFonts w:ascii="Arial" w:cs="Arial" w:eastAsia="Arial" w:hAnsi="Arial"/>
                <w:sz w:val="15"/>
                <w:szCs w:val="15"/>
                <w:color w:val="auto"/>
              </w:rPr>
              <w:t>UAW Retiree Medical Benefits Trust, as advised by its fiduciary and investment</w:t>
            </w:r>
          </w:p>
        </w:tc>
        <w:tc>
          <w:tcPr>
            <w:tcW w:w="2600" w:type="dxa"/>
            <w:vAlign w:val="bottom"/>
          </w:tcPr>
          <w:p>
            <w:pPr>
              <w:jc w:val="right"/>
              <w:ind w:right="243"/>
              <w:spacing w:after="0"/>
              <w:rPr>
                <w:sz w:val="20"/>
                <w:szCs w:val="20"/>
                <w:color w:val="auto"/>
              </w:rPr>
            </w:pPr>
            <w:r>
              <w:rPr>
                <w:rFonts w:ascii="Arial" w:cs="Arial" w:eastAsia="Arial" w:hAnsi="Arial"/>
                <w:sz w:val="15"/>
                <w:szCs w:val="15"/>
                <w:color w:val="auto"/>
              </w:rPr>
              <w:t>100,150,000</w:t>
            </w:r>
          </w:p>
        </w:tc>
        <w:tc>
          <w:tcPr>
            <w:tcW w:w="1580" w:type="dxa"/>
            <w:vAlign w:val="bottom"/>
          </w:tcPr>
          <w:p>
            <w:pPr>
              <w:jc w:val="right"/>
              <w:ind w:right="123"/>
              <w:spacing w:after="0"/>
              <w:rPr>
                <w:sz w:val="20"/>
                <w:szCs w:val="20"/>
                <w:color w:val="auto"/>
              </w:rPr>
            </w:pPr>
            <w:r>
              <w:rPr>
                <w:rFonts w:ascii="Arial" w:cs="Arial" w:eastAsia="Arial" w:hAnsi="Arial"/>
                <w:sz w:val="15"/>
                <w:szCs w:val="15"/>
                <w:color w:val="auto"/>
              </w:rPr>
              <w:t>7.1%</w:t>
            </w:r>
          </w:p>
        </w:tc>
      </w:tr>
      <w:tr>
        <w:trPr>
          <w:trHeight w:val="162"/>
        </w:trPr>
        <w:tc>
          <w:tcPr>
            <w:tcW w:w="6840" w:type="dxa"/>
            <w:vAlign w:val="bottom"/>
          </w:tcPr>
          <w:p>
            <w:pPr>
              <w:ind w:left="60"/>
              <w:spacing w:after="0" w:line="162" w:lineRule="exact"/>
              <w:rPr>
                <w:sz w:val="20"/>
                <w:szCs w:val="20"/>
                <w:color w:val="auto"/>
              </w:rPr>
            </w:pPr>
            <w:r>
              <w:rPr>
                <w:rFonts w:ascii="Arial" w:cs="Arial" w:eastAsia="Arial" w:hAnsi="Arial"/>
                <w:sz w:val="15"/>
                <w:szCs w:val="15"/>
                <w:color w:val="auto"/>
              </w:rPr>
              <w:t>advisor Brock Fiduciary Services LLC</w:t>
            </w: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6840" w:type="dxa"/>
            <w:vAlign w:val="bottom"/>
          </w:tcPr>
          <w:p>
            <w:pPr>
              <w:ind w:left="60"/>
              <w:spacing w:after="0" w:line="162" w:lineRule="exact"/>
              <w:rPr>
                <w:sz w:val="20"/>
                <w:szCs w:val="20"/>
                <w:color w:val="auto"/>
              </w:rPr>
            </w:pPr>
            <w:r>
              <w:rPr>
                <w:rFonts w:ascii="Arial" w:cs="Arial" w:eastAsia="Arial" w:hAnsi="Arial"/>
                <w:sz w:val="15"/>
                <w:szCs w:val="15"/>
                <w:color w:val="auto"/>
              </w:rPr>
              <w:t>200 Walker Street</w:t>
            </w: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8"/>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Detroit, MI 48207</w:t>
            </w:r>
          </w:p>
        </w:tc>
        <w:tc>
          <w:tcPr>
            <w:tcW w:w="2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3"/>
        </w:trPr>
        <w:tc>
          <w:tcPr>
            <w:tcW w:w="6840" w:type="dxa"/>
            <w:vAlign w:val="bottom"/>
          </w:tcPr>
          <w:p>
            <w:pPr>
              <w:ind w:left="60"/>
              <w:spacing w:after="0"/>
              <w:rPr>
                <w:sz w:val="20"/>
                <w:szCs w:val="20"/>
                <w:color w:val="auto"/>
              </w:rPr>
            </w:pPr>
            <w:r>
              <w:rPr>
                <w:rFonts w:ascii="Arial" w:cs="Arial" w:eastAsia="Arial" w:hAnsi="Arial"/>
                <w:sz w:val="15"/>
                <w:szCs w:val="15"/>
                <w:color w:val="auto"/>
              </w:rPr>
              <w:t>The Vanguard Group</w:t>
            </w:r>
          </w:p>
        </w:tc>
        <w:tc>
          <w:tcPr>
            <w:tcW w:w="2600" w:type="dxa"/>
            <w:vAlign w:val="bottom"/>
          </w:tcPr>
          <w:p>
            <w:pPr>
              <w:jc w:val="right"/>
              <w:ind w:right="243"/>
              <w:spacing w:after="0"/>
              <w:rPr>
                <w:sz w:val="20"/>
                <w:szCs w:val="20"/>
                <w:color w:val="auto"/>
              </w:rPr>
            </w:pPr>
            <w:r>
              <w:rPr>
                <w:rFonts w:ascii="Arial" w:cs="Arial" w:eastAsia="Arial" w:hAnsi="Arial"/>
                <w:sz w:val="15"/>
                <w:szCs w:val="15"/>
                <w:color w:val="auto"/>
              </w:rPr>
              <w:t>87,437,866</w:t>
            </w:r>
          </w:p>
        </w:tc>
        <w:tc>
          <w:tcPr>
            <w:tcW w:w="1580" w:type="dxa"/>
            <w:vAlign w:val="bottom"/>
          </w:tcPr>
          <w:p>
            <w:pPr>
              <w:jc w:val="right"/>
              <w:ind w:right="123"/>
              <w:spacing w:after="0"/>
              <w:rPr>
                <w:sz w:val="20"/>
                <w:szCs w:val="20"/>
                <w:color w:val="auto"/>
              </w:rPr>
            </w:pPr>
            <w:r>
              <w:rPr>
                <w:rFonts w:ascii="Arial" w:cs="Arial" w:eastAsia="Arial" w:hAnsi="Arial"/>
                <w:sz w:val="15"/>
                <w:szCs w:val="15"/>
                <w:color w:val="auto"/>
              </w:rPr>
              <w:t>6.2%</w:t>
            </w:r>
          </w:p>
        </w:tc>
      </w:tr>
      <w:tr>
        <w:trPr>
          <w:trHeight w:val="162"/>
        </w:trPr>
        <w:tc>
          <w:tcPr>
            <w:tcW w:w="6840" w:type="dxa"/>
            <w:vAlign w:val="bottom"/>
          </w:tcPr>
          <w:p>
            <w:pPr>
              <w:ind w:left="60"/>
              <w:spacing w:after="0" w:line="162" w:lineRule="exact"/>
              <w:rPr>
                <w:sz w:val="20"/>
                <w:szCs w:val="20"/>
                <w:color w:val="auto"/>
              </w:rPr>
            </w:pPr>
            <w:r>
              <w:rPr>
                <w:rFonts w:ascii="Arial" w:cs="Arial" w:eastAsia="Arial" w:hAnsi="Arial"/>
                <w:sz w:val="15"/>
                <w:szCs w:val="15"/>
                <w:color w:val="auto"/>
              </w:rPr>
              <w:t>100 Vanguard Blvd.</w:t>
            </w: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8"/>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Malvern, PA 19355</w:t>
            </w:r>
          </w:p>
        </w:tc>
        <w:tc>
          <w:tcPr>
            <w:tcW w:w="2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3"/>
        </w:trPr>
        <w:tc>
          <w:tcPr>
            <w:tcW w:w="6840" w:type="dxa"/>
            <w:vAlign w:val="bottom"/>
          </w:tcPr>
          <w:p>
            <w:pPr>
              <w:ind w:left="60"/>
              <w:spacing w:after="0"/>
              <w:rPr>
                <w:sz w:val="20"/>
                <w:szCs w:val="20"/>
                <w:color w:val="auto"/>
              </w:rPr>
            </w:pPr>
            <w:r>
              <w:rPr>
                <w:rFonts w:ascii="Arial" w:cs="Arial" w:eastAsia="Arial" w:hAnsi="Arial"/>
                <w:sz w:val="15"/>
                <w:szCs w:val="15"/>
                <w:color w:val="auto"/>
              </w:rPr>
              <w:t>BlackRock, Inc.</w:t>
            </w:r>
          </w:p>
        </w:tc>
        <w:tc>
          <w:tcPr>
            <w:tcW w:w="2600" w:type="dxa"/>
            <w:vAlign w:val="bottom"/>
          </w:tcPr>
          <w:p>
            <w:pPr>
              <w:jc w:val="right"/>
              <w:ind w:right="243"/>
              <w:spacing w:after="0"/>
              <w:rPr>
                <w:sz w:val="20"/>
                <w:szCs w:val="20"/>
                <w:color w:val="auto"/>
              </w:rPr>
            </w:pPr>
            <w:r>
              <w:rPr>
                <w:rFonts w:ascii="Arial" w:cs="Arial" w:eastAsia="Arial" w:hAnsi="Arial"/>
                <w:sz w:val="15"/>
                <w:szCs w:val="15"/>
                <w:color w:val="auto"/>
              </w:rPr>
              <w:t>76,922,292</w:t>
            </w:r>
          </w:p>
        </w:tc>
        <w:tc>
          <w:tcPr>
            <w:tcW w:w="1580" w:type="dxa"/>
            <w:vAlign w:val="bottom"/>
          </w:tcPr>
          <w:p>
            <w:pPr>
              <w:jc w:val="right"/>
              <w:ind w:right="123"/>
              <w:spacing w:after="0"/>
              <w:rPr>
                <w:sz w:val="20"/>
                <w:szCs w:val="20"/>
                <w:color w:val="auto"/>
              </w:rPr>
            </w:pPr>
            <w:r>
              <w:rPr>
                <w:rFonts w:ascii="Arial" w:cs="Arial" w:eastAsia="Arial" w:hAnsi="Arial"/>
                <w:sz w:val="15"/>
                <w:szCs w:val="15"/>
                <w:color w:val="auto"/>
              </w:rPr>
              <w:t>5.5%</w:t>
            </w:r>
          </w:p>
        </w:tc>
      </w:tr>
      <w:tr>
        <w:trPr>
          <w:trHeight w:val="162"/>
        </w:trPr>
        <w:tc>
          <w:tcPr>
            <w:tcW w:w="6840" w:type="dxa"/>
            <w:vAlign w:val="bottom"/>
          </w:tcPr>
          <w:p>
            <w:pPr>
              <w:ind w:left="60"/>
              <w:spacing w:after="0" w:line="162" w:lineRule="exact"/>
              <w:rPr>
                <w:sz w:val="20"/>
                <w:szCs w:val="20"/>
                <w:color w:val="auto"/>
              </w:rPr>
            </w:pPr>
            <w:r>
              <w:rPr>
                <w:rFonts w:ascii="Arial" w:cs="Arial" w:eastAsia="Arial" w:hAnsi="Arial"/>
                <w:sz w:val="15"/>
                <w:szCs w:val="15"/>
                <w:color w:val="auto"/>
              </w:rPr>
              <w:t>55 East 52nd Street</w:t>
            </w: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8"/>
        </w:trPr>
        <w:tc>
          <w:tcPr>
            <w:tcW w:w="684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New York, NY 10055</w:t>
            </w:r>
          </w:p>
        </w:tc>
        <w:tc>
          <w:tcPr>
            <w:tcW w:w="2600" w:type="dxa"/>
            <w:vAlign w:val="bottom"/>
            <w:tcBorders>
              <w:bottom w:val="single" w:sz="8" w:color="0033A0"/>
            </w:tcBorders>
          </w:tcPr>
          <w:p>
            <w:pPr>
              <w:spacing w:after="0"/>
              <w:rPr>
                <w:sz w:val="16"/>
                <w:szCs w:val="16"/>
                <w:color w:val="auto"/>
              </w:rPr>
            </w:pPr>
          </w:p>
        </w:tc>
        <w:tc>
          <w:tcPr>
            <w:tcW w:w="1580" w:type="dxa"/>
            <w:vAlign w:val="bottom"/>
            <w:tcBorders>
              <w:bottom w:val="single" w:sz="8" w:color="0033A0"/>
            </w:tcBorders>
          </w:tcPr>
          <w:p>
            <w:pPr>
              <w:spacing w:after="0"/>
              <w:rPr>
                <w:sz w:val="16"/>
                <w:szCs w:val="16"/>
                <w:color w:val="auto"/>
              </w:rPr>
            </w:pPr>
          </w:p>
        </w:tc>
      </w:tr>
    </w:tbl>
    <w:p>
      <w:pPr>
        <w:spacing w:after="0" w:line="31" w:lineRule="exact"/>
        <w:rPr>
          <w:sz w:val="20"/>
          <w:szCs w:val="20"/>
          <w:color w:val="auto"/>
        </w:rPr>
      </w:pPr>
    </w:p>
    <w:p>
      <w:pPr>
        <w:jc w:val="both"/>
        <w:ind w:left="520" w:right="40" w:hanging="316"/>
        <w:spacing w:after="0" w:line="260" w:lineRule="auto"/>
        <w:tabs>
          <w:tab w:leader="none" w:pos="5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reported by each beneficial owner in filings with the SEC. The Company is permitted to rely on the information set forth in these filings and has no reason to believe that the information is incomplete or inaccurate or that the beneficial owner should have filed an amended report and did not. Each beneficial owner reported as follows:</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2500" w:type="dxa"/>
            <w:vAlign w:val="bottom"/>
            <w:tcBorders>
              <w:top w:val="single" w:sz="8" w:color="00A1DF"/>
            </w:tcBorders>
          </w:tcPr>
          <w:p>
            <w:pPr>
              <w:spacing w:after="0"/>
              <w:rPr>
                <w:sz w:val="14"/>
                <w:szCs w:val="14"/>
                <w:color w:val="auto"/>
              </w:rPr>
            </w:pPr>
          </w:p>
        </w:tc>
        <w:tc>
          <w:tcPr>
            <w:tcW w:w="660" w:type="dxa"/>
            <w:vAlign w:val="bottom"/>
            <w:tcBorders>
              <w:top w:val="single" w:sz="8" w:color="00A1DF"/>
            </w:tcBorders>
          </w:tcPr>
          <w:p>
            <w:pPr>
              <w:spacing w:after="0"/>
              <w:rPr>
                <w:sz w:val="14"/>
                <w:szCs w:val="14"/>
                <w:color w:val="auto"/>
              </w:rPr>
            </w:pPr>
          </w:p>
        </w:tc>
        <w:tc>
          <w:tcPr>
            <w:tcW w:w="2020" w:type="dxa"/>
            <w:vAlign w:val="bottom"/>
            <w:tcBorders>
              <w:top w:val="single" w:sz="8" w:color="00A1DF"/>
            </w:tcBorders>
          </w:tcPr>
          <w:p>
            <w:pPr>
              <w:spacing w:after="0"/>
              <w:rPr>
                <w:sz w:val="14"/>
                <w:szCs w:val="14"/>
                <w:color w:val="auto"/>
              </w:rPr>
            </w:pPr>
          </w:p>
        </w:tc>
        <w:tc>
          <w:tcPr>
            <w:tcW w:w="1940" w:type="dxa"/>
            <w:vAlign w:val="bottom"/>
            <w:tcBorders>
              <w:top w:val="single" w:sz="8" w:color="00A1DF"/>
            </w:tcBorders>
          </w:tcPr>
          <w:p>
            <w:pPr>
              <w:spacing w:after="0"/>
              <w:rPr>
                <w:sz w:val="14"/>
                <w:szCs w:val="14"/>
                <w:color w:val="auto"/>
              </w:rPr>
            </w:pPr>
          </w:p>
        </w:tc>
        <w:tc>
          <w:tcPr>
            <w:tcW w:w="1600" w:type="dxa"/>
            <w:vAlign w:val="bottom"/>
            <w:tcBorders>
              <w:top w:val="single" w:sz="8" w:color="00A1DF"/>
            </w:tcBorders>
          </w:tcPr>
          <w:p>
            <w:pPr>
              <w:jc w:val="right"/>
              <w:ind w:right="123"/>
              <w:spacing w:after="0" w:line="168" w:lineRule="exact"/>
              <w:rPr>
                <w:sz w:val="20"/>
                <w:szCs w:val="20"/>
                <w:color w:val="auto"/>
              </w:rPr>
            </w:pPr>
            <w:r>
              <w:rPr>
                <w:rFonts w:ascii="Arial" w:cs="Arial" w:eastAsia="Arial" w:hAnsi="Arial"/>
                <w:sz w:val="15"/>
                <w:szCs w:val="15"/>
                <w:b w:val="1"/>
                <w:bCs w:val="1"/>
                <w:color w:val="00A1DF"/>
              </w:rPr>
              <w:t>Sole Dispositive</w:t>
            </w:r>
          </w:p>
        </w:tc>
        <w:tc>
          <w:tcPr>
            <w:tcW w:w="1640" w:type="dxa"/>
            <w:vAlign w:val="bottom"/>
            <w:tcBorders>
              <w:top w:val="single" w:sz="8" w:color="00A1DF"/>
            </w:tcBorders>
          </w:tcPr>
          <w:p>
            <w:pPr>
              <w:jc w:val="right"/>
              <w:spacing w:after="0" w:line="168" w:lineRule="exact"/>
              <w:rPr>
                <w:sz w:val="20"/>
                <w:szCs w:val="20"/>
                <w:color w:val="auto"/>
              </w:rPr>
            </w:pPr>
            <w:r>
              <w:rPr>
                <w:rFonts w:ascii="Arial" w:cs="Arial" w:eastAsia="Arial" w:hAnsi="Arial"/>
                <w:sz w:val="15"/>
                <w:szCs w:val="15"/>
                <w:b w:val="1"/>
                <w:bCs w:val="1"/>
                <w:color w:val="00A1DF"/>
              </w:rPr>
              <w:t>Shared Dispositive</w:t>
            </w:r>
          </w:p>
        </w:tc>
        <w:tc>
          <w:tcPr>
            <w:tcW w:w="0" w:type="dxa"/>
            <w:vAlign w:val="bottom"/>
          </w:tcPr>
          <w:p>
            <w:pPr>
              <w:spacing w:after="0"/>
              <w:rPr>
                <w:sz w:val="1"/>
                <w:szCs w:val="1"/>
                <w:color w:val="auto"/>
              </w:rPr>
            </w:pPr>
          </w:p>
        </w:tc>
      </w:tr>
      <w:tr>
        <w:trPr>
          <w:trHeight w:val="206"/>
        </w:trPr>
        <w:tc>
          <w:tcPr>
            <w:tcW w:w="250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Entity/ Filing</w:t>
            </w:r>
          </w:p>
        </w:tc>
        <w:tc>
          <w:tcPr>
            <w:tcW w:w="660" w:type="dxa"/>
            <w:vAlign w:val="bottom"/>
            <w:tcBorders>
              <w:bottom w:val="single" w:sz="8" w:color="00A1DF"/>
            </w:tcBorders>
          </w:tcPr>
          <w:p>
            <w:pPr>
              <w:spacing w:after="0"/>
              <w:rPr>
                <w:sz w:val="17"/>
                <w:szCs w:val="17"/>
                <w:color w:val="auto"/>
              </w:rPr>
            </w:pPr>
          </w:p>
        </w:tc>
        <w:tc>
          <w:tcPr>
            <w:tcW w:w="2020" w:type="dxa"/>
            <w:vAlign w:val="bottom"/>
            <w:tcBorders>
              <w:bottom w:val="single" w:sz="8" w:color="00A1DF"/>
            </w:tcBorders>
          </w:tcPr>
          <w:p>
            <w:pPr>
              <w:jc w:val="right"/>
              <w:ind w:right="123"/>
              <w:spacing w:after="0"/>
              <w:rPr>
                <w:sz w:val="20"/>
                <w:szCs w:val="20"/>
                <w:color w:val="auto"/>
              </w:rPr>
            </w:pPr>
            <w:r>
              <w:rPr>
                <w:rFonts w:ascii="Arial" w:cs="Arial" w:eastAsia="Arial" w:hAnsi="Arial"/>
                <w:sz w:val="15"/>
                <w:szCs w:val="15"/>
                <w:b w:val="1"/>
                <w:bCs w:val="1"/>
                <w:color w:val="00A1DF"/>
              </w:rPr>
              <w:t>Sole Voting Power</w:t>
            </w:r>
          </w:p>
        </w:tc>
        <w:tc>
          <w:tcPr>
            <w:tcW w:w="1940" w:type="dxa"/>
            <w:vAlign w:val="bottom"/>
            <w:tcBorders>
              <w:bottom w:val="single" w:sz="8" w:color="00A1DF"/>
            </w:tcBorders>
          </w:tcPr>
          <w:p>
            <w:pPr>
              <w:jc w:val="right"/>
              <w:ind w:right="123"/>
              <w:spacing w:after="0"/>
              <w:rPr>
                <w:sz w:val="20"/>
                <w:szCs w:val="20"/>
                <w:color w:val="auto"/>
              </w:rPr>
            </w:pPr>
            <w:r>
              <w:rPr>
                <w:rFonts w:ascii="Arial" w:cs="Arial" w:eastAsia="Arial" w:hAnsi="Arial"/>
                <w:sz w:val="15"/>
                <w:szCs w:val="15"/>
                <w:b w:val="1"/>
                <w:bCs w:val="1"/>
                <w:color w:val="00A1DF"/>
              </w:rPr>
              <w:t>Shared Voting Power</w:t>
            </w:r>
          </w:p>
        </w:tc>
        <w:tc>
          <w:tcPr>
            <w:tcW w:w="1600" w:type="dxa"/>
            <w:vAlign w:val="bottom"/>
            <w:tcBorders>
              <w:bottom w:val="single" w:sz="8" w:color="00A1DF"/>
            </w:tcBorders>
          </w:tcPr>
          <w:p>
            <w:pPr>
              <w:jc w:val="right"/>
              <w:ind w:right="123"/>
              <w:spacing w:after="0"/>
              <w:rPr>
                <w:sz w:val="20"/>
                <w:szCs w:val="20"/>
                <w:color w:val="auto"/>
              </w:rPr>
            </w:pPr>
            <w:r>
              <w:rPr>
                <w:rFonts w:ascii="Arial" w:cs="Arial" w:eastAsia="Arial" w:hAnsi="Arial"/>
                <w:sz w:val="15"/>
                <w:szCs w:val="15"/>
                <w:b w:val="1"/>
                <w:bCs w:val="1"/>
                <w:color w:val="00A1DF"/>
              </w:rPr>
              <w:t>Power</w:t>
            </w:r>
          </w:p>
        </w:tc>
        <w:tc>
          <w:tcPr>
            <w:tcW w:w="164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Power</w:t>
            </w:r>
          </w:p>
        </w:tc>
        <w:tc>
          <w:tcPr>
            <w:tcW w:w="0" w:type="dxa"/>
            <w:vAlign w:val="bottom"/>
          </w:tcPr>
          <w:p>
            <w:pPr>
              <w:spacing w:after="0"/>
              <w:rPr>
                <w:sz w:val="1"/>
                <w:szCs w:val="1"/>
                <w:color w:val="auto"/>
              </w:rPr>
            </w:pPr>
          </w:p>
        </w:tc>
      </w:tr>
      <w:tr>
        <w:trPr>
          <w:trHeight w:val="146"/>
        </w:trPr>
        <w:tc>
          <w:tcPr>
            <w:tcW w:w="2500" w:type="dxa"/>
            <w:vAlign w:val="bottom"/>
          </w:tcPr>
          <w:p>
            <w:pPr>
              <w:ind w:left="60"/>
              <w:spacing w:after="0" w:line="146" w:lineRule="exact"/>
              <w:rPr>
                <w:sz w:val="20"/>
                <w:szCs w:val="20"/>
                <w:color w:val="auto"/>
              </w:rPr>
            </w:pPr>
            <w:r>
              <w:rPr>
                <w:rFonts w:ascii="Arial" w:cs="Arial" w:eastAsia="Arial" w:hAnsi="Arial"/>
                <w:sz w:val="15"/>
                <w:szCs w:val="15"/>
                <w:color w:val="auto"/>
              </w:rPr>
              <w:t>UAW Retiree Medical Benefits Trust</w:t>
            </w:r>
          </w:p>
        </w:tc>
        <w:tc>
          <w:tcPr>
            <w:tcW w:w="660" w:type="dxa"/>
            <w:vAlign w:val="bottom"/>
            <w:vMerge w:val="restart"/>
          </w:tcPr>
          <w:p>
            <w:pPr>
              <w:spacing w:after="0"/>
              <w:rPr>
                <w:sz w:val="20"/>
                <w:szCs w:val="20"/>
                <w:color w:val="auto"/>
              </w:rPr>
            </w:pPr>
            <w:r>
              <w:rPr>
                <w:rFonts w:ascii="Arial" w:cs="Arial" w:eastAsia="Arial" w:hAnsi="Arial"/>
                <w:sz w:val="13"/>
                <w:szCs w:val="13"/>
                <w:color w:val="auto"/>
              </w:rPr>
              <w:t>(a)</w:t>
            </w:r>
          </w:p>
        </w:tc>
        <w:tc>
          <w:tcPr>
            <w:tcW w:w="2020" w:type="dxa"/>
            <w:vAlign w:val="bottom"/>
          </w:tcPr>
          <w:p>
            <w:pPr>
              <w:jc w:val="right"/>
              <w:ind w:right="123"/>
              <w:spacing w:after="0" w:line="146" w:lineRule="exact"/>
              <w:rPr>
                <w:sz w:val="20"/>
                <w:szCs w:val="20"/>
                <w:color w:val="auto"/>
              </w:rPr>
            </w:pPr>
            <w:r>
              <w:rPr>
                <w:rFonts w:ascii="Arial" w:cs="Arial" w:eastAsia="Arial" w:hAnsi="Arial"/>
                <w:sz w:val="15"/>
                <w:szCs w:val="15"/>
                <w:color w:val="auto"/>
              </w:rPr>
              <w:t>—</w:t>
            </w:r>
          </w:p>
        </w:tc>
        <w:tc>
          <w:tcPr>
            <w:tcW w:w="1940" w:type="dxa"/>
            <w:vAlign w:val="bottom"/>
          </w:tcPr>
          <w:p>
            <w:pPr>
              <w:jc w:val="right"/>
              <w:ind w:right="123"/>
              <w:spacing w:after="0" w:line="146" w:lineRule="exact"/>
              <w:rPr>
                <w:sz w:val="20"/>
                <w:szCs w:val="20"/>
                <w:color w:val="auto"/>
              </w:rPr>
            </w:pPr>
            <w:r>
              <w:rPr>
                <w:rFonts w:ascii="Arial" w:cs="Arial" w:eastAsia="Arial" w:hAnsi="Arial"/>
                <w:sz w:val="15"/>
                <w:szCs w:val="15"/>
                <w:color w:val="auto"/>
              </w:rPr>
              <w:t>100,150,000</w:t>
            </w:r>
          </w:p>
        </w:tc>
        <w:tc>
          <w:tcPr>
            <w:tcW w:w="1600" w:type="dxa"/>
            <w:vAlign w:val="bottom"/>
          </w:tcPr>
          <w:p>
            <w:pPr>
              <w:jc w:val="right"/>
              <w:ind w:right="123"/>
              <w:spacing w:after="0" w:line="146" w:lineRule="exact"/>
              <w:rPr>
                <w:sz w:val="20"/>
                <w:szCs w:val="20"/>
                <w:color w:val="auto"/>
              </w:rPr>
            </w:pPr>
            <w:r>
              <w:rPr>
                <w:rFonts w:ascii="Arial" w:cs="Arial" w:eastAsia="Arial" w:hAnsi="Arial"/>
                <w:sz w:val="15"/>
                <w:szCs w:val="15"/>
                <w:color w:val="auto"/>
              </w:rPr>
              <w:t>—</w:t>
            </w:r>
          </w:p>
        </w:tc>
        <w:tc>
          <w:tcPr>
            <w:tcW w:w="1640" w:type="dxa"/>
            <w:vAlign w:val="bottom"/>
          </w:tcPr>
          <w:p>
            <w:pPr>
              <w:jc w:val="right"/>
              <w:spacing w:after="0" w:line="146" w:lineRule="exact"/>
              <w:rPr>
                <w:sz w:val="20"/>
                <w:szCs w:val="20"/>
                <w:color w:val="auto"/>
              </w:rPr>
            </w:pPr>
            <w:r>
              <w:rPr>
                <w:rFonts w:ascii="Arial" w:cs="Arial" w:eastAsia="Arial" w:hAnsi="Arial"/>
                <w:sz w:val="15"/>
                <w:szCs w:val="15"/>
                <w:color w:val="auto"/>
              </w:rPr>
              <w:t>100,150,000</w:t>
            </w:r>
          </w:p>
        </w:tc>
        <w:tc>
          <w:tcPr>
            <w:tcW w:w="0" w:type="dxa"/>
            <w:vAlign w:val="bottom"/>
          </w:tcPr>
          <w:p>
            <w:pPr>
              <w:spacing w:after="0"/>
              <w:rPr>
                <w:sz w:val="1"/>
                <w:szCs w:val="1"/>
                <w:color w:val="auto"/>
              </w:rPr>
            </w:pPr>
          </w:p>
        </w:tc>
      </w:tr>
      <w:tr>
        <w:trPr>
          <w:trHeight w:val="38"/>
        </w:trPr>
        <w:tc>
          <w:tcPr>
            <w:tcW w:w="2500" w:type="dxa"/>
            <w:vAlign w:val="bottom"/>
            <w:vMerge w:val="restart"/>
          </w:tcPr>
          <w:p>
            <w:pPr>
              <w:ind w:left="60"/>
              <w:spacing w:after="0"/>
              <w:rPr>
                <w:sz w:val="20"/>
                <w:szCs w:val="20"/>
                <w:color w:val="auto"/>
              </w:rPr>
            </w:pPr>
            <w:r>
              <w:rPr>
                <w:rFonts w:ascii="Arial" w:cs="Arial" w:eastAsia="Arial" w:hAnsi="Arial"/>
                <w:sz w:val="15"/>
                <w:szCs w:val="15"/>
                <w:color w:val="auto"/>
              </w:rPr>
              <w:t>(Form 4, filed Mar. 5, 2018)</w:t>
            </w:r>
          </w:p>
        </w:tc>
        <w:tc>
          <w:tcPr>
            <w:tcW w:w="66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5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60"/>
              <w:spacing w:after="0"/>
              <w:rPr>
                <w:sz w:val="20"/>
                <w:szCs w:val="20"/>
                <w:color w:val="auto"/>
              </w:rPr>
            </w:pPr>
            <w:r>
              <w:rPr>
                <w:rFonts w:ascii="Arial" w:cs="Arial" w:eastAsia="Arial" w:hAnsi="Arial"/>
                <w:sz w:val="15"/>
                <w:szCs w:val="15"/>
                <w:color w:val="auto"/>
              </w:rPr>
              <w:t>The Vanguard Group</w:t>
            </w:r>
          </w:p>
        </w:tc>
        <w:tc>
          <w:tcPr>
            <w:tcW w:w="660" w:type="dxa"/>
            <w:vAlign w:val="bottom"/>
          </w:tcPr>
          <w:p>
            <w:pPr>
              <w:spacing w:after="0"/>
              <w:rPr>
                <w:sz w:val="17"/>
                <w:szCs w:val="17"/>
                <w:color w:val="auto"/>
              </w:rPr>
            </w:pPr>
          </w:p>
        </w:tc>
        <w:tc>
          <w:tcPr>
            <w:tcW w:w="2020" w:type="dxa"/>
            <w:vAlign w:val="bottom"/>
          </w:tcPr>
          <w:p>
            <w:pPr>
              <w:jc w:val="right"/>
              <w:ind w:right="123"/>
              <w:spacing w:after="0"/>
              <w:rPr>
                <w:sz w:val="20"/>
                <w:szCs w:val="20"/>
                <w:color w:val="auto"/>
              </w:rPr>
            </w:pPr>
            <w:r>
              <w:rPr>
                <w:rFonts w:ascii="Arial" w:cs="Arial" w:eastAsia="Arial" w:hAnsi="Arial"/>
                <w:sz w:val="15"/>
                <w:szCs w:val="15"/>
                <w:color w:val="auto"/>
              </w:rPr>
              <w:t>1,806,486</w:t>
            </w:r>
          </w:p>
        </w:tc>
        <w:tc>
          <w:tcPr>
            <w:tcW w:w="1940" w:type="dxa"/>
            <w:vAlign w:val="bottom"/>
          </w:tcPr>
          <w:p>
            <w:pPr>
              <w:jc w:val="right"/>
              <w:ind w:right="123"/>
              <w:spacing w:after="0"/>
              <w:rPr>
                <w:sz w:val="20"/>
                <w:szCs w:val="20"/>
                <w:color w:val="auto"/>
              </w:rPr>
            </w:pPr>
            <w:r>
              <w:rPr>
                <w:rFonts w:ascii="Arial" w:cs="Arial" w:eastAsia="Arial" w:hAnsi="Arial"/>
                <w:sz w:val="15"/>
                <w:szCs w:val="15"/>
                <w:color w:val="auto"/>
              </w:rPr>
              <w:t>293,363</w:t>
            </w:r>
          </w:p>
        </w:tc>
        <w:tc>
          <w:tcPr>
            <w:tcW w:w="1600" w:type="dxa"/>
            <w:vAlign w:val="bottom"/>
          </w:tcPr>
          <w:p>
            <w:pPr>
              <w:jc w:val="right"/>
              <w:ind w:right="123"/>
              <w:spacing w:after="0"/>
              <w:rPr>
                <w:sz w:val="20"/>
                <w:szCs w:val="20"/>
                <w:color w:val="auto"/>
              </w:rPr>
            </w:pPr>
            <w:r>
              <w:rPr>
                <w:rFonts w:ascii="Arial" w:cs="Arial" w:eastAsia="Arial" w:hAnsi="Arial"/>
                <w:sz w:val="15"/>
                <w:szCs w:val="15"/>
                <w:color w:val="auto"/>
              </w:rPr>
              <w:t>85,419,593</w:t>
            </w:r>
          </w:p>
        </w:tc>
        <w:tc>
          <w:tcPr>
            <w:tcW w:w="1640" w:type="dxa"/>
            <w:vAlign w:val="bottom"/>
          </w:tcPr>
          <w:p>
            <w:pPr>
              <w:jc w:val="right"/>
              <w:spacing w:after="0"/>
              <w:rPr>
                <w:sz w:val="20"/>
                <w:szCs w:val="20"/>
                <w:color w:val="auto"/>
              </w:rPr>
            </w:pPr>
            <w:r>
              <w:rPr>
                <w:rFonts w:ascii="Arial" w:cs="Arial" w:eastAsia="Arial" w:hAnsi="Arial"/>
                <w:sz w:val="15"/>
                <w:szCs w:val="15"/>
                <w:color w:val="auto"/>
              </w:rPr>
              <w:t>2,018,273</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(Sch. 13G, filed Feb. 9, 2018)</w:t>
            </w: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ind w:left="60"/>
              <w:spacing w:after="0"/>
              <w:rPr>
                <w:sz w:val="20"/>
                <w:szCs w:val="20"/>
                <w:color w:val="auto"/>
              </w:rPr>
            </w:pPr>
            <w:r>
              <w:rPr>
                <w:rFonts w:ascii="Arial" w:cs="Arial" w:eastAsia="Arial" w:hAnsi="Arial"/>
                <w:sz w:val="15"/>
                <w:szCs w:val="15"/>
                <w:color w:val="auto"/>
              </w:rPr>
              <w:t>BlackRock, Inc.</w:t>
            </w:r>
          </w:p>
        </w:tc>
        <w:tc>
          <w:tcPr>
            <w:tcW w:w="660" w:type="dxa"/>
            <w:vAlign w:val="bottom"/>
          </w:tcPr>
          <w:p>
            <w:pPr>
              <w:spacing w:after="0"/>
              <w:rPr>
                <w:sz w:val="15"/>
                <w:szCs w:val="15"/>
                <w:color w:val="auto"/>
              </w:rPr>
            </w:pPr>
          </w:p>
        </w:tc>
        <w:tc>
          <w:tcPr>
            <w:tcW w:w="2020" w:type="dxa"/>
            <w:vAlign w:val="bottom"/>
          </w:tcPr>
          <w:p>
            <w:pPr>
              <w:jc w:val="right"/>
              <w:ind w:right="123"/>
              <w:spacing w:after="0"/>
              <w:rPr>
                <w:sz w:val="20"/>
                <w:szCs w:val="20"/>
                <w:color w:val="auto"/>
              </w:rPr>
            </w:pPr>
            <w:r>
              <w:rPr>
                <w:rFonts w:ascii="Arial" w:cs="Arial" w:eastAsia="Arial" w:hAnsi="Arial"/>
                <w:sz w:val="15"/>
                <w:szCs w:val="15"/>
                <w:color w:val="auto"/>
              </w:rPr>
              <w:t>65,871,841</w:t>
            </w:r>
          </w:p>
        </w:tc>
        <w:tc>
          <w:tcPr>
            <w:tcW w:w="194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23"/>
              <w:spacing w:after="0"/>
              <w:rPr>
                <w:sz w:val="20"/>
                <w:szCs w:val="20"/>
                <w:color w:val="auto"/>
              </w:rPr>
            </w:pPr>
            <w:r>
              <w:rPr>
                <w:rFonts w:ascii="Arial" w:cs="Arial" w:eastAsia="Arial" w:hAnsi="Arial"/>
                <w:sz w:val="15"/>
                <w:szCs w:val="15"/>
                <w:color w:val="auto"/>
              </w:rPr>
              <w:t>76,922,292</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(Sch. 13G, filed Feb. 8, 2018)</w:t>
            </w: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60" w:right="60" w:hanging="432"/>
        <w:spacing w:after="0" w:line="254" w:lineRule="auto"/>
        <w:tabs>
          <w:tab w:leader="none" w:pos="96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Pursuant to the Stockholders Agreement dated October 15, 2009, between the Company and the VEBA Trust, the VEBA Trust will vote its shares of our common stock on each matter presented to the shareholders at the Annual Meeting in the same proportionate manner as the holders of our common stock other than our directors and executive officers. The VEBA Trust will be subject to the terms of the Stockholders Agreement until it beneficially owns less than 2% of the shares of our common stock then issued and outstanding.</w:t>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Section 16(a) Beneficial Ownership Reporting Compliance</w:t>
      </w:r>
    </w:p>
    <w:p>
      <w:pPr>
        <w:spacing w:after="0" w:line="284"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Federal securities laws require that our directors and executive officers and shareholders that own more than 10% of our common stock report to the SEC and the Company certain changes in ownership and ownership information within specified periods. Based solely on a review of the reports furnished to us or filed with the SEC and upon information furnished by these people, we believe that during 2017 all of our directors and officers timely filed all reports they were required to file under Section 16(a) of the Securities Exchange Act of 1934.</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659"/>
        <w:spacing w:after="0"/>
        <w:rPr>
          <w:sz w:val="20"/>
          <w:szCs w:val="20"/>
          <w:color w:val="auto"/>
        </w:rPr>
      </w:pPr>
      <w:r>
        <w:rPr>
          <w:rFonts w:ascii="Arial" w:cs="Arial" w:eastAsia="Arial" w:hAnsi="Arial"/>
          <w:sz w:val="14"/>
          <w:szCs w:val="14"/>
          <w:color w:val="0033A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38"/>
          <w:szCs w:val="38"/>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420370</wp:posOffset>
            </wp:positionV>
            <wp:extent cx="694626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462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4580" w:type="dxa"/>
            <w:vAlign w:val="bottom"/>
            <w:gridSpan w:val="5"/>
          </w:tcPr>
          <w:p>
            <w:pPr>
              <w:spacing w:after="0"/>
              <w:rPr>
                <w:sz w:val="20"/>
                <w:szCs w:val="20"/>
                <w:color w:val="auto"/>
              </w:rPr>
            </w:pPr>
            <w:r>
              <w:rPr>
                <w:rFonts w:ascii="Arial" w:cs="Arial" w:eastAsia="Arial" w:hAnsi="Arial"/>
                <w:sz w:val="18"/>
                <w:szCs w:val="18"/>
                <w:b w:val="1"/>
                <w:bCs w:val="1"/>
                <w:color w:val="0033A0"/>
              </w:rPr>
              <w:t>Compensation Discussion and Analysis (CD&amp;A)</w:t>
            </w:r>
          </w:p>
        </w:tc>
        <w:tc>
          <w:tcPr>
            <w:tcW w:w="1040" w:type="dxa"/>
            <w:vAlign w:val="bottom"/>
          </w:tcPr>
          <w:p>
            <w:pPr>
              <w:spacing w:after="0"/>
              <w:rPr>
                <w:sz w:val="19"/>
                <w:szCs w:val="19"/>
                <w:color w:val="auto"/>
              </w:rPr>
            </w:pPr>
          </w:p>
        </w:tc>
        <w:tc>
          <w:tcPr>
            <w:tcW w:w="3320" w:type="dxa"/>
            <w:vAlign w:val="bottom"/>
            <w:gridSpan w:val="8"/>
          </w:tcPr>
          <w:p>
            <w:pPr>
              <w:spacing w:after="0"/>
              <w:rPr>
                <w:sz w:val="20"/>
                <w:szCs w:val="20"/>
                <w:color w:val="auto"/>
              </w:rPr>
            </w:pPr>
            <w:r>
              <w:rPr>
                <w:rFonts w:ascii="Arial" w:cs="Arial" w:eastAsia="Arial" w:hAnsi="Arial"/>
                <w:sz w:val="18"/>
                <w:szCs w:val="18"/>
                <w:b w:val="1"/>
                <w:bCs w:val="1"/>
                <w:color w:val="0033A0"/>
              </w:rPr>
              <w:t>Executive Compensation Tables</w:t>
            </w:r>
          </w:p>
        </w:tc>
        <w:tc>
          <w:tcPr>
            <w:tcW w:w="2020" w:type="dxa"/>
            <w:vAlign w:val="bottom"/>
          </w:tcPr>
          <w:p>
            <w:pPr>
              <w:spacing w:after="0"/>
              <w:rPr>
                <w:sz w:val="19"/>
                <w:szCs w:val="19"/>
                <w:color w:val="auto"/>
              </w:rPr>
            </w:pPr>
          </w:p>
        </w:tc>
      </w:tr>
      <w:tr>
        <w:trPr>
          <w:trHeight w:val="160"/>
        </w:trPr>
        <w:tc>
          <w:tcPr>
            <w:tcW w:w="1780" w:type="dxa"/>
            <w:vAlign w:val="bottom"/>
            <w:gridSpan w:val="2"/>
          </w:tcPr>
          <w:p>
            <w:pPr>
              <w:spacing w:after="0" w:line="160" w:lineRule="exact"/>
              <w:rPr>
                <w:rFonts w:ascii="Arial" w:cs="Arial" w:eastAsia="Arial" w:hAnsi="Arial"/>
                <w:sz w:val="16"/>
                <w:szCs w:val="16"/>
                <w:color w:val="0000EE"/>
                <w:w w:val="99"/>
              </w:rPr>
            </w:pPr>
            <w:hyperlink w:anchor="page43">
              <w:r>
                <w:rPr>
                  <w:rFonts w:ascii="Arial" w:cs="Arial" w:eastAsia="Arial" w:hAnsi="Arial"/>
                  <w:sz w:val="16"/>
                  <w:szCs w:val="16"/>
                  <w:color w:val="0000EE"/>
                  <w:w w:val="99"/>
                </w:rPr>
                <w:t>Compensation Overview</w:t>
              </w:r>
            </w:hyperlink>
          </w:p>
        </w:tc>
        <w:tc>
          <w:tcPr>
            <w:tcW w:w="2800" w:type="dxa"/>
            <w:vAlign w:val="bottom"/>
            <w:gridSpan w:val="3"/>
          </w:tcPr>
          <w:p>
            <w:pPr>
              <w:spacing w:after="0"/>
              <w:rPr>
                <w:sz w:val="13"/>
                <w:szCs w:val="13"/>
                <w:color w:val="auto"/>
              </w:rPr>
            </w:pPr>
          </w:p>
        </w:tc>
        <w:tc>
          <w:tcPr>
            <w:tcW w:w="1040" w:type="dxa"/>
            <w:vAlign w:val="bottom"/>
          </w:tcPr>
          <w:p>
            <w:pPr>
              <w:jc w:val="right"/>
              <w:ind w:right="299"/>
              <w:spacing w:after="0" w:line="160" w:lineRule="exact"/>
              <w:rPr>
                <w:sz w:val="20"/>
                <w:szCs w:val="20"/>
                <w:color w:val="auto"/>
              </w:rPr>
            </w:pPr>
            <w:r>
              <w:rPr>
                <w:rFonts w:ascii="Arial" w:cs="Arial" w:eastAsia="Arial" w:hAnsi="Arial"/>
                <w:sz w:val="16"/>
                <w:szCs w:val="16"/>
                <w:color w:val="auto"/>
              </w:rPr>
              <w:t>36</w:t>
            </w:r>
          </w:p>
        </w:tc>
        <w:tc>
          <w:tcPr>
            <w:tcW w:w="3320" w:type="dxa"/>
            <w:vAlign w:val="bottom"/>
            <w:gridSpan w:val="8"/>
          </w:tcPr>
          <w:p>
            <w:pPr>
              <w:spacing w:after="0" w:line="160" w:lineRule="exact"/>
              <w:rPr>
                <w:rFonts w:ascii="Arial" w:cs="Arial" w:eastAsia="Arial" w:hAnsi="Arial"/>
                <w:sz w:val="16"/>
                <w:szCs w:val="16"/>
                <w:color w:val="0000EE"/>
              </w:rPr>
            </w:pPr>
            <w:hyperlink w:anchor="page64">
              <w:r>
                <w:rPr>
                  <w:rFonts w:ascii="Arial" w:cs="Arial" w:eastAsia="Arial" w:hAnsi="Arial"/>
                  <w:sz w:val="16"/>
                  <w:szCs w:val="16"/>
                  <w:color w:val="0000EE"/>
                </w:rPr>
                <w:t>Summary Compensation Table</w:t>
              </w:r>
            </w:hyperlink>
          </w:p>
        </w:tc>
        <w:tc>
          <w:tcPr>
            <w:tcW w:w="2020" w:type="dxa"/>
            <w:vAlign w:val="bottom"/>
          </w:tcPr>
          <w:p>
            <w:pPr>
              <w:jc w:val="right"/>
              <w:spacing w:after="0" w:line="160" w:lineRule="exact"/>
              <w:rPr>
                <w:sz w:val="20"/>
                <w:szCs w:val="20"/>
                <w:color w:val="auto"/>
              </w:rPr>
            </w:pPr>
            <w:r>
              <w:rPr>
                <w:rFonts w:ascii="Arial" w:cs="Arial" w:eastAsia="Arial" w:hAnsi="Arial"/>
                <w:sz w:val="16"/>
                <w:szCs w:val="16"/>
                <w:color w:val="auto"/>
              </w:rPr>
              <w:t>57</w:t>
            </w:r>
          </w:p>
        </w:tc>
      </w:tr>
      <w:tr>
        <w:trPr>
          <w:trHeight w:val="20"/>
        </w:trPr>
        <w:tc>
          <w:tcPr>
            <w:tcW w:w="1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4580" w:type="dxa"/>
            <w:vAlign w:val="bottom"/>
            <w:gridSpan w:val="5"/>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Compensation Principles</w:t>
              </w:r>
            </w:hyperlink>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43</w:t>
            </w:r>
          </w:p>
        </w:tc>
        <w:tc>
          <w:tcPr>
            <w:tcW w:w="3320" w:type="dxa"/>
            <w:vAlign w:val="bottom"/>
            <w:gridSpan w:val="8"/>
          </w:tcPr>
          <w:p>
            <w:pPr>
              <w:spacing w:after="0" w:line="169" w:lineRule="exact"/>
              <w:rPr>
                <w:rFonts w:ascii="Arial" w:cs="Arial" w:eastAsia="Arial" w:hAnsi="Arial"/>
                <w:sz w:val="16"/>
                <w:szCs w:val="16"/>
                <w:color w:val="0000EE"/>
              </w:rPr>
            </w:pPr>
            <w:hyperlink w:anchor="page66">
              <w:r>
                <w:rPr>
                  <w:rFonts w:ascii="Arial" w:cs="Arial" w:eastAsia="Arial" w:hAnsi="Arial"/>
                  <w:sz w:val="16"/>
                  <w:szCs w:val="16"/>
                  <w:color w:val="0000EE"/>
                </w:rPr>
                <w:t>Grants of Plan-Based Awards</w:t>
              </w:r>
            </w:hyperlink>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59</w:t>
            </w:r>
          </w:p>
        </w:tc>
      </w:tr>
      <w:tr>
        <w:trPr>
          <w:trHeight w:val="20"/>
        </w:trPr>
        <w:tc>
          <w:tcPr>
            <w:tcW w:w="1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178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50">
              <w:r>
                <w:rPr>
                  <w:rFonts w:ascii="Arial" w:cs="Arial" w:eastAsia="Arial" w:hAnsi="Arial"/>
                  <w:sz w:val="16"/>
                  <w:szCs w:val="16"/>
                  <w:color w:val="0000EE"/>
                  <w:w w:val="99"/>
                </w:rPr>
                <w:t>Compensation Elements</w:t>
              </w:r>
            </w:hyperlink>
          </w:p>
        </w:tc>
        <w:tc>
          <w:tcPr>
            <w:tcW w:w="2800" w:type="dxa"/>
            <w:vAlign w:val="bottom"/>
            <w:gridSpan w:val="3"/>
          </w:tcPr>
          <w:p>
            <w:pPr>
              <w:spacing w:after="0"/>
              <w:rPr>
                <w:sz w:val="14"/>
                <w:szCs w:val="14"/>
                <w:color w:val="auto"/>
              </w:rPr>
            </w:pPr>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43</w:t>
            </w:r>
          </w:p>
        </w:tc>
        <w:tc>
          <w:tcPr>
            <w:tcW w:w="332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Outstanding Equity Awards at Fiscal Year-End</w:t>
              </w:r>
            </w:hyperlink>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60</w:t>
            </w:r>
          </w:p>
        </w:tc>
      </w:tr>
      <w:tr>
        <w:trPr>
          <w:trHeight w:val="169"/>
        </w:trPr>
        <w:tc>
          <w:tcPr>
            <w:tcW w:w="1700" w:type="dxa"/>
            <w:vAlign w:val="bottom"/>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Performance Measures</w:t>
              </w:r>
            </w:hyperlink>
          </w:p>
        </w:tc>
        <w:tc>
          <w:tcPr>
            <w:tcW w:w="2880" w:type="dxa"/>
            <w:vAlign w:val="bottom"/>
            <w:gridSpan w:val="4"/>
          </w:tcPr>
          <w:p>
            <w:pPr>
              <w:spacing w:after="0"/>
              <w:rPr>
                <w:sz w:val="14"/>
                <w:szCs w:val="14"/>
                <w:color w:val="auto"/>
              </w:rPr>
            </w:pPr>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44</w:t>
            </w:r>
          </w:p>
        </w:tc>
        <w:tc>
          <w:tcPr>
            <w:tcW w:w="3320" w:type="dxa"/>
            <w:vAlign w:val="bottom"/>
            <w:gridSpan w:val="8"/>
          </w:tcPr>
          <w:p>
            <w:pPr>
              <w:spacing w:after="0" w:line="169" w:lineRule="exact"/>
              <w:rPr>
                <w:rFonts w:ascii="Arial" w:cs="Arial" w:eastAsia="Arial" w:hAnsi="Arial"/>
                <w:sz w:val="16"/>
                <w:szCs w:val="16"/>
                <w:color w:val="0000EE"/>
              </w:rPr>
            </w:pPr>
            <w:hyperlink w:anchor="page68">
              <w:r>
                <w:rPr>
                  <w:rFonts w:ascii="Arial" w:cs="Arial" w:eastAsia="Arial" w:hAnsi="Arial"/>
                  <w:sz w:val="16"/>
                  <w:szCs w:val="16"/>
                  <w:color w:val="0000EE"/>
                </w:rPr>
                <w:t>Option Exercises and Stock Vested</w:t>
              </w:r>
            </w:hyperlink>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61</w:t>
            </w:r>
          </w:p>
        </w:tc>
      </w:tr>
      <w:tr>
        <w:trPr>
          <w:trHeight w:val="20"/>
        </w:trPr>
        <w:tc>
          <w:tcPr>
            <w:tcW w:w="17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3680" w:type="dxa"/>
            <w:vAlign w:val="bottom"/>
            <w:gridSpan w:val="4"/>
          </w:tcPr>
          <w:p>
            <w:pPr>
              <w:spacing w:after="0" w:line="169" w:lineRule="exact"/>
              <w:rPr>
                <w:rFonts w:ascii="Arial" w:cs="Arial" w:eastAsia="Arial" w:hAnsi="Arial"/>
                <w:sz w:val="16"/>
                <w:szCs w:val="16"/>
                <w:color w:val="0000EE"/>
              </w:rPr>
            </w:pPr>
            <w:hyperlink w:anchor="page54">
              <w:r>
                <w:rPr>
                  <w:rFonts w:ascii="Arial" w:cs="Arial" w:eastAsia="Arial" w:hAnsi="Arial"/>
                  <w:sz w:val="16"/>
                  <w:szCs w:val="16"/>
                  <w:color w:val="0000EE"/>
                </w:rPr>
                <w:t>Performance Results and Compensation Decisions</w:t>
              </w:r>
            </w:hyperlink>
          </w:p>
        </w:tc>
        <w:tc>
          <w:tcPr>
            <w:tcW w:w="900" w:type="dxa"/>
            <w:vAlign w:val="bottom"/>
          </w:tcPr>
          <w:p>
            <w:pPr>
              <w:spacing w:after="0"/>
              <w:rPr>
                <w:sz w:val="14"/>
                <w:szCs w:val="14"/>
                <w:color w:val="auto"/>
              </w:rPr>
            </w:pPr>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47</w:t>
            </w:r>
          </w:p>
        </w:tc>
        <w:tc>
          <w:tcPr>
            <w:tcW w:w="3320" w:type="dxa"/>
            <w:vAlign w:val="bottom"/>
            <w:gridSpan w:val="8"/>
          </w:tcPr>
          <w:p>
            <w:pPr>
              <w:spacing w:after="0" w:line="169" w:lineRule="exact"/>
              <w:rPr>
                <w:rFonts w:ascii="Arial" w:cs="Arial" w:eastAsia="Arial" w:hAnsi="Arial"/>
                <w:sz w:val="16"/>
                <w:szCs w:val="16"/>
                <w:color w:val="0000EE"/>
              </w:rPr>
            </w:pPr>
            <w:hyperlink w:anchor="page68">
              <w:r>
                <w:rPr>
                  <w:rFonts w:ascii="Arial" w:cs="Arial" w:eastAsia="Arial" w:hAnsi="Arial"/>
                  <w:sz w:val="16"/>
                  <w:szCs w:val="16"/>
                  <w:color w:val="0000EE"/>
                </w:rPr>
                <w:t>Pension Benefits</w:t>
              </w:r>
            </w:hyperlink>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61</w:t>
            </w:r>
          </w:p>
        </w:tc>
      </w:tr>
      <w:tr>
        <w:trPr>
          <w:trHeight w:val="20"/>
        </w:trPr>
        <w:tc>
          <w:tcPr>
            <w:tcW w:w="2420" w:type="dxa"/>
            <w:vAlign w:val="bottom"/>
            <w:gridSpan w:val="3"/>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3680" w:type="dxa"/>
            <w:vAlign w:val="bottom"/>
            <w:gridSpan w:val="4"/>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Compensation Policies and Governance Practices</w:t>
              </w:r>
            </w:hyperlink>
          </w:p>
        </w:tc>
        <w:tc>
          <w:tcPr>
            <w:tcW w:w="900" w:type="dxa"/>
            <w:vAlign w:val="bottom"/>
          </w:tcPr>
          <w:p>
            <w:pPr>
              <w:spacing w:after="0"/>
              <w:rPr>
                <w:sz w:val="14"/>
                <w:szCs w:val="14"/>
                <w:color w:val="auto"/>
              </w:rPr>
            </w:pPr>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54</w:t>
            </w:r>
          </w:p>
        </w:tc>
        <w:tc>
          <w:tcPr>
            <w:tcW w:w="3320" w:type="dxa"/>
            <w:vAlign w:val="bottom"/>
            <w:gridSpan w:val="8"/>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Nonqualified Deferred Compensation Plan</w:t>
              </w:r>
            </w:hyperlink>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63</w:t>
            </w:r>
          </w:p>
        </w:tc>
      </w:tr>
      <w:tr>
        <w:trPr>
          <w:trHeight w:val="169"/>
        </w:trPr>
        <w:tc>
          <w:tcPr>
            <w:tcW w:w="242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Compensation Committee Report</w:t>
              </w:r>
            </w:hyperlink>
          </w:p>
        </w:tc>
        <w:tc>
          <w:tcPr>
            <w:tcW w:w="1260" w:type="dxa"/>
            <w:vAlign w:val="bottom"/>
            <w:tcBorders>
              <w:top w:val="single" w:sz="8" w:color="0000EE"/>
            </w:tcBorders>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56</w:t>
            </w:r>
          </w:p>
        </w:tc>
        <w:tc>
          <w:tcPr>
            <w:tcW w:w="304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71">
              <w:r>
                <w:rPr>
                  <w:rFonts w:ascii="Arial" w:cs="Arial" w:eastAsia="Arial" w:hAnsi="Arial"/>
                  <w:sz w:val="16"/>
                  <w:szCs w:val="16"/>
                  <w:color w:val="0000EE"/>
                </w:rPr>
                <w:t>Potential Payments Upon Termination</w:t>
              </w:r>
            </w:hyperlink>
          </w:p>
        </w:tc>
        <w:tc>
          <w:tcPr>
            <w:tcW w:w="280" w:type="dxa"/>
            <w:vAlign w:val="bottom"/>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64</w:t>
            </w:r>
          </w:p>
        </w:tc>
      </w:tr>
      <w:tr>
        <w:trPr>
          <w:trHeight w:val="20"/>
        </w:trPr>
        <w:tc>
          <w:tcPr>
            <w:tcW w:w="1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74">
              <w:r>
                <w:rPr>
                  <w:rFonts w:ascii="Arial" w:cs="Arial" w:eastAsia="Arial" w:hAnsi="Arial"/>
                  <w:sz w:val="16"/>
                  <w:szCs w:val="16"/>
                  <w:color w:val="0000EE"/>
                </w:rPr>
                <w:t>Equity Compensation Plan Information</w:t>
              </w:r>
            </w:hyperlink>
          </w:p>
        </w:tc>
        <w:tc>
          <w:tcPr>
            <w:tcW w:w="540" w:type="dxa"/>
            <w:vAlign w:val="bottom"/>
            <w:gridSpan w:val="2"/>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Defined terms:</w:t>
      </w:r>
    </w:p>
    <w:p>
      <w:pPr>
        <w:sectPr>
          <w:pgSz w:w="11900" w:h="16838" w:orient="portrait"/>
          <w:cols w:equalWidth="0" w:num="1">
            <w:col w:w="11260"/>
          </w:cols>
          <w:pgMar w:left="240" w:top="459" w:right="399" w:bottom="1440" w:gutter="0" w:footer="0" w:header="0"/>
        </w:sectPr>
      </w:pPr>
    </w:p>
    <w:p>
      <w:pPr>
        <w:spacing w:after="0" w:line="367"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AFCF – Automotive Free Cash Flow</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2900"/>
        <w:spacing w:after="0"/>
        <w:tabs>
          <w:tab w:leader="none" w:pos="120" w:val="left"/>
        </w:tabs>
        <w:rPr>
          <w:sz w:val="20"/>
          <w:szCs w:val="20"/>
          <w:color w:val="auto"/>
        </w:rPr>
      </w:pPr>
      <w:r>
        <w:rPr>
          <w:rFonts w:ascii="Arial" w:cs="Arial" w:eastAsia="Arial" w:hAnsi="Arial"/>
          <w:sz w:val="16"/>
          <w:szCs w:val="16"/>
          <w:i w:val="1"/>
          <w:iCs w:val="1"/>
          <w:color w:val="auto"/>
        </w:rPr>
        <w:t>•</w:t>
        <w:tab/>
        <w:t>NEO – Named Executive Officer</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DB – Defined Benefit</w:t>
      </w:r>
    </w:p>
    <w:p>
      <w:pPr>
        <w:spacing w:after="0" w:line="20" w:lineRule="exact"/>
        <w:rPr>
          <w:sz w:val="20"/>
          <w:szCs w:val="20"/>
          <w:color w:val="auto"/>
        </w:rPr>
      </w:pPr>
      <w:r>
        <w:rPr>
          <w:sz w:val="20"/>
          <w:szCs w:val="20"/>
          <w:color w:val="auto"/>
        </w:rPr>
        <w:br w:type="column"/>
      </w:r>
    </w:p>
    <w:p>
      <w:pPr>
        <w:jc w:val="center"/>
        <w:ind w:right="3820"/>
        <w:spacing w:after="0"/>
        <w:tabs>
          <w:tab w:leader="none" w:pos="120" w:val="left"/>
        </w:tabs>
        <w:rPr>
          <w:sz w:val="20"/>
          <w:szCs w:val="20"/>
          <w:color w:val="auto"/>
        </w:rPr>
      </w:pPr>
      <w:r>
        <w:rPr>
          <w:rFonts w:ascii="Arial" w:cs="Arial" w:eastAsia="Arial" w:hAnsi="Arial"/>
          <w:sz w:val="16"/>
          <w:szCs w:val="16"/>
          <w:i w:val="1"/>
          <w:iCs w:val="1"/>
          <w:color w:val="auto"/>
        </w:rPr>
        <w:t>•</w:t>
        <w:tab/>
        <w:t>NQ – Non-Qualified</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DC – Defined Contribution</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i w:val="1"/>
          <w:iCs w:val="1"/>
          <w:color w:val="auto"/>
        </w:rPr>
        <w:t>•</w:t>
        <w:tab/>
        <w:t>OEM – Original Equipment Manufacturer</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DSV – Driving Stockholder Value</w:t>
      </w:r>
    </w:p>
    <w:p>
      <w:pPr>
        <w:spacing w:after="0" w:line="20" w:lineRule="exact"/>
        <w:rPr>
          <w:sz w:val="20"/>
          <w:szCs w:val="20"/>
          <w:color w:val="auto"/>
        </w:rPr>
      </w:pPr>
      <w:r>
        <w:rPr>
          <w:sz w:val="20"/>
          <w:szCs w:val="20"/>
          <w:color w:val="auto"/>
        </w:rPr>
        <w:br w:type="column"/>
      </w:r>
    </w:p>
    <w:p>
      <w:pPr>
        <w:jc w:val="center"/>
        <w:ind w:right="2980"/>
        <w:spacing w:after="0"/>
        <w:tabs>
          <w:tab w:leader="none" w:pos="120" w:val="left"/>
        </w:tabs>
        <w:rPr>
          <w:sz w:val="20"/>
          <w:szCs w:val="20"/>
          <w:color w:val="auto"/>
        </w:rPr>
      </w:pPr>
      <w:r>
        <w:rPr>
          <w:rFonts w:ascii="Arial" w:cs="Arial" w:eastAsia="Arial" w:hAnsi="Arial"/>
          <w:sz w:val="16"/>
          <w:szCs w:val="16"/>
          <w:i w:val="1"/>
          <w:iCs w:val="1"/>
          <w:color w:val="auto"/>
        </w:rPr>
        <w:t>•</w:t>
        <w:tab/>
        <w:t>PSU – Performance Share Unit</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EBIT – Earnings Before Interest and Taxes</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i w:val="1"/>
          <w:iCs w:val="1"/>
          <w:color w:val="auto"/>
        </w:rPr>
        <w:t>•</w:t>
        <w:tab/>
        <w:t>RSA – Restricted Stock Award</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EPS – Earnings Per Share</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i w:val="1"/>
          <w:iCs w:val="1"/>
          <w:color w:val="auto"/>
        </w:rPr>
        <w:t>•</w:t>
        <w:tab/>
        <w:t>ROIC – Return on Invested Capital</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ESG – Environmental, Social, and Governance</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i w:val="1"/>
          <w:iCs w:val="1"/>
          <w:color w:val="auto"/>
        </w:rPr>
        <w:t>•</w:t>
        <w:tab/>
        <w:t>RSU – Restricted Stock Unit</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LTIP – Long-Term Incentive Plan</w:t>
      </w:r>
    </w:p>
    <w:p>
      <w:pPr>
        <w:spacing w:after="0" w:line="20" w:lineRule="exact"/>
        <w:rPr>
          <w:sz w:val="20"/>
          <w:szCs w:val="20"/>
          <w:color w:val="auto"/>
        </w:rPr>
      </w:pPr>
      <w:r>
        <w:rPr>
          <w:sz w:val="20"/>
          <w:szCs w:val="20"/>
          <w:color w:val="auto"/>
        </w:rPr>
        <w:br w:type="column"/>
      </w:r>
    </w:p>
    <w:p>
      <w:pPr>
        <w:jc w:val="center"/>
        <w:ind w:right="2820"/>
        <w:spacing w:after="0"/>
        <w:tabs>
          <w:tab w:leader="none" w:pos="120" w:val="left"/>
        </w:tabs>
        <w:rPr>
          <w:sz w:val="20"/>
          <w:szCs w:val="20"/>
          <w:color w:val="auto"/>
        </w:rPr>
      </w:pPr>
      <w:r>
        <w:rPr>
          <w:rFonts w:ascii="Arial" w:cs="Arial" w:eastAsia="Arial" w:hAnsi="Arial"/>
          <w:sz w:val="16"/>
          <w:szCs w:val="16"/>
          <w:i w:val="1"/>
          <w:iCs w:val="1"/>
          <w:color w:val="auto"/>
        </w:rPr>
        <w:t>•</w:t>
        <w:tab/>
        <w:t>STIP – Short-Term Incentive Plan</w:t>
      </w:r>
    </w:p>
    <w:p>
      <w:pPr>
        <w:spacing w:after="0" w:line="86"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ind w:left="200"/>
        <w:spacing w:after="0"/>
        <w:tabs>
          <w:tab w:leader="none" w:pos="380" w:val="left"/>
        </w:tabs>
        <w:rPr>
          <w:sz w:val="20"/>
          <w:szCs w:val="20"/>
          <w:color w:val="auto"/>
        </w:rPr>
      </w:pPr>
      <w:r>
        <w:rPr>
          <w:rFonts w:ascii="Arial" w:cs="Arial" w:eastAsia="Arial" w:hAnsi="Arial"/>
          <w:sz w:val="16"/>
          <w:szCs w:val="16"/>
          <w:i w:val="1"/>
          <w:iCs w:val="1"/>
          <w:color w:val="auto"/>
        </w:rPr>
        <w:t>•</w:t>
        <w:tab/>
        <w:t>GAAP – Generally Accepted Accounting Principles</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i w:val="1"/>
          <w:iCs w:val="1"/>
          <w:color w:val="auto"/>
        </w:rPr>
        <w:t>•</w:t>
        <w:tab/>
        <w:t>TSR – Total Shareholder Return</w:t>
      </w:r>
    </w:p>
    <w:p>
      <w:pPr>
        <w:spacing w:after="0" w:line="200" w:lineRule="exact"/>
        <w:rPr>
          <w:sz w:val="20"/>
          <w:szCs w:val="20"/>
          <w:color w:val="auto"/>
        </w:rPr>
      </w:pPr>
    </w:p>
    <w:p>
      <w:pPr>
        <w:sectPr>
          <w:pgSz w:w="11900" w:h="16838" w:orient="portrait"/>
          <w:cols w:equalWidth="0" w:num="2">
            <w:col w:w="5100" w:space="720"/>
            <w:col w:w="5440"/>
          </w:cols>
          <w:pgMar w:left="240" w:top="459" w:right="399" w:bottom="1440" w:gutter="0" w:footer="0" w:header="0"/>
          <w:type w:val="continuous"/>
        </w:sectPr>
      </w:pP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4"/>
          <w:szCs w:val="14"/>
          <w:color w:val="0033A0"/>
        </w:rPr>
        <w:t>35</w:t>
      </w:r>
    </w:p>
    <w:p>
      <w:pPr>
        <w:sectPr>
          <w:pgSz w:w="11900" w:h="16838" w:orient="portrait"/>
          <w:cols w:equalWidth="0" w:num="1">
            <w:col w:w="11260"/>
          </w:cols>
          <w:pgMar w:left="240" w:top="459" w:right="3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90906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909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32"/>
          <w:szCs w:val="32"/>
          <w:color w:val="00A1DF"/>
        </w:rPr>
        <w:t>Compensation Overview</w:t>
      </w:r>
    </w:p>
    <w:p>
      <w:pPr>
        <w:spacing w:after="0" w:line="337" w:lineRule="exact"/>
        <w:rPr>
          <w:sz w:val="20"/>
          <w:szCs w:val="20"/>
          <w:color w:val="auto"/>
        </w:rPr>
      </w:pPr>
    </w:p>
    <w:p>
      <w:pPr>
        <w:ind w:left="1100" w:hanging="510"/>
        <w:spacing w:after="0"/>
        <w:tabs>
          <w:tab w:leader="none" w:pos="1100" w:val="left"/>
        </w:tabs>
        <w:numPr>
          <w:ilvl w:val="0"/>
          <w:numId w:val="52"/>
        </w:numPr>
        <w:rPr>
          <w:rFonts w:ascii="Arial" w:cs="Arial" w:eastAsia="Arial" w:hAnsi="Arial"/>
          <w:sz w:val="25"/>
          <w:szCs w:val="25"/>
          <w:color w:val="0033A0"/>
        </w:rPr>
      </w:pPr>
      <w:r>
        <w:rPr>
          <w:rFonts w:ascii="Arial" w:cs="Arial" w:eastAsia="Arial" w:hAnsi="Arial"/>
          <w:sz w:val="25"/>
          <w:szCs w:val="25"/>
          <w:color w:val="auto"/>
        </w:rPr>
        <w:t>Our Company Performance</w:t>
      </w:r>
    </w:p>
    <w:p>
      <w:pPr>
        <w:spacing w:after="0" w:line="166"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b w:val="1"/>
          <w:bCs w:val="1"/>
          <w:color w:val="auto"/>
        </w:rPr>
        <w:t>In 2017, we continued progress toward our goal of making GM the most valued automotive company for our shareholders. The results below demonstrate how we are positioning GM as an industry leader both now and in the future:</w:t>
      </w:r>
    </w:p>
    <w:p>
      <w:pPr>
        <w:sectPr>
          <w:pgSz w:w="11900" w:h="16838" w:orient="portrait"/>
          <w:cols w:equalWidth="0" w:num="1">
            <w:col w:w="10820"/>
          </w:cols>
          <w:pgMar w:left="240" w:top="459" w:right="839" w:bottom="1153" w:gutter="0" w:footer="0" w:header="0"/>
        </w:sectPr>
      </w:pPr>
    </w:p>
    <w:p>
      <w:pPr>
        <w:spacing w:after="0" w:line="176" w:lineRule="exact"/>
        <w:rPr>
          <w:sz w:val="20"/>
          <w:szCs w:val="20"/>
          <w:color w:val="auto"/>
        </w:rPr>
      </w:pPr>
    </w:p>
    <w:p>
      <w:pPr>
        <w:ind w:left="1200" w:right="20" w:hanging="208"/>
        <w:spacing w:after="0" w:line="260"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Completed the sale of Opel/Vauxhall and GM Financial European businesses to Peugot, S.A. (“PSA”);</w:t>
      </w:r>
    </w:p>
    <w:p>
      <w:pPr>
        <w:spacing w:after="0" w:line="60" w:lineRule="exact"/>
        <w:rPr>
          <w:rFonts w:ascii="Arial" w:cs="Arial" w:eastAsia="Arial" w:hAnsi="Arial"/>
          <w:sz w:val="16"/>
          <w:szCs w:val="16"/>
          <w:color w:val="00A1DF"/>
        </w:rPr>
      </w:pPr>
    </w:p>
    <w:p>
      <w:pPr>
        <w:ind w:left="1200" w:hanging="208"/>
        <w:spacing w:after="0" w:line="260"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Exited franchises in South and East Africa and discontinued retail sales operations in India;</w:t>
      </w:r>
    </w:p>
    <w:p>
      <w:pPr>
        <w:spacing w:after="0" w:line="60" w:lineRule="exact"/>
        <w:rPr>
          <w:rFonts w:ascii="Arial" w:cs="Arial" w:eastAsia="Arial" w:hAnsi="Arial"/>
          <w:sz w:val="16"/>
          <w:szCs w:val="16"/>
          <w:color w:val="00A1DF"/>
        </w:rPr>
      </w:pPr>
    </w:p>
    <w:p>
      <w:pPr>
        <w:jc w:val="both"/>
        <w:ind w:left="1200" w:right="20" w:hanging="208"/>
        <w:spacing w:after="0" w:line="253"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For the fourth consecutive year, sold more pickup trucks in the United States than any other automaker – a record 948,909 units;</w:t>
      </w:r>
    </w:p>
    <w:p>
      <w:pPr>
        <w:spacing w:after="0" w:line="66" w:lineRule="exact"/>
        <w:rPr>
          <w:rFonts w:ascii="Arial" w:cs="Arial" w:eastAsia="Arial" w:hAnsi="Arial"/>
          <w:sz w:val="16"/>
          <w:szCs w:val="16"/>
          <w:color w:val="00A1DF"/>
        </w:rPr>
      </w:pPr>
    </w:p>
    <w:p>
      <w:pPr>
        <w:jc w:val="both"/>
        <w:ind w:left="1200" w:hanging="208"/>
        <w:spacing w:after="0" w:line="251"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Completed the refresh of GM’s crossover portfolio and became the fastest-growing crossover company in the United States, with retail market share up 1.6 percentage points to 13.1%, according to J.D. Power PIN estimates;</w:t>
      </w:r>
    </w:p>
    <w:p>
      <w:pPr>
        <w:spacing w:after="0" w:line="67" w:lineRule="exact"/>
        <w:rPr>
          <w:rFonts w:ascii="Arial" w:cs="Arial" w:eastAsia="Arial" w:hAnsi="Arial"/>
          <w:sz w:val="16"/>
          <w:szCs w:val="16"/>
          <w:color w:val="00A1DF"/>
        </w:rPr>
      </w:pPr>
    </w:p>
    <w:p>
      <w:pPr>
        <w:jc w:val="both"/>
        <w:ind w:left="1200" w:right="20" w:hanging="208"/>
        <w:spacing w:after="0" w:line="253"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Increased global Cadillac sales 15.5% in 2017 with significant sales increases in international markets, including a 50.8% increase in China;</w:t>
      </w:r>
    </w:p>
    <w:p>
      <w:pPr>
        <w:spacing w:after="0" w:line="66" w:lineRule="exact"/>
        <w:rPr>
          <w:rFonts w:ascii="Arial" w:cs="Arial" w:eastAsia="Arial" w:hAnsi="Arial"/>
          <w:sz w:val="16"/>
          <w:szCs w:val="16"/>
          <w:color w:val="00A1DF"/>
        </w:rPr>
      </w:pPr>
    </w:p>
    <w:p>
      <w:pPr>
        <w:ind w:left="1200" w:right="20" w:hanging="208"/>
        <w:spacing w:after="0" w:line="260" w:lineRule="auto"/>
        <w:tabs>
          <w:tab w:leader="none" w:pos="1200" w:val="left"/>
        </w:tabs>
        <w:numPr>
          <w:ilvl w:val="0"/>
          <w:numId w:val="53"/>
        </w:numPr>
        <w:rPr>
          <w:rFonts w:ascii="Arial" w:cs="Arial" w:eastAsia="Arial" w:hAnsi="Arial"/>
          <w:sz w:val="16"/>
          <w:szCs w:val="16"/>
          <w:color w:val="00A1DF"/>
        </w:rPr>
      </w:pPr>
      <w:r>
        <w:rPr>
          <w:rFonts w:ascii="Arial" w:cs="Arial" w:eastAsia="Arial" w:hAnsi="Arial"/>
          <w:sz w:val="16"/>
          <w:szCs w:val="16"/>
          <w:color w:val="auto"/>
        </w:rPr>
        <w:t>Improved EBIT-adjusted margin to 8.8% for continuing operations;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10" w:right="420" w:hanging="199"/>
        <w:spacing w:after="0" w:line="260" w:lineRule="auto"/>
        <w:tabs>
          <w:tab w:leader="none" w:pos="189"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Returned a total of $6.7 billion to shareholders through dividends and share repurchases;</w:t>
      </w:r>
    </w:p>
    <w:p>
      <w:pPr>
        <w:spacing w:after="0" w:line="72" w:lineRule="exact"/>
        <w:rPr>
          <w:sz w:val="20"/>
          <w:szCs w:val="20"/>
          <w:color w:val="auto"/>
        </w:rPr>
      </w:pPr>
    </w:p>
    <w:p>
      <w:pPr>
        <w:ind w:left="210" w:hanging="210"/>
        <w:spacing w:after="0"/>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Increased EPS-diluted-adjusted to $6.62;</w:t>
      </w:r>
    </w:p>
    <w:p>
      <w:pPr>
        <w:spacing w:after="0" w:line="99" w:lineRule="exact"/>
        <w:rPr>
          <w:rFonts w:ascii="Arial" w:cs="Arial" w:eastAsia="Arial" w:hAnsi="Arial"/>
          <w:sz w:val="16"/>
          <w:szCs w:val="16"/>
          <w:color w:val="00A1DF"/>
        </w:rPr>
      </w:pPr>
    </w:p>
    <w:p>
      <w:pPr>
        <w:ind w:left="210" w:right="420" w:hanging="210"/>
        <w:spacing w:after="0" w:line="260" w:lineRule="auto"/>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Launched Super Cruise, the world’s first hands-free highway driving technology, on the Cadillac CT6;</w:t>
      </w:r>
    </w:p>
    <w:p>
      <w:pPr>
        <w:spacing w:after="0" w:line="60" w:lineRule="exact"/>
        <w:rPr>
          <w:rFonts w:ascii="Arial" w:cs="Arial" w:eastAsia="Arial" w:hAnsi="Arial"/>
          <w:sz w:val="16"/>
          <w:szCs w:val="16"/>
          <w:color w:val="00A1DF"/>
        </w:rPr>
      </w:pPr>
    </w:p>
    <w:p>
      <w:pPr>
        <w:jc w:val="both"/>
        <w:ind w:left="210" w:right="420" w:hanging="210"/>
        <w:spacing w:after="0" w:line="253" w:lineRule="auto"/>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Shared the vision for zero crashes, zero emissions, and zero congestion and outlined an all-electric future with plans to launch at least 20 electric vehicle models by 2023;</w:t>
      </w:r>
    </w:p>
    <w:p>
      <w:pPr>
        <w:spacing w:after="0" w:line="66" w:lineRule="exact"/>
        <w:rPr>
          <w:rFonts w:ascii="Arial" w:cs="Arial" w:eastAsia="Arial" w:hAnsi="Arial"/>
          <w:sz w:val="16"/>
          <w:szCs w:val="16"/>
          <w:color w:val="00A1DF"/>
        </w:rPr>
      </w:pPr>
    </w:p>
    <w:p>
      <w:pPr>
        <w:ind w:left="210" w:right="420" w:hanging="210"/>
        <w:spacing w:after="0" w:line="260" w:lineRule="auto"/>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Announced plans to deploy self-driving vehicles in a dense urban environment in 2019;</w:t>
      </w:r>
    </w:p>
    <w:p>
      <w:pPr>
        <w:spacing w:after="0" w:line="60" w:lineRule="exact"/>
        <w:rPr>
          <w:rFonts w:ascii="Arial" w:cs="Arial" w:eastAsia="Arial" w:hAnsi="Arial"/>
          <w:sz w:val="16"/>
          <w:szCs w:val="16"/>
          <w:color w:val="00A1DF"/>
        </w:rPr>
      </w:pPr>
    </w:p>
    <w:p>
      <w:pPr>
        <w:jc w:val="both"/>
        <w:ind w:left="210" w:right="420" w:hanging="210"/>
        <w:spacing w:after="0" w:line="253" w:lineRule="auto"/>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Acquired Strobe, Inc. to help develop next-generation LiDAR solutions for self-driving vehicles and reduce LiDAR costs by 99% over time; and</w:t>
      </w:r>
    </w:p>
    <w:p>
      <w:pPr>
        <w:spacing w:after="0" w:line="66" w:lineRule="exact"/>
        <w:rPr>
          <w:rFonts w:ascii="Arial" w:cs="Arial" w:eastAsia="Arial" w:hAnsi="Arial"/>
          <w:sz w:val="16"/>
          <w:szCs w:val="16"/>
          <w:color w:val="00A1DF"/>
        </w:rPr>
      </w:pPr>
    </w:p>
    <w:p>
      <w:pPr>
        <w:ind w:left="210" w:right="420" w:hanging="210"/>
        <w:spacing w:after="0" w:line="260" w:lineRule="auto"/>
        <w:tabs>
          <w:tab w:leader="none" w:pos="210" w:val="left"/>
        </w:tabs>
        <w:numPr>
          <w:ilvl w:val="0"/>
          <w:numId w:val="54"/>
        </w:numPr>
        <w:rPr>
          <w:rFonts w:ascii="Arial" w:cs="Arial" w:eastAsia="Arial" w:hAnsi="Arial"/>
          <w:sz w:val="16"/>
          <w:szCs w:val="16"/>
          <w:color w:val="00A1DF"/>
        </w:rPr>
      </w:pPr>
      <w:r>
        <w:rPr>
          <w:rFonts w:ascii="Arial" w:cs="Arial" w:eastAsia="Arial" w:hAnsi="Arial"/>
          <w:sz w:val="16"/>
          <w:szCs w:val="16"/>
          <w:color w:val="auto"/>
        </w:rPr>
        <w:t>Became the first company to use mass-production methods to build autonomous electric test vehicles.</w:t>
      </w:r>
    </w:p>
    <w:p>
      <w:pPr>
        <w:spacing w:after="0" w:line="294" w:lineRule="exact"/>
        <w:rPr>
          <w:sz w:val="20"/>
          <w:szCs w:val="20"/>
          <w:color w:val="auto"/>
        </w:rPr>
      </w:pPr>
    </w:p>
    <w:p>
      <w:pPr>
        <w:sectPr>
          <w:pgSz w:w="11900" w:h="16838" w:orient="portrait"/>
          <w:cols w:equalWidth="0" w:num="2">
            <w:col w:w="5400" w:space="470"/>
            <w:col w:w="4950"/>
          </w:cols>
          <w:pgMar w:left="240" w:top="459" w:right="839" w:bottom="1153" w:gutter="0" w:footer="0" w:header="0"/>
          <w:type w:val="continuous"/>
        </w:sectPr>
      </w:pPr>
    </w:p>
    <w:p>
      <w:pPr>
        <w:spacing w:after="0" w:line="11" w:lineRule="exact"/>
        <w:rPr>
          <w:sz w:val="20"/>
          <w:szCs w:val="20"/>
          <w:color w:val="auto"/>
        </w:rPr>
      </w:pPr>
    </w:p>
    <w:p>
      <w:pPr>
        <w:ind w:left="1220" w:hanging="519"/>
        <w:spacing w:after="0" w:line="279" w:lineRule="auto"/>
        <w:tabs>
          <w:tab w:leader="none" w:pos="1200" w:val="left"/>
        </w:tabs>
        <w:rPr>
          <w:sz w:val="20"/>
          <w:szCs w:val="20"/>
          <w:color w:val="auto"/>
        </w:rPr>
      </w:pPr>
      <w:r>
        <w:rPr>
          <w:rFonts w:ascii="Arial" w:cs="Arial" w:eastAsia="Arial" w:hAnsi="Arial"/>
          <w:sz w:val="14"/>
          <w:szCs w:val="14"/>
          <w:i w:val="1"/>
          <w:iCs w:val="1"/>
          <w:color w:val="auto"/>
        </w:rPr>
        <w:t>Note:</w:t>
        <w:tab/>
        <w:t>EBIT-adjusted margin and EPS-diluted-adjusted are non-GAAP financial measures. Refer to Appendix A for a reconciliation of these non-GAAP measures to their closest comparable GAAP measure.</w:t>
      </w:r>
    </w:p>
    <w:p>
      <w:pPr>
        <w:spacing w:after="0" w:line="298" w:lineRule="exact"/>
        <w:rPr>
          <w:sz w:val="20"/>
          <w:szCs w:val="20"/>
          <w:color w:val="auto"/>
        </w:rPr>
      </w:pPr>
    </w:p>
    <w:p>
      <w:pPr>
        <w:ind w:left="1100" w:hanging="510"/>
        <w:spacing w:after="0"/>
        <w:tabs>
          <w:tab w:leader="none" w:pos="1100" w:val="left"/>
        </w:tabs>
        <w:numPr>
          <w:ilvl w:val="0"/>
          <w:numId w:val="55"/>
        </w:numPr>
        <w:rPr>
          <w:rFonts w:ascii="Arial" w:cs="Arial" w:eastAsia="Arial" w:hAnsi="Arial"/>
          <w:sz w:val="25"/>
          <w:szCs w:val="25"/>
          <w:color w:val="0033A0"/>
        </w:rPr>
      </w:pPr>
      <w:r>
        <w:rPr>
          <w:rFonts w:ascii="Arial" w:cs="Arial" w:eastAsia="Arial" w:hAnsi="Arial"/>
          <w:sz w:val="25"/>
          <w:szCs w:val="25"/>
          <w:color w:val="auto"/>
        </w:rPr>
        <w:t>Our Vehicle Launches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We launched 25 vehicles across the globe in 2017, including some of the key vehicles below:</w:t>
      </w:r>
    </w:p>
    <w:p>
      <w:pPr>
        <w:spacing w:after="0" w:line="228"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0033A0"/>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Buick Regal</w:t>
            </w:r>
          </w:p>
        </w:tc>
        <w:tc>
          <w:tcPr>
            <w:tcW w:w="1880" w:type="dxa"/>
            <w:vAlign w:val="bottom"/>
          </w:tcPr>
          <w:p>
            <w:pPr>
              <w:ind w:left="1760"/>
              <w:spacing w:after="0"/>
              <w:rPr>
                <w:sz w:val="20"/>
                <w:szCs w:val="20"/>
                <w:color w:val="auto"/>
              </w:rPr>
            </w:pPr>
            <w:r>
              <w:rPr>
                <w:rFonts w:ascii="Arial" w:cs="Arial" w:eastAsia="Arial" w:hAnsi="Arial"/>
                <w:sz w:val="16"/>
                <w:szCs w:val="16"/>
                <w:color w:val="0033A0"/>
              </w:rPr>
              <w:t>•</w:t>
            </w:r>
          </w:p>
        </w:tc>
        <w:tc>
          <w:tcPr>
            <w:tcW w:w="1400" w:type="dxa"/>
            <w:vAlign w:val="bottom"/>
          </w:tcPr>
          <w:p>
            <w:pPr>
              <w:ind w:left="80"/>
              <w:spacing w:after="0"/>
              <w:rPr>
                <w:sz w:val="20"/>
                <w:szCs w:val="20"/>
                <w:color w:val="auto"/>
              </w:rPr>
            </w:pPr>
            <w:r>
              <w:rPr>
                <w:rFonts w:ascii="Arial" w:cs="Arial" w:eastAsia="Arial" w:hAnsi="Arial"/>
                <w:sz w:val="16"/>
                <w:szCs w:val="16"/>
                <w:color w:val="auto"/>
              </w:rPr>
              <w:t>Buick Enclave</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0033A0"/>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Cadillac XTS</w:t>
            </w:r>
          </w:p>
        </w:tc>
        <w:tc>
          <w:tcPr>
            <w:tcW w:w="1880" w:type="dxa"/>
            <w:vAlign w:val="bottom"/>
          </w:tcPr>
          <w:p>
            <w:pPr>
              <w:ind w:left="1760"/>
              <w:spacing w:after="0"/>
              <w:rPr>
                <w:sz w:val="20"/>
                <w:szCs w:val="20"/>
                <w:color w:val="auto"/>
              </w:rPr>
            </w:pPr>
            <w:r>
              <w:rPr>
                <w:rFonts w:ascii="Arial" w:cs="Arial" w:eastAsia="Arial" w:hAnsi="Arial"/>
                <w:sz w:val="16"/>
                <w:szCs w:val="16"/>
                <w:color w:val="0033A0"/>
              </w:rPr>
              <w:t>•</w:t>
            </w:r>
          </w:p>
        </w:tc>
        <w:tc>
          <w:tcPr>
            <w:tcW w:w="1400" w:type="dxa"/>
            <w:vAlign w:val="bottom"/>
          </w:tcPr>
          <w:p>
            <w:pPr>
              <w:ind w:left="80"/>
              <w:spacing w:after="0"/>
              <w:rPr>
                <w:sz w:val="20"/>
                <w:szCs w:val="20"/>
                <w:color w:val="auto"/>
              </w:rPr>
            </w:pPr>
            <w:r>
              <w:rPr>
                <w:rFonts w:ascii="Arial" w:cs="Arial" w:eastAsia="Arial" w:hAnsi="Arial"/>
                <w:sz w:val="16"/>
                <w:szCs w:val="16"/>
                <w:color w:val="auto"/>
                <w:w w:val="99"/>
              </w:rPr>
              <w:t>Chevrolet Equinox</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0033A0"/>
              </w:rPr>
              <w:t>•</w:t>
            </w:r>
          </w:p>
        </w:tc>
        <w:tc>
          <w:tcPr>
            <w:tcW w:w="3220" w:type="dxa"/>
            <w:vAlign w:val="bottom"/>
          </w:tcPr>
          <w:p>
            <w:pPr>
              <w:ind w:left="80"/>
              <w:spacing w:after="0"/>
              <w:rPr>
                <w:sz w:val="20"/>
                <w:szCs w:val="20"/>
                <w:color w:val="auto"/>
              </w:rPr>
            </w:pPr>
            <w:r>
              <w:rPr>
                <w:rFonts w:ascii="Arial" w:cs="Arial" w:eastAsia="Arial" w:hAnsi="Arial"/>
                <w:sz w:val="16"/>
                <w:szCs w:val="16"/>
                <w:color w:val="auto"/>
              </w:rPr>
              <w:t>Chevrolet Traverse</w:t>
            </w:r>
          </w:p>
        </w:tc>
        <w:tc>
          <w:tcPr>
            <w:tcW w:w="1880" w:type="dxa"/>
            <w:vAlign w:val="bottom"/>
          </w:tcPr>
          <w:p>
            <w:pPr>
              <w:ind w:left="1760"/>
              <w:spacing w:after="0"/>
              <w:rPr>
                <w:sz w:val="20"/>
                <w:szCs w:val="20"/>
                <w:color w:val="auto"/>
              </w:rPr>
            </w:pPr>
            <w:r>
              <w:rPr>
                <w:rFonts w:ascii="Arial" w:cs="Arial" w:eastAsia="Arial" w:hAnsi="Arial"/>
                <w:sz w:val="16"/>
                <w:szCs w:val="16"/>
                <w:color w:val="0033A0"/>
              </w:rPr>
              <w:t>•</w:t>
            </w:r>
          </w:p>
        </w:tc>
        <w:tc>
          <w:tcPr>
            <w:tcW w:w="1400" w:type="dxa"/>
            <w:vAlign w:val="bottom"/>
          </w:tcPr>
          <w:p>
            <w:pPr>
              <w:ind w:left="80"/>
              <w:spacing w:after="0"/>
              <w:rPr>
                <w:sz w:val="20"/>
                <w:szCs w:val="20"/>
                <w:color w:val="auto"/>
              </w:rPr>
            </w:pPr>
            <w:r>
              <w:rPr>
                <w:rFonts w:ascii="Arial" w:cs="Arial" w:eastAsia="Arial" w:hAnsi="Arial"/>
                <w:sz w:val="16"/>
                <w:szCs w:val="16"/>
                <w:color w:val="auto"/>
              </w:rPr>
              <w:t>GMC Terrain</w:t>
            </w:r>
          </w:p>
        </w:tc>
      </w:tr>
    </w:tbl>
    <w:p>
      <w:pPr>
        <w:spacing w:after="0" w:line="200" w:lineRule="exact"/>
        <w:rPr>
          <w:sz w:val="20"/>
          <w:szCs w:val="20"/>
          <w:color w:val="auto"/>
        </w:rPr>
      </w:pPr>
    </w:p>
    <w:p>
      <w:pPr>
        <w:spacing w:after="0" w:line="280" w:lineRule="exact"/>
        <w:rPr>
          <w:sz w:val="20"/>
          <w:szCs w:val="20"/>
          <w:color w:val="auto"/>
        </w:rPr>
      </w:pPr>
    </w:p>
    <w:p>
      <w:pPr>
        <w:ind w:left="1100" w:hanging="510"/>
        <w:spacing w:after="0"/>
        <w:tabs>
          <w:tab w:leader="none" w:pos="1100" w:val="left"/>
        </w:tabs>
        <w:numPr>
          <w:ilvl w:val="0"/>
          <w:numId w:val="56"/>
        </w:numPr>
        <w:rPr>
          <w:rFonts w:ascii="Arial" w:cs="Arial" w:eastAsia="Arial" w:hAnsi="Arial"/>
          <w:sz w:val="25"/>
          <w:szCs w:val="25"/>
          <w:color w:val="0033A0"/>
        </w:rPr>
      </w:pPr>
      <w:r>
        <w:rPr>
          <w:rFonts w:ascii="Arial" w:cs="Arial" w:eastAsia="Arial" w:hAnsi="Arial"/>
          <w:sz w:val="25"/>
          <w:szCs w:val="25"/>
          <w:color w:val="auto"/>
        </w:rPr>
        <w:t>Our Named Executive Officers</w:t>
      </w:r>
    </w:p>
    <w:p>
      <w:pPr>
        <w:spacing w:after="0" w:line="200" w:lineRule="exact"/>
        <w:rPr>
          <w:sz w:val="20"/>
          <w:szCs w:val="20"/>
          <w:color w:val="auto"/>
        </w:rPr>
      </w:pPr>
    </w:p>
    <w:p>
      <w:pPr>
        <w:spacing w:after="0" w:line="259"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Mary T. Barra</w:t>
            </w:r>
          </w:p>
        </w:tc>
        <w:tc>
          <w:tcPr>
            <w:tcW w:w="7980" w:type="dxa"/>
            <w:vAlign w:val="bottom"/>
          </w:tcPr>
          <w:p>
            <w:pPr>
              <w:ind w:left="500"/>
              <w:spacing w:after="0"/>
              <w:rPr>
                <w:sz w:val="20"/>
                <w:szCs w:val="20"/>
                <w:color w:val="auto"/>
              </w:rPr>
            </w:pPr>
            <w:r>
              <w:rPr>
                <w:rFonts w:ascii="Arial" w:cs="Arial" w:eastAsia="Arial" w:hAnsi="Arial"/>
                <w:sz w:val="15"/>
                <w:szCs w:val="15"/>
                <w:color w:val="auto"/>
              </w:rPr>
              <w:t>Chairman and Chief Executive Officer</w:t>
            </w:r>
          </w:p>
        </w:tc>
      </w:tr>
      <w:tr>
        <w:trPr>
          <w:trHeight w:val="238"/>
        </w:trPr>
        <w:tc>
          <w:tcPr>
            <w:tcW w:w="22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418"/>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Charles K. Stevens, III</w:t>
            </w:r>
          </w:p>
        </w:tc>
        <w:tc>
          <w:tcPr>
            <w:tcW w:w="7980" w:type="dxa"/>
            <w:vAlign w:val="bottom"/>
          </w:tcPr>
          <w:p>
            <w:pPr>
              <w:ind w:left="500"/>
              <w:spacing w:after="0"/>
              <w:rPr>
                <w:sz w:val="20"/>
                <w:szCs w:val="20"/>
                <w:color w:val="auto"/>
              </w:rPr>
            </w:pPr>
            <w:r>
              <w:rPr>
                <w:rFonts w:ascii="Arial" w:cs="Arial" w:eastAsia="Arial" w:hAnsi="Arial"/>
                <w:sz w:val="15"/>
                <w:szCs w:val="15"/>
                <w:color w:val="auto"/>
              </w:rPr>
              <w:t>Executive Vice President and Chief Financial Officer</w:t>
            </w:r>
          </w:p>
        </w:tc>
      </w:tr>
      <w:tr>
        <w:trPr>
          <w:trHeight w:val="238"/>
        </w:trPr>
        <w:tc>
          <w:tcPr>
            <w:tcW w:w="22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418"/>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Daniel Ammann</w:t>
            </w:r>
          </w:p>
        </w:tc>
        <w:tc>
          <w:tcPr>
            <w:tcW w:w="7980" w:type="dxa"/>
            <w:vAlign w:val="bottom"/>
          </w:tcPr>
          <w:p>
            <w:pPr>
              <w:ind w:left="500"/>
              <w:spacing w:after="0"/>
              <w:rPr>
                <w:sz w:val="20"/>
                <w:szCs w:val="20"/>
                <w:color w:val="auto"/>
              </w:rPr>
            </w:pPr>
            <w:r>
              <w:rPr>
                <w:rFonts w:ascii="Arial" w:cs="Arial" w:eastAsia="Arial" w:hAnsi="Arial"/>
                <w:sz w:val="15"/>
                <w:szCs w:val="15"/>
                <w:color w:val="auto"/>
              </w:rPr>
              <w:t>President</w:t>
            </w:r>
          </w:p>
        </w:tc>
      </w:tr>
      <w:tr>
        <w:trPr>
          <w:trHeight w:val="238"/>
        </w:trPr>
        <w:tc>
          <w:tcPr>
            <w:tcW w:w="22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418"/>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Mark L. Reuss</w:t>
            </w:r>
          </w:p>
        </w:tc>
        <w:tc>
          <w:tcPr>
            <w:tcW w:w="7980" w:type="dxa"/>
            <w:vAlign w:val="bottom"/>
          </w:tcPr>
          <w:p>
            <w:pPr>
              <w:ind w:left="500"/>
              <w:spacing w:after="0"/>
              <w:rPr>
                <w:sz w:val="20"/>
                <w:szCs w:val="20"/>
                <w:color w:val="auto"/>
              </w:rPr>
            </w:pPr>
            <w:r>
              <w:rPr>
                <w:rFonts w:ascii="Arial" w:cs="Arial" w:eastAsia="Arial" w:hAnsi="Arial"/>
                <w:sz w:val="15"/>
                <w:szCs w:val="15"/>
                <w:color w:val="auto"/>
              </w:rPr>
              <w:t>Executive Vice President, Global Product Development, Purchasing and Supply Chain</w:t>
            </w:r>
          </w:p>
        </w:tc>
      </w:tr>
      <w:tr>
        <w:trPr>
          <w:trHeight w:val="238"/>
        </w:trPr>
        <w:tc>
          <w:tcPr>
            <w:tcW w:w="22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418"/>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Alan S. Batey</w:t>
            </w:r>
          </w:p>
        </w:tc>
        <w:tc>
          <w:tcPr>
            <w:tcW w:w="7980" w:type="dxa"/>
            <w:vAlign w:val="bottom"/>
          </w:tcPr>
          <w:p>
            <w:pPr>
              <w:ind w:left="500"/>
              <w:spacing w:after="0"/>
              <w:rPr>
                <w:sz w:val="20"/>
                <w:szCs w:val="20"/>
                <w:color w:val="auto"/>
              </w:rPr>
            </w:pPr>
            <w:r>
              <w:rPr>
                <w:rFonts w:ascii="Arial" w:cs="Arial" w:eastAsia="Arial" w:hAnsi="Arial"/>
                <w:sz w:val="14"/>
                <w:szCs w:val="14"/>
                <w:color w:val="auto"/>
              </w:rPr>
              <w:t>Executive Vice President and President, North America</w:t>
            </w:r>
          </w:p>
        </w:tc>
      </w:tr>
      <w:tr>
        <w:trPr>
          <w:trHeight w:val="238"/>
        </w:trPr>
        <w:tc>
          <w:tcPr>
            <w:tcW w:w="22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418"/>
        </w:trPr>
        <w:tc>
          <w:tcPr>
            <w:tcW w:w="2240" w:type="dxa"/>
            <w:vAlign w:val="bottom"/>
          </w:tcPr>
          <w:p>
            <w:pPr>
              <w:ind w:left="80"/>
              <w:spacing w:after="0"/>
              <w:rPr>
                <w:sz w:val="20"/>
                <w:szCs w:val="20"/>
                <w:color w:val="auto"/>
              </w:rPr>
            </w:pPr>
            <w:r>
              <w:rPr>
                <w:rFonts w:ascii="Arial" w:cs="Arial" w:eastAsia="Arial" w:hAnsi="Arial"/>
                <w:sz w:val="15"/>
                <w:szCs w:val="15"/>
                <w:b w:val="1"/>
                <w:bCs w:val="1"/>
                <w:color w:val="0033A0"/>
              </w:rPr>
              <w:t>Karl-Thomas Neumann</w:t>
            </w:r>
          </w:p>
        </w:tc>
        <w:tc>
          <w:tcPr>
            <w:tcW w:w="7980" w:type="dxa"/>
            <w:vAlign w:val="bottom"/>
          </w:tcPr>
          <w:p>
            <w:pPr>
              <w:ind w:left="500"/>
              <w:spacing w:after="0"/>
              <w:rPr>
                <w:sz w:val="20"/>
                <w:szCs w:val="20"/>
                <w:color w:val="auto"/>
              </w:rPr>
            </w:pPr>
            <w:r>
              <w:rPr>
                <w:rFonts w:ascii="Arial" w:cs="Arial" w:eastAsia="Arial" w:hAnsi="Arial"/>
                <w:sz w:val="15"/>
                <w:szCs w:val="15"/>
                <w:color w:val="auto"/>
              </w:rPr>
              <w:t>Former Executive Vice President and President, Europe</w:t>
            </w:r>
          </w:p>
        </w:tc>
      </w:tr>
    </w:tbl>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36</w:t>
      </w:r>
    </w:p>
    <w:p>
      <w:pPr>
        <w:sectPr>
          <w:pgSz w:w="11900" w:h="16838" w:orient="portrait"/>
          <w:cols w:equalWidth="0" w:num="1">
            <w:col w:w="10820"/>
          </w:cols>
          <w:pgMar w:left="240" w:top="459" w:right="839" w:bottom="1153"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729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872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32"/>
          <w:szCs w:val="32"/>
          <w:color w:val="00A1DF"/>
        </w:rPr>
        <w:t>We ended 2017 with the following key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Note: The financial information above relates to our continuing operations.</w:t>
      </w:r>
    </w:p>
    <w:p>
      <w:pPr>
        <w:spacing w:after="0" w:line="69" w:lineRule="exact"/>
        <w:rPr>
          <w:sz w:val="20"/>
          <w:szCs w:val="20"/>
          <w:color w:val="auto"/>
        </w:rPr>
      </w:pPr>
    </w:p>
    <w:p>
      <w:pPr>
        <w:jc w:val="both"/>
        <w:ind w:left="1000" w:right="240" w:hanging="302"/>
        <w:spacing w:after="0" w:line="254" w:lineRule="auto"/>
        <w:tabs>
          <w:tab w:leader="none" w:pos="100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non-GAAP financial measures. Refer to Item 7, Management’s Discussion and Analysis of Financial Condition and Results of Operations in our Annual Report on Form 10-K for the fiscal year ended December 31, 2017 for a reconciliation of ROIC-adjusted to its closest comparable GAAP measure. Refer to Appendix A for a reconciliation of EBIT-adjusted, EBIT-adjusted margin, adjusted automotive free cash flow, and EPS-diluted-adjusted to their closest comparable GAAP measure.</w:t>
      </w:r>
    </w:p>
    <w:p>
      <w:pPr>
        <w:spacing w:after="0" w:line="34" w:lineRule="exact"/>
        <w:rPr>
          <w:rFonts w:ascii="Arial" w:cs="Arial" w:eastAsia="Arial" w:hAnsi="Arial"/>
          <w:sz w:val="14"/>
          <w:szCs w:val="14"/>
          <w:i w:val="1"/>
          <w:iCs w:val="1"/>
          <w:color w:val="auto"/>
        </w:rPr>
      </w:pPr>
    </w:p>
    <w:p>
      <w:pPr>
        <w:ind w:left="1000" w:hanging="302"/>
        <w:spacing w:after="0"/>
        <w:tabs>
          <w:tab w:leader="none" w:pos="100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Assumes dividends are reinvested in common stock.</w:t>
      </w:r>
    </w:p>
    <w:p>
      <w:pPr>
        <w:spacing w:after="0" w:line="349" w:lineRule="exact"/>
        <w:rPr>
          <w:sz w:val="20"/>
          <w:szCs w:val="20"/>
          <w:color w:val="auto"/>
        </w:rPr>
      </w:pPr>
    </w:p>
    <w:p>
      <w:pPr>
        <w:ind w:left="1100" w:hanging="510"/>
        <w:spacing w:after="0"/>
        <w:tabs>
          <w:tab w:leader="none" w:pos="1100" w:val="left"/>
        </w:tabs>
        <w:numPr>
          <w:ilvl w:val="0"/>
          <w:numId w:val="58"/>
        </w:numPr>
        <w:rPr>
          <w:rFonts w:ascii="Arial" w:cs="Arial" w:eastAsia="Arial" w:hAnsi="Arial"/>
          <w:sz w:val="25"/>
          <w:szCs w:val="25"/>
          <w:color w:val="0033A0"/>
        </w:rPr>
      </w:pPr>
      <w:r>
        <w:rPr>
          <w:rFonts w:ascii="Arial" w:cs="Arial" w:eastAsia="Arial" w:hAnsi="Arial"/>
          <w:sz w:val="25"/>
          <w:szCs w:val="25"/>
          <w:color w:val="auto"/>
        </w:rPr>
        <w:t>Compensation Governance and Best Practices</w:t>
      </w: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00A1DF"/>
        </w:rPr>
        <w:t>WHAT WE DO</w:t>
      </w:r>
    </w:p>
    <w:p>
      <w:pPr>
        <w:spacing w:after="0" w:line="142" w:lineRule="exact"/>
        <w:rPr>
          <w:sz w:val="20"/>
          <w:szCs w:val="20"/>
          <w:color w:val="auto"/>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Provide short-term and long-term incentive plans with performance targets aligned to business goals</w:t>
      </w:r>
    </w:p>
    <w:p>
      <w:pPr>
        <w:spacing w:after="0" w:line="152" w:lineRule="exact"/>
        <w:rPr>
          <w:rFonts w:ascii="Arial" w:cs="Arial" w:eastAsia="Arial" w:hAnsi="Arial"/>
          <w:sz w:val="22"/>
          <w:szCs w:val="22"/>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Conduct annual advisory vote for shareholders to approve executive compensation</w:t>
      </w:r>
    </w:p>
    <w:p>
      <w:pPr>
        <w:spacing w:after="0" w:line="152" w:lineRule="exact"/>
        <w:rPr>
          <w:rFonts w:ascii="Arial" w:cs="Arial" w:eastAsia="Arial" w:hAnsi="Arial"/>
          <w:sz w:val="22"/>
          <w:szCs w:val="22"/>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Maintain a Compensation Committee composed entirely of independent directors</w:t>
      </w:r>
    </w:p>
    <w:p>
      <w:pPr>
        <w:spacing w:after="0" w:line="152" w:lineRule="exact"/>
        <w:rPr>
          <w:rFonts w:ascii="Arial" w:cs="Arial" w:eastAsia="Arial" w:hAnsi="Arial"/>
          <w:sz w:val="22"/>
          <w:szCs w:val="22"/>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Require stock ownership for all senior leaders</w:t>
      </w:r>
    </w:p>
    <w:p>
      <w:pPr>
        <w:spacing w:after="0" w:line="129" w:lineRule="exact"/>
        <w:rPr>
          <w:rFonts w:ascii="Arial" w:cs="Arial" w:eastAsia="Arial" w:hAnsi="Arial"/>
          <w:sz w:val="22"/>
          <w:szCs w:val="22"/>
          <w:b w:val="1"/>
          <w:bCs w:val="1"/>
          <w:color w:val="00A1DF"/>
        </w:rPr>
      </w:pPr>
    </w:p>
    <w:p>
      <w:pPr>
        <w:ind w:left="1220"/>
        <w:spacing w:after="0"/>
        <w:rPr>
          <w:rFonts w:ascii="Arial" w:cs="Arial" w:eastAsia="Arial" w:hAnsi="Arial"/>
          <w:sz w:val="22"/>
          <w:szCs w:val="22"/>
          <w:b w:val="1"/>
          <w:bCs w:val="1"/>
          <w:color w:val="00A1DF"/>
        </w:rPr>
      </w:pPr>
      <w:r>
        <w:rPr>
          <w:rFonts w:ascii="Arial" w:cs="Arial" w:eastAsia="Arial" w:hAnsi="Arial"/>
          <w:sz w:val="15"/>
          <w:szCs w:val="15"/>
          <w:color w:val="auto"/>
        </w:rPr>
        <w:t>Conduct rigorous shareholder engagement by management and directors, including our Executive Compensation Committee and our Lead</w:t>
      </w:r>
    </w:p>
    <w:p>
      <w:pPr>
        <w:ind w:left="1220" w:hanging="481"/>
        <w:spacing w:after="0" w:line="183" w:lineRule="auto"/>
        <w:tabs>
          <w:tab w:leader="none" w:pos="1220" w:val="left"/>
        </w:tabs>
        <w:numPr>
          <w:ilvl w:val="0"/>
          <w:numId w:val="59"/>
        </w:numPr>
        <w:rPr>
          <w:rFonts w:ascii="Arial" w:cs="Arial" w:eastAsia="Arial" w:hAnsi="Arial"/>
          <w:sz w:val="21"/>
          <w:szCs w:val="21"/>
          <w:b w:val="1"/>
          <w:bCs w:val="1"/>
          <w:color w:val="00A1DF"/>
        </w:rPr>
      </w:pPr>
      <w:r>
        <w:rPr>
          <w:rFonts w:ascii="Arial" w:cs="Arial" w:eastAsia="Arial" w:hAnsi="Arial"/>
          <w:sz w:val="15"/>
          <w:szCs w:val="15"/>
          <w:color w:val="auto"/>
        </w:rPr>
        <w:t>Independent Director</w:t>
      </w:r>
    </w:p>
    <w:p>
      <w:pPr>
        <w:spacing w:after="0" w:line="152" w:lineRule="exact"/>
        <w:rPr>
          <w:rFonts w:ascii="Arial" w:cs="Arial" w:eastAsia="Arial" w:hAnsi="Arial"/>
          <w:sz w:val="21"/>
          <w:szCs w:val="21"/>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Include non-compete and non-solicitation terms in all grant agreements with senior leaders</w:t>
      </w:r>
    </w:p>
    <w:p>
      <w:pPr>
        <w:spacing w:after="0" w:line="152" w:lineRule="exact"/>
        <w:rPr>
          <w:rFonts w:ascii="Arial" w:cs="Arial" w:eastAsia="Arial" w:hAnsi="Arial"/>
          <w:sz w:val="22"/>
          <w:szCs w:val="22"/>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Retain an independent executive compensation consultant to the Compensation Committee</w:t>
      </w:r>
    </w:p>
    <w:p>
      <w:pPr>
        <w:spacing w:after="0" w:line="129" w:lineRule="exact"/>
        <w:rPr>
          <w:rFonts w:ascii="Arial" w:cs="Arial" w:eastAsia="Arial" w:hAnsi="Arial"/>
          <w:sz w:val="22"/>
          <w:szCs w:val="22"/>
          <w:b w:val="1"/>
          <w:bCs w:val="1"/>
          <w:color w:val="00A1DF"/>
        </w:rPr>
      </w:pPr>
    </w:p>
    <w:p>
      <w:pPr>
        <w:ind w:left="1220"/>
        <w:spacing w:after="0"/>
        <w:rPr>
          <w:rFonts w:ascii="Arial" w:cs="Arial" w:eastAsia="Arial" w:hAnsi="Arial"/>
          <w:sz w:val="22"/>
          <w:szCs w:val="22"/>
          <w:b w:val="1"/>
          <w:bCs w:val="1"/>
          <w:color w:val="00A1DF"/>
        </w:rPr>
      </w:pPr>
      <w:r>
        <w:rPr>
          <w:rFonts w:ascii="Arial" w:cs="Arial" w:eastAsia="Arial" w:hAnsi="Arial"/>
          <w:sz w:val="15"/>
          <w:szCs w:val="15"/>
          <w:color w:val="auto"/>
        </w:rPr>
        <w:t>Maintain a Securities Trading Policy requiring directors, executive officers, and all other senior leaders to trade only during established</w:t>
      </w:r>
    </w:p>
    <w:p>
      <w:pPr>
        <w:ind w:left="1220" w:hanging="481"/>
        <w:spacing w:after="0" w:line="183" w:lineRule="auto"/>
        <w:tabs>
          <w:tab w:leader="none" w:pos="1220" w:val="left"/>
        </w:tabs>
        <w:numPr>
          <w:ilvl w:val="0"/>
          <w:numId w:val="59"/>
        </w:numPr>
        <w:rPr>
          <w:rFonts w:ascii="Arial" w:cs="Arial" w:eastAsia="Arial" w:hAnsi="Arial"/>
          <w:sz w:val="21"/>
          <w:szCs w:val="21"/>
          <w:b w:val="1"/>
          <w:bCs w:val="1"/>
          <w:color w:val="00A1DF"/>
        </w:rPr>
      </w:pPr>
      <w:r>
        <w:rPr>
          <w:rFonts w:ascii="Arial" w:cs="Arial" w:eastAsia="Arial" w:hAnsi="Arial"/>
          <w:sz w:val="15"/>
          <w:szCs w:val="15"/>
          <w:color w:val="auto"/>
        </w:rPr>
        <w:t>window periods after contacting the GM Legal Staff prior to any sales or purchases of common stock</w:t>
      </w:r>
    </w:p>
    <w:p>
      <w:pPr>
        <w:spacing w:after="0" w:line="129" w:lineRule="exact"/>
        <w:rPr>
          <w:rFonts w:ascii="Arial" w:cs="Arial" w:eastAsia="Arial" w:hAnsi="Arial"/>
          <w:sz w:val="21"/>
          <w:szCs w:val="21"/>
          <w:b w:val="1"/>
          <w:bCs w:val="1"/>
          <w:color w:val="00A1DF"/>
        </w:rPr>
      </w:pPr>
    </w:p>
    <w:p>
      <w:pPr>
        <w:ind w:left="1220"/>
        <w:spacing w:after="0"/>
        <w:rPr>
          <w:rFonts w:ascii="Arial" w:cs="Arial" w:eastAsia="Arial" w:hAnsi="Arial"/>
          <w:sz w:val="21"/>
          <w:szCs w:val="21"/>
          <w:b w:val="1"/>
          <w:bCs w:val="1"/>
          <w:color w:val="00A1DF"/>
        </w:rPr>
      </w:pPr>
      <w:r>
        <w:rPr>
          <w:rFonts w:ascii="Arial" w:cs="Arial" w:eastAsia="Arial" w:hAnsi="Arial"/>
          <w:sz w:val="15"/>
          <w:szCs w:val="15"/>
          <w:color w:val="auto"/>
        </w:rPr>
        <w:t>Require equity awards to have a double trigger (termination of employment and change in control) to initiate protection provisions of</w:t>
      </w:r>
    </w:p>
    <w:p>
      <w:pPr>
        <w:ind w:left="1220" w:hanging="481"/>
        <w:spacing w:after="0" w:line="183" w:lineRule="auto"/>
        <w:tabs>
          <w:tab w:leader="none" w:pos="1220" w:val="left"/>
        </w:tabs>
        <w:numPr>
          <w:ilvl w:val="0"/>
          <w:numId w:val="59"/>
        </w:numPr>
        <w:rPr>
          <w:rFonts w:ascii="Arial" w:cs="Arial" w:eastAsia="Arial" w:hAnsi="Arial"/>
          <w:sz w:val="21"/>
          <w:szCs w:val="21"/>
          <w:b w:val="1"/>
          <w:bCs w:val="1"/>
          <w:color w:val="00A1DF"/>
        </w:rPr>
      </w:pPr>
      <w:r>
        <w:rPr>
          <w:rFonts w:ascii="Arial" w:cs="Arial" w:eastAsia="Arial" w:hAnsi="Arial"/>
          <w:sz w:val="15"/>
          <w:szCs w:val="15"/>
          <w:color w:val="auto"/>
        </w:rPr>
        <w:t>outstanding awards</w:t>
      </w:r>
    </w:p>
    <w:p>
      <w:pPr>
        <w:spacing w:after="0" w:line="152" w:lineRule="exact"/>
        <w:rPr>
          <w:rFonts w:ascii="Arial" w:cs="Arial" w:eastAsia="Arial" w:hAnsi="Arial"/>
          <w:sz w:val="21"/>
          <w:szCs w:val="21"/>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Complete incentive compensation risk reviews annually</w:t>
      </w:r>
    </w:p>
    <w:p>
      <w:pPr>
        <w:spacing w:after="0" w:line="152" w:lineRule="exact"/>
        <w:rPr>
          <w:rFonts w:ascii="Arial" w:cs="Arial" w:eastAsia="Arial" w:hAnsi="Arial"/>
          <w:sz w:val="22"/>
          <w:szCs w:val="22"/>
          <w:b w:val="1"/>
          <w:bCs w:val="1"/>
          <w:color w:val="00A1DF"/>
        </w:rPr>
      </w:pPr>
    </w:p>
    <w:p>
      <w:pPr>
        <w:ind w:left="1220" w:hanging="481"/>
        <w:spacing w:after="0"/>
        <w:tabs>
          <w:tab w:leader="none" w:pos="1220" w:val="left"/>
        </w:tabs>
        <w:numPr>
          <w:ilvl w:val="0"/>
          <w:numId w:val="59"/>
        </w:numPr>
        <w:rPr>
          <w:rFonts w:ascii="Arial" w:cs="Arial" w:eastAsia="Arial" w:hAnsi="Arial"/>
          <w:sz w:val="22"/>
          <w:szCs w:val="22"/>
          <w:b w:val="1"/>
          <w:bCs w:val="1"/>
          <w:color w:val="00A1DF"/>
        </w:rPr>
      </w:pPr>
      <w:r>
        <w:rPr>
          <w:rFonts w:ascii="Arial" w:cs="Arial" w:eastAsia="Arial" w:hAnsi="Arial"/>
          <w:sz w:val="15"/>
          <w:szCs w:val="15"/>
          <w:color w:val="auto"/>
        </w:rPr>
        <w:t>Maintain a clawback policy to apply to actions that damage GM’s reputation</w:t>
      </w: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00A1DF"/>
        </w:rPr>
        <w:t>WHAT WE DON’T DO</w:t>
      </w:r>
    </w:p>
    <w:p>
      <w:pPr>
        <w:spacing w:after="0" w:line="142" w:lineRule="exact"/>
        <w:rPr>
          <w:sz w:val="20"/>
          <w:szCs w:val="20"/>
          <w:color w:val="auto"/>
        </w:rPr>
      </w:pPr>
    </w:p>
    <w:p>
      <w:pPr>
        <w:ind w:left="1220" w:hanging="469"/>
        <w:spacing w:after="0"/>
        <w:tabs>
          <w:tab w:leader="none" w:pos="1220" w:val="left"/>
        </w:tabs>
        <w:numPr>
          <w:ilvl w:val="0"/>
          <w:numId w:val="60"/>
        </w:numPr>
        <w:rPr>
          <w:rFonts w:ascii="Arial" w:cs="Arial" w:eastAsia="Arial" w:hAnsi="Arial"/>
          <w:sz w:val="22"/>
          <w:szCs w:val="22"/>
          <w:color w:val="00A1DF"/>
        </w:rPr>
      </w:pPr>
      <w:r>
        <w:rPr>
          <w:rFonts w:ascii="Arial" w:cs="Arial" w:eastAsia="Arial" w:hAnsi="Arial"/>
          <w:sz w:val="15"/>
          <w:szCs w:val="15"/>
          <w:color w:val="auto"/>
        </w:rPr>
        <w:t>Provide gross-up payments to cover personal income taxes or excise taxes pertaining to executive or severance benefits</w:t>
      </w:r>
    </w:p>
    <w:p>
      <w:pPr>
        <w:spacing w:after="0" w:line="152" w:lineRule="exact"/>
        <w:rPr>
          <w:rFonts w:ascii="Arial" w:cs="Arial" w:eastAsia="Arial" w:hAnsi="Arial"/>
          <w:sz w:val="22"/>
          <w:szCs w:val="22"/>
          <w:color w:val="00A1DF"/>
        </w:rPr>
      </w:pPr>
    </w:p>
    <w:p>
      <w:pPr>
        <w:ind w:left="1220" w:hanging="469"/>
        <w:spacing w:after="0"/>
        <w:tabs>
          <w:tab w:leader="none" w:pos="1220" w:val="left"/>
        </w:tabs>
        <w:numPr>
          <w:ilvl w:val="0"/>
          <w:numId w:val="60"/>
        </w:numPr>
        <w:rPr>
          <w:rFonts w:ascii="Arial" w:cs="Arial" w:eastAsia="Arial" w:hAnsi="Arial"/>
          <w:sz w:val="22"/>
          <w:szCs w:val="22"/>
          <w:color w:val="00A1DF"/>
        </w:rPr>
      </w:pPr>
      <w:r>
        <w:rPr>
          <w:rFonts w:ascii="Arial" w:cs="Arial" w:eastAsia="Arial" w:hAnsi="Arial"/>
          <w:sz w:val="15"/>
          <w:szCs w:val="15"/>
          <w:color w:val="auto"/>
        </w:rPr>
        <w:t>Allow directors or executives to engage in hedging or pledging of GM securities</w:t>
      </w:r>
    </w:p>
    <w:p>
      <w:pPr>
        <w:spacing w:after="0" w:line="152" w:lineRule="exact"/>
        <w:rPr>
          <w:rFonts w:ascii="Arial" w:cs="Arial" w:eastAsia="Arial" w:hAnsi="Arial"/>
          <w:sz w:val="22"/>
          <w:szCs w:val="22"/>
          <w:color w:val="00A1DF"/>
        </w:rPr>
      </w:pPr>
    </w:p>
    <w:p>
      <w:pPr>
        <w:ind w:left="1220" w:hanging="469"/>
        <w:spacing w:after="0"/>
        <w:tabs>
          <w:tab w:leader="none" w:pos="1220" w:val="left"/>
        </w:tabs>
        <w:numPr>
          <w:ilvl w:val="0"/>
          <w:numId w:val="60"/>
        </w:numPr>
        <w:rPr>
          <w:rFonts w:ascii="Arial" w:cs="Arial" w:eastAsia="Arial" w:hAnsi="Arial"/>
          <w:sz w:val="22"/>
          <w:szCs w:val="22"/>
          <w:color w:val="00A1DF"/>
        </w:rPr>
      </w:pPr>
      <w:r>
        <w:rPr>
          <w:rFonts w:ascii="Arial" w:cs="Arial" w:eastAsia="Arial" w:hAnsi="Arial"/>
          <w:sz w:val="15"/>
          <w:szCs w:val="15"/>
          <w:color w:val="auto"/>
        </w:rPr>
        <w:t>Reward executives for excessive, inappropriate, or unnecessary risk-taking</w:t>
      </w:r>
    </w:p>
    <w:p>
      <w:pPr>
        <w:spacing w:after="0" w:line="152" w:lineRule="exact"/>
        <w:rPr>
          <w:rFonts w:ascii="Arial" w:cs="Arial" w:eastAsia="Arial" w:hAnsi="Arial"/>
          <w:sz w:val="22"/>
          <w:szCs w:val="22"/>
          <w:color w:val="00A1DF"/>
        </w:rPr>
      </w:pPr>
    </w:p>
    <w:p>
      <w:pPr>
        <w:ind w:left="1220" w:hanging="469"/>
        <w:spacing w:after="0"/>
        <w:tabs>
          <w:tab w:leader="none" w:pos="1220" w:val="left"/>
        </w:tabs>
        <w:numPr>
          <w:ilvl w:val="0"/>
          <w:numId w:val="60"/>
        </w:numPr>
        <w:rPr>
          <w:rFonts w:ascii="Arial" w:cs="Arial" w:eastAsia="Arial" w:hAnsi="Arial"/>
          <w:sz w:val="22"/>
          <w:szCs w:val="22"/>
          <w:color w:val="00A1DF"/>
        </w:rPr>
      </w:pPr>
      <w:r>
        <w:rPr>
          <w:rFonts w:ascii="Arial" w:cs="Arial" w:eastAsia="Arial" w:hAnsi="Arial"/>
          <w:sz w:val="15"/>
          <w:szCs w:val="15"/>
          <w:color w:val="auto"/>
        </w:rPr>
        <w:t>Allow the repricing or backdating of equity awards</w:t>
      </w:r>
    </w:p>
    <w:p>
      <w:pPr>
        <w:spacing w:after="0" w:line="200" w:lineRule="exact"/>
        <w:rPr>
          <w:sz w:val="20"/>
          <w:szCs w:val="20"/>
          <w:color w:val="auto"/>
        </w:rPr>
      </w:pPr>
    </w:p>
    <w:p>
      <w:pPr>
        <w:spacing w:after="0" w:line="312"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37</w:t>
      </w:r>
    </w:p>
    <w:p>
      <w:pPr>
        <w:sectPr>
          <w:pgSz w:w="11900" w:h="16838" w:orient="portrait"/>
          <w:cols w:equalWidth="0" w:num="1">
            <w:col w:w="11060"/>
          </w:cols>
          <w:pgMar w:left="240" w:top="459" w:right="5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78466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784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hanging="510"/>
        <w:spacing w:after="0"/>
        <w:tabs>
          <w:tab w:leader="none" w:pos="1100" w:val="left"/>
        </w:tabs>
        <w:numPr>
          <w:ilvl w:val="0"/>
          <w:numId w:val="61"/>
        </w:numPr>
        <w:rPr>
          <w:rFonts w:ascii="Arial" w:cs="Arial" w:eastAsia="Arial" w:hAnsi="Arial"/>
          <w:sz w:val="25"/>
          <w:szCs w:val="25"/>
          <w:color w:val="0033A0"/>
        </w:rPr>
      </w:pPr>
      <w:r>
        <w:rPr>
          <w:rFonts w:ascii="Arial" w:cs="Arial" w:eastAsia="Arial" w:hAnsi="Arial"/>
          <w:sz w:val="25"/>
          <w:szCs w:val="25"/>
          <w:color w:val="auto"/>
        </w:rPr>
        <w:t>Shareholder Engagement Initiatives</w:t>
      </w:r>
    </w:p>
    <w:p>
      <w:pPr>
        <w:spacing w:after="0" w:line="186" w:lineRule="exact"/>
        <w:rPr>
          <w:sz w:val="20"/>
          <w:szCs w:val="20"/>
          <w:color w:val="auto"/>
        </w:rPr>
      </w:pPr>
    </w:p>
    <w:p>
      <w:pPr>
        <w:jc w:val="both"/>
        <w:ind w:left="600"/>
        <w:spacing w:after="0" w:line="251" w:lineRule="auto"/>
        <w:rPr>
          <w:sz w:val="20"/>
          <w:szCs w:val="20"/>
          <w:color w:val="auto"/>
        </w:rPr>
      </w:pPr>
      <w:r>
        <w:rPr>
          <w:rFonts w:ascii="Arial" w:cs="Arial" w:eastAsia="Arial" w:hAnsi="Arial"/>
          <w:sz w:val="16"/>
          <w:szCs w:val="16"/>
          <w:color w:val="auto"/>
        </w:rPr>
        <w:t>We view shareholder engagement as an important and continuous cycle. During 2017, members of the Board met in-person with shareholders representing approximately 25% of our outstanding common stock. In addition, during 2017, one or more members of management were involved in more than 75 in-person and telephonic meetings with investors representing more than 45% of shares outstanding. These discussions, say-on-pay voting results, and other factors are key drivers in assessing our compensation programs.</w:t>
      </w:r>
    </w:p>
    <w:p>
      <w:pPr>
        <w:spacing w:after="0" w:line="318"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00A1DF"/>
        </w:rPr>
        <w:t>SHAREHOLDER SAY-ON-PAY</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The Compensation Committee seeks to align the Company’s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executive compensation program with the interests of the</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Company’s  shareholders.  The  Compensation  Committee</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considers the results of the annual Say-On-Pay vote, input</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from management, input from its independent compensation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consultant, and investor engagement initiatives when setting</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compensation for our executives. In 2017, 96.3% of our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shareholders voted in favor of our compensation</w:t>
      </w:r>
    </w:p>
    <w:p>
      <w:pPr>
        <w:spacing w:after="0" w:line="5" w:lineRule="exact"/>
        <w:rPr>
          <w:sz w:val="20"/>
          <w:szCs w:val="20"/>
          <w:color w:val="auto"/>
        </w:rPr>
      </w:pPr>
    </w:p>
    <w:p>
      <w:pPr>
        <w:ind w:left="6200"/>
        <w:spacing w:after="0"/>
        <w:tabs>
          <w:tab w:leader="none" w:pos="7040" w:val="left"/>
          <w:tab w:leader="none" w:pos="8060" w:val="left"/>
          <w:tab w:leader="none" w:pos="8480" w:val="left"/>
          <w:tab w:leader="none" w:pos="9280" w:val="left"/>
          <w:tab w:leader="none" w:pos="9680" w:val="left"/>
        </w:tabs>
        <w:rPr>
          <w:sz w:val="20"/>
          <w:szCs w:val="20"/>
          <w:color w:val="auto"/>
        </w:rPr>
      </w:pPr>
      <w:r>
        <w:rPr>
          <w:rFonts w:ascii="Arial" w:cs="Arial" w:eastAsia="Arial" w:hAnsi="Arial"/>
          <w:sz w:val="16"/>
          <w:szCs w:val="16"/>
          <w:color w:val="0033A0"/>
        </w:rPr>
        <w:t>programs.</w:t>
        <w:tab/>
        <w:t>Discussions</w:t>
        <w:tab/>
        <w:t>with</w:t>
        <w:tab/>
        <w:t>investors</w:t>
        <w:tab/>
        <w:t>and</w:t>
        <w:tab/>
        <w:t>shareholder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Say-On-Pay voting are key drivers in our compensation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design to continue alignment between our compensation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0033A0"/>
        </w:rPr>
        <w:t>programs and the interests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00"/>
        <w:spacing w:after="0" w:line="253" w:lineRule="auto"/>
        <w:rPr>
          <w:sz w:val="20"/>
          <w:szCs w:val="20"/>
          <w:color w:val="auto"/>
        </w:rPr>
      </w:pPr>
      <w:r>
        <w:rPr>
          <w:rFonts w:ascii="Arial" w:cs="Arial" w:eastAsia="Arial" w:hAnsi="Arial"/>
          <w:sz w:val="16"/>
          <w:szCs w:val="16"/>
          <w:color w:val="auto"/>
        </w:rPr>
        <w:t>The Company values investor feedback and will continue to seek feedback through engagement initiatives to align our executive compensation programs with shareholder expectations. We made changes to our compensation plans that commenced at the start of 2017 to further align the interests of our senior leaders with those of our shareholders.</w:t>
      </w:r>
    </w:p>
    <w:p>
      <w:pPr>
        <w:spacing w:after="0" w:line="219"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680" w:type="dxa"/>
            <w:vAlign w:val="bottom"/>
          </w:tcPr>
          <w:p>
            <w:pPr>
              <w:ind w:left="80"/>
              <w:spacing w:after="0"/>
              <w:rPr>
                <w:sz w:val="20"/>
                <w:szCs w:val="20"/>
                <w:color w:val="auto"/>
              </w:rPr>
            </w:pPr>
            <w:r>
              <w:rPr>
                <w:rFonts w:ascii="Arial" w:cs="Arial" w:eastAsia="Arial" w:hAnsi="Arial"/>
                <w:sz w:val="15"/>
                <w:szCs w:val="15"/>
                <w:b w:val="1"/>
                <w:bCs w:val="1"/>
                <w:color w:val="00A1DF"/>
              </w:rPr>
              <w:t>What We Heard</w:t>
            </w:r>
          </w:p>
        </w:tc>
        <w:tc>
          <w:tcPr>
            <w:tcW w:w="7540" w:type="dxa"/>
            <w:vAlign w:val="bottom"/>
          </w:tcPr>
          <w:p>
            <w:pPr>
              <w:ind w:left="160"/>
              <w:spacing w:after="0"/>
              <w:rPr>
                <w:sz w:val="20"/>
                <w:szCs w:val="20"/>
                <w:color w:val="auto"/>
              </w:rPr>
            </w:pPr>
            <w:r>
              <w:rPr>
                <w:rFonts w:ascii="Arial" w:cs="Arial" w:eastAsia="Arial" w:hAnsi="Arial"/>
                <w:sz w:val="15"/>
                <w:szCs w:val="15"/>
                <w:b w:val="1"/>
                <w:bCs w:val="1"/>
                <w:color w:val="00A1DF"/>
              </w:rPr>
              <w:t>How We Responded</w:t>
            </w:r>
          </w:p>
        </w:tc>
      </w:tr>
      <w:tr>
        <w:trPr>
          <w:trHeight w:val="22"/>
        </w:trPr>
        <w:tc>
          <w:tcPr>
            <w:tcW w:w="2680" w:type="dxa"/>
            <w:vAlign w:val="bottom"/>
            <w:tcBorders>
              <w:bottom w:val="single" w:sz="8" w:color="00A1DF"/>
            </w:tcBorders>
          </w:tcPr>
          <w:p>
            <w:pPr>
              <w:spacing w:after="0" w:line="20" w:lineRule="exact"/>
              <w:rPr>
                <w:sz w:val="1"/>
                <w:szCs w:val="1"/>
                <w:color w:val="auto"/>
              </w:rPr>
            </w:pPr>
          </w:p>
        </w:tc>
        <w:tc>
          <w:tcPr>
            <w:tcW w:w="7540" w:type="dxa"/>
            <w:vAlign w:val="bottom"/>
            <w:tcBorders>
              <w:bottom w:val="single" w:sz="8" w:color="00A1DF"/>
            </w:tcBorders>
          </w:tcPr>
          <w:p>
            <w:pPr>
              <w:spacing w:after="0" w:line="20" w:lineRule="exact"/>
              <w:rPr>
                <w:sz w:val="1"/>
                <w:szCs w:val="1"/>
                <w:color w:val="auto"/>
              </w:rPr>
            </w:pPr>
          </w:p>
        </w:tc>
      </w:tr>
      <w:tr>
        <w:trPr>
          <w:trHeight w:val="152"/>
        </w:trPr>
        <w:tc>
          <w:tcPr>
            <w:tcW w:w="2680" w:type="dxa"/>
            <w:vAlign w:val="bottom"/>
          </w:tcPr>
          <w:p>
            <w:pPr>
              <w:ind w:left="80"/>
              <w:spacing w:after="0" w:line="152" w:lineRule="exact"/>
              <w:rPr>
                <w:sz w:val="20"/>
                <w:szCs w:val="20"/>
                <w:color w:val="auto"/>
              </w:rPr>
            </w:pPr>
            <w:r>
              <w:rPr>
                <w:rFonts w:ascii="Arial" w:cs="Arial" w:eastAsia="Arial" w:hAnsi="Arial"/>
                <w:sz w:val="15"/>
                <w:szCs w:val="15"/>
                <w:b w:val="1"/>
                <w:bCs w:val="1"/>
                <w:color w:val="auto"/>
              </w:rPr>
              <w:t>Maintain pay for performance</w:t>
            </w:r>
          </w:p>
        </w:tc>
        <w:tc>
          <w:tcPr>
            <w:tcW w:w="7540" w:type="dxa"/>
            <w:vAlign w:val="bottom"/>
          </w:tcPr>
          <w:p>
            <w:pPr>
              <w:ind w:left="160"/>
              <w:spacing w:after="0" w:line="152" w:lineRule="exact"/>
              <w:rPr>
                <w:sz w:val="20"/>
                <w:szCs w:val="20"/>
                <w:color w:val="auto"/>
              </w:rPr>
            </w:pPr>
            <w:r>
              <w:rPr>
                <w:rFonts w:ascii="Arial" w:cs="Arial" w:eastAsia="Arial" w:hAnsi="Arial"/>
                <w:sz w:val="15"/>
                <w:szCs w:val="15"/>
                <w:color w:val="auto"/>
              </w:rPr>
              <w:t>We continue to evolve our pay practices to support our pay-for-performance philosophy. For 2017, we added</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an individual performance measure into our STIP while continuing Company focus on EBIT-adjusted and</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Adjusted AFCF. In our LTIP we now measure both ROIC-adjusted and TSR performance relative to our OEM</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peers while replacing RSUs with Stock Options to further align the interests of our most senior leaders with</w:t>
            </w:r>
          </w:p>
        </w:tc>
      </w:tr>
      <w:tr>
        <w:trPr>
          <w:trHeight w:val="188"/>
        </w:trPr>
        <w:tc>
          <w:tcPr>
            <w:tcW w:w="268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those of our shareholders.</w:t>
            </w:r>
          </w:p>
        </w:tc>
      </w:tr>
      <w:tr>
        <w:trPr>
          <w:trHeight w:val="156"/>
        </w:trPr>
        <w:tc>
          <w:tcPr>
            <w:tcW w:w="26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Continue to invest in the future</w:t>
            </w:r>
          </w:p>
        </w:tc>
        <w:tc>
          <w:tcPr>
            <w:tcW w:w="7540" w:type="dxa"/>
            <w:vAlign w:val="bottom"/>
          </w:tcPr>
          <w:p>
            <w:pPr>
              <w:ind w:left="160"/>
              <w:spacing w:after="0" w:line="156" w:lineRule="exact"/>
              <w:rPr>
                <w:sz w:val="20"/>
                <w:szCs w:val="20"/>
                <w:color w:val="auto"/>
              </w:rPr>
            </w:pPr>
            <w:r>
              <w:rPr>
                <w:rFonts w:ascii="Arial" w:cs="Arial" w:eastAsia="Arial" w:hAnsi="Arial"/>
                <w:sz w:val="15"/>
                <w:szCs w:val="15"/>
                <w:color w:val="auto"/>
              </w:rPr>
              <w:t>Our LTIP places a focus on investing in our future. By continuing to place a focus on ROIC and measuring</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performance relative to OEM peers, we are incentivizing our most senior leaders to make investments in the</w:t>
            </w:r>
          </w:p>
        </w:tc>
      </w:tr>
      <w:tr>
        <w:trPr>
          <w:trHeight w:val="188"/>
        </w:trPr>
        <w:tc>
          <w:tcPr>
            <w:tcW w:w="268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future of GM while delivering a return on investment that outperforms other OEMs.</w:t>
            </w:r>
          </w:p>
        </w:tc>
      </w:tr>
      <w:tr>
        <w:trPr>
          <w:trHeight w:val="138"/>
        </w:trPr>
        <w:tc>
          <w:tcPr>
            <w:tcW w:w="2680" w:type="dxa"/>
            <w:vAlign w:val="bottom"/>
          </w:tcPr>
          <w:p>
            <w:pPr>
              <w:ind w:left="80"/>
              <w:spacing w:after="0" w:line="138" w:lineRule="exact"/>
              <w:rPr>
                <w:sz w:val="20"/>
                <w:szCs w:val="20"/>
                <w:color w:val="auto"/>
              </w:rPr>
            </w:pPr>
            <w:r>
              <w:rPr>
                <w:rFonts w:ascii="Arial" w:cs="Arial" w:eastAsia="Arial" w:hAnsi="Arial"/>
                <w:sz w:val="15"/>
                <w:szCs w:val="15"/>
                <w:b w:val="1"/>
                <w:bCs w:val="1"/>
                <w:color w:val="auto"/>
              </w:rPr>
              <w:t>Consider ESG performance when</w:t>
            </w:r>
          </w:p>
        </w:tc>
        <w:tc>
          <w:tcPr>
            <w:tcW w:w="7540" w:type="dxa"/>
            <w:vAlign w:val="bottom"/>
          </w:tcPr>
          <w:p>
            <w:pPr>
              <w:ind w:left="160"/>
              <w:spacing w:after="0" w:line="138" w:lineRule="exact"/>
              <w:rPr>
                <w:sz w:val="20"/>
                <w:szCs w:val="20"/>
                <w:color w:val="auto"/>
              </w:rPr>
            </w:pPr>
            <w:r>
              <w:rPr>
                <w:rFonts w:ascii="Arial" w:cs="Arial" w:eastAsia="Arial" w:hAnsi="Arial"/>
                <w:sz w:val="15"/>
                <w:szCs w:val="15"/>
                <w:color w:val="auto"/>
              </w:rPr>
              <w:t>The Company introduced our vision of a future with zero crashes, zero emissions, and zero congestion in</w:t>
            </w:r>
          </w:p>
        </w:tc>
      </w:tr>
      <w:tr>
        <w:trPr>
          <w:trHeight w:val="180"/>
        </w:trPr>
        <w:tc>
          <w:tcPr>
            <w:tcW w:w="2680" w:type="dxa"/>
            <w:vAlign w:val="bottom"/>
          </w:tcPr>
          <w:p>
            <w:pPr>
              <w:ind w:left="80"/>
              <w:spacing w:after="0"/>
              <w:rPr>
                <w:sz w:val="20"/>
                <w:szCs w:val="20"/>
                <w:color w:val="auto"/>
              </w:rPr>
            </w:pPr>
            <w:r>
              <w:rPr>
                <w:rFonts w:ascii="Arial" w:cs="Arial" w:eastAsia="Arial" w:hAnsi="Arial"/>
                <w:sz w:val="15"/>
                <w:szCs w:val="15"/>
                <w:b w:val="1"/>
                <w:bCs w:val="1"/>
                <w:color w:val="auto"/>
              </w:rPr>
              <w:t>making pay decisions</w:t>
            </w:r>
          </w:p>
        </w:tc>
        <w:tc>
          <w:tcPr>
            <w:tcW w:w="7540" w:type="dxa"/>
            <w:vAlign w:val="bottom"/>
          </w:tcPr>
          <w:p>
            <w:pPr>
              <w:ind w:left="160"/>
              <w:spacing w:after="0"/>
              <w:rPr>
                <w:sz w:val="20"/>
                <w:szCs w:val="20"/>
                <w:color w:val="auto"/>
              </w:rPr>
            </w:pPr>
            <w:r>
              <w:rPr>
                <w:rFonts w:ascii="Arial" w:cs="Arial" w:eastAsia="Arial" w:hAnsi="Arial"/>
                <w:sz w:val="15"/>
                <w:szCs w:val="15"/>
                <w:color w:val="auto"/>
              </w:rPr>
              <w:t>2017. Several key ESG results are discussed in the proxy statement summary on page 6 and in “Executive</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Compensation—Compensation  Overview—Our  Company  Performance”  on  page  36.  In  addition,  we</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introduced an individual performance component weighted at 25% for our STIP. Please see pages 48–53</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where we discuss individual performance results, including results that had a positive impact on ESG</w:t>
            </w:r>
          </w:p>
        </w:tc>
      </w:tr>
      <w:tr>
        <w:trPr>
          <w:trHeight w:val="188"/>
        </w:trPr>
        <w:tc>
          <w:tcPr>
            <w:tcW w:w="268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measures.</w:t>
            </w:r>
          </w:p>
        </w:tc>
      </w:tr>
      <w:tr>
        <w:trPr>
          <w:trHeight w:val="138"/>
        </w:trPr>
        <w:tc>
          <w:tcPr>
            <w:tcW w:w="2680" w:type="dxa"/>
            <w:vAlign w:val="bottom"/>
          </w:tcPr>
          <w:p>
            <w:pPr>
              <w:ind w:left="80"/>
              <w:spacing w:after="0" w:line="138" w:lineRule="exact"/>
              <w:rPr>
                <w:sz w:val="20"/>
                <w:szCs w:val="20"/>
                <w:color w:val="auto"/>
              </w:rPr>
            </w:pPr>
            <w:r>
              <w:rPr>
                <w:rFonts w:ascii="Arial" w:cs="Arial" w:eastAsia="Arial" w:hAnsi="Arial"/>
                <w:sz w:val="15"/>
                <w:szCs w:val="15"/>
                <w:b w:val="1"/>
                <w:bCs w:val="1"/>
                <w:color w:val="auto"/>
              </w:rPr>
              <w:t>Look at performance relative to</w:t>
            </w:r>
          </w:p>
        </w:tc>
        <w:tc>
          <w:tcPr>
            <w:tcW w:w="7540" w:type="dxa"/>
            <w:vAlign w:val="bottom"/>
          </w:tcPr>
          <w:p>
            <w:pPr>
              <w:ind w:left="160"/>
              <w:spacing w:after="0" w:line="138" w:lineRule="exact"/>
              <w:rPr>
                <w:sz w:val="20"/>
                <w:szCs w:val="20"/>
                <w:color w:val="auto"/>
              </w:rPr>
            </w:pPr>
            <w:r>
              <w:rPr>
                <w:rFonts w:ascii="Arial" w:cs="Arial" w:eastAsia="Arial" w:hAnsi="Arial"/>
                <w:sz w:val="15"/>
                <w:szCs w:val="15"/>
                <w:color w:val="auto"/>
              </w:rPr>
              <w:t>Our PSUs measure both Relative ROIC-adjusted and Relative TSR against the Company’s OEM peers to</w:t>
            </w:r>
          </w:p>
        </w:tc>
      </w:tr>
      <w:tr>
        <w:trPr>
          <w:trHeight w:val="206"/>
        </w:trPr>
        <w:tc>
          <w:tcPr>
            <w:tcW w:w="2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automotive industry peers</w:t>
            </w:r>
          </w:p>
        </w:tc>
        <w:tc>
          <w:tcPr>
            <w:tcW w:w="75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motivate our leaders to perform at the top of the industry regardless of business cycles.</w:t>
            </w:r>
          </w:p>
        </w:tc>
      </w:tr>
      <w:tr>
        <w:trPr>
          <w:trHeight w:val="156"/>
        </w:trPr>
        <w:tc>
          <w:tcPr>
            <w:tcW w:w="26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Keep compensation plans simple</w:t>
            </w:r>
          </w:p>
        </w:tc>
        <w:tc>
          <w:tcPr>
            <w:tcW w:w="7540" w:type="dxa"/>
            <w:vAlign w:val="bottom"/>
          </w:tcPr>
          <w:p>
            <w:pPr>
              <w:ind w:left="160"/>
              <w:spacing w:after="0" w:line="156" w:lineRule="exact"/>
              <w:rPr>
                <w:sz w:val="20"/>
                <w:szCs w:val="20"/>
                <w:color w:val="auto"/>
              </w:rPr>
            </w:pPr>
            <w:r>
              <w:rPr>
                <w:rFonts w:ascii="Arial" w:cs="Arial" w:eastAsia="Arial" w:hAnsi="Arial"/>
                <w:sz w:val="15"/>
                <w:szCs w:val="15"/>
                <w:color w:val="auto"/>
              </w:rPr>
              <w:t>We simplified our compensation plans in 2017 to focus our most senior leaders on both key operational</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performance measures and individual results in the STIP. This change added a complete line of sight into</w:t>
            </w:r>
          </w:p>
        </w:tc>
      </w:tr>
      <w:tr>
        <w:trPr>
          <w:trHeight w:val="162"/>
        </w:trPr>
        <w:tc>
          <w:tcPr>
            <w:tcW w:w="2680" w:type="dxa"/>
            <w:vAlign w:val="bottom"/>
          </w:tcPr>
          <w:p>
            <w:pPr>
              <w:spacing w:after="0"/>
              <w:rPr>
                <w:sz w:val="14"/>
                <w:szCs w:val="14"/>
                <w:color w:val="auto"/>
              </w:rPr>
            </w:pPr>
          </w:p>
        </w:tc>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compensation for each senior leader. We adjusted the LTIP to focus senior leaders on outperforming our</w:t>
            </w:r>
          </w:p>
        </w:tc>
      </w:tr>
      <w:tr>
        <w:trPr>
          <w:trHeight w:val="188"/>
        </w:trPr>
        <w:tc>
          <w:tcPr>
            <w:tcW w:w="2680" w:type="dxa"/>
            <w:vAlign w:val="bottom"/>
            <w:tcBorders>
              <w:bottom w:val="single" w:sz="8" w:color="0033A0"/>
            </w:tcBorders>
          </w:tcPr>
          <w:p>
            <w:pPr>
              <w:spacing w:after="0"/>
              <w:rPr>
                <w:sz w:val="16"/>
                <w:szCs w:val="16"/>
                <w:color w:val="auto"/>
              </w:rPr>
            </w:pPr>
          </w:p>
        </w:tc>
        <w:tc>
          <w:tcPr>
            <w:tcW w:w="7540" w:type="dxa"/>
            <w:vAlign w:val="bottom"/>
            <w:tcBorders>
              <w:bottom w:val="single" w:sz="8" w:color="0033A0"/>
            </w:tcBorders>
          </w:tcPr>
          <w:p>
            <w:pPr>
              <w:ind w:left="160"/>
              <w:spacing w:after="0"/>
              <w:rPr>
                <w:sz w:val="20"/>
                <w:szCs w:val="20"/>
                <w:color w:val="auto"/>
              </w:rPr>
            </w:pPr>
            <w:r>
              <w:rPr>
                <w:rFonts w:ascii="Arial" w:cs="Arial" w:eastAsia="Arial" w:hAnsi="Arial"/>
                <w:sz w:val="15"/>
                <w:szCs w:val="15"/>
                <w:color w:val="auto"/>
              </w:rPr>
              <w:t>peers and increasing stock price to create value for our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38</w:t>
      </w:r>
    </w:p>
    <w:p>
      <w:pPr>
        <w:sectPr>
          <w:pgSz w:w="11900" w:h="16838" w:orient="portrait"/>
          <w:cols w:equalWidth="0" w:num="1">
            <w:col w:w="10820"/>
          </w:cols>
          <w:pgMar w:left="240" w:top="459" w:right="8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138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13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hanging="510"/>
        <w:spacing w:after="0"/>
        <w:tabs>
          <w:tab w:leader="none" w:pos="1100" w:val="left"/>
        </w:tabs>
        <w:numPr>
          <w:ilvl w:val="0"/>
          <w:numId w:val="62"/>
        </w:numPr>
        <w:rPr>
          <w:rFonts w:ascii="Arial" w:cs="Arial" w:eastAsia="Arial" w:hAnsi="Arial"/>
          <w:sz w:val="25"/>
          <w:szCs w:val="25"/>
          <w:color w:val="0033A0"/>
        </w:rPr>
      </w:pPr>
      <w:r>
        <w:rPr>
          <w:rFonts w:ascii="Arial" w:cs="Arial" w:eastAsia="Arial" w:hAnsi="Arial"/>
          <w:sz w:val="25"/>
          <w:szCs w:val="25"/>
          <w:color w:val="auto"/>
        </w:rPr>
        <w:t>Compensation Program Evolution</w:t>
      </w:r>
    </w:p>
    <w:p>
      <w:pPr>
        <w:spacing w:after="0" w:line="186" w:lineRule="exact"/>
        <w:rPr>
          <w:sz w:val="20"/>
          <w:szCs w:val="20"/>
          <w:color w:val="auto"/>
        </w:rPr>
      </w:pPr>
    </w:p>
    <w:p>
      <w:pPr>
        <w:jc w:val="both"/>
        <w:ind w:left="600" w:right="240"/>
        <w:spacing w:after="0" w:line="250" w:lineRule="auto"/>
        <w:rPr>
          <w:sz w:val="20"/>
          <w:szCs w:val="20"/>
          <w:color w:val="auto"/>
        </w:rPr>
      </w:pPr>
      <w:r>
        <w:rPr>
          <w:rFonts w:ascii="Arial" w:cs="Arial" w:eastAsia="Arial" w:hAnsi="Arial"/>
          <w:sz w:val="16"/>
          <w:szCs w:val="16"/>
          <w:color w:val="auto"/>
        </w:rPr>
        <w:t>Our compensation programs have continued to focus our leaders on the key areas that both drive the business forward and align to the short-term and long-term interests of our shareholders. The Compensation Committee regularly reviews and discusses plan performance at each Compensation Committee meeting. The Compensation Committee considers many factors when electing to make plan changes for future incentive plans, including results, market trends, and investor feedback. The table below shows how the compensation program has continued to evolve to align with shareholders’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39</w:t>
      </w:r>
    </w:p>
    <w:p>
      <w:pPr>
        <w:sectPr>
          <w:pgSz w:w="11900" w:h="16838" w:orient="portrait"/>
          <w:cols w:equalWidth="0" w:num="1">
            <w:col w:w="11060"/>
          </w:cols>
          <w:pgMar w:left="240" w:top="459" w:right="5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5674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856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356" w:lineRule="exact"/>
        <w:rPr>
          <w:sz w:val="20"/>
          <w:szCs w:val="20"/>
          <w:color w:val="auto"/>
        </w:rPr>
      </w:pPr>
    </w:p>
    <w:p>
      <w:pPr>
        <w:jc w:val="both"/>
        <w:ind w:left="600"/>
        <w:spacing w:after="0" w:line="251" w:lineRule="auto"/>
        <w:rPr>
          <w:sz w:val="20"/>
          <w:szCs w:val="20"/>
          <w:color w:val="auto"/>
        </w:rPr>
      </w:pPr>
      <w:r>
        <w:rPr>
          <w:rFonts w:ascii="Arial" w:cs="Arial" w:eastAsia="Arial" w:hAnsi="Arial"/>
          <w:sz w:val="16"/>
          <w:szCs w:val="16"/>
          <w:color w:val="auto"/>
        </w:rPr>
        <w:t>The Company held engagements with investors and received feedback on changes to both the STIP and LTIP. The 2017 STIP continued a focus on key financial measures (75% of STIP) and individual performance (25% of STIP). The total payout for the STIP will be 0% to 200% of target based on actual performance against pre-established goals. The Compensation Committee determined individual performance using a rigorous assessment process measuring performance against pre-established operational and other measures.</w:t>
      </w:r>
    </w:p>
    <w:p>
      <w:pPr>
        <w:spacing w:after="0" w:line="95" w:lineRule="exact"/>
        <w:rPr>
          <w:sz w:val="20"/>
          <w:szCs w:val="20"/>
          <w:color w:val="auto"/>
        </w:rPr>
      </w:pPr>
    </w:p>
    <w:p>
      <w:pPr>
        <w:jc w:val="both"/>
        <w:ind w:left="600"/>
        <w:spacing w:after="0" w:line="251" w:lineRule="auto"/>
        <w:rPr>
          <w:sz w:val="20"/>
          <w:szCs w:val="20"/>
          <w:color w:val="auto"/>
        </w:rPr>
      </w:pPr>
      <w:r>
        <w:rPr>
          <w:rFonts w:ascii="Arial" w:cs="Arial" w:eastAsia="Arial" w:hAnsi="Arial"/>
          <w:sz w:val="16"/>
          <w:szCs w:val="16"/>
          <w:color w:val="auto"/>
        </w:rPr>
        <w:t>The 2017 LTIP replaced time-based RSUs with Stock Options to further align our most senior leaders with our shareholders’ interest in stock price appreciation. In addition, the Company changed PSU performance measures from ROIC-adjusted with a Global Market Share modifier to Relative ROIC-adjusted (50% of total LTIP) and Relative TSR (25% of total LTIP) against OEMs in the Dow Jones Automobiles and Parts Titans 30 Index, listed below.</w:t>
      </w:r>
    </w:p>
    <w:p>
      <w:pPr>
        <w:spacing w:after="0" w:line="250"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00A1DF"/>
        </w:rPr>
        <w:t>Dow Jones Automobiles &amp; Parts Titans 30 Index – OEM Peer Group</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200" w:type="dxa"/>
            <w:vAlign w:val="bottom"/>
            <w:tcBorders>
              <w:top w:val="single" w:sz="8" w:color="00A1DF"/>
            </w:tcBorders>
          </w:tcPr>
          <w:p>
            <w:pPr>
              <w:jc w:val="center"/>
              <w:ind w:right="179"/>
              <w:spacing w:after="0"/>
              <w:rPr>
                <w:sz w:val="20"/>
                <w:szCs w:val="20"/>
                <w:color w:val="auto"/>
              </w:rPr>
            </w:pPr>
            <w:r>
              <w:rPr>
                <w:rFonts w:ascii="Arial" w:cs="Arial" w:eastAsia="Arial" w:hAnsi="Arial"/>
                <w:sz w:val="16"/>
                <w:szCs w:val="16"/>
                <w:color w:val="auto"/>
                <w:w w:val="99"/>
              </w:rPr>
              <w:t>Toyota Motor Company</w:t>
            </w:r>
          </w:p>
        </w:tc>
        <w:tc>
          <w:tcPr>
            <w:tcW w:w="3700" w:type="dxa"/>
            <w:vAlign w:val="bottom"/>
            <w:tcBorders>
              <w:top w:val="single" w:sz="8" w:color="00A1DF"/>
            </w:tcBorders>
          </w:tcPr>
          <w:p>
            <w:pPr>
              <w:jc w:val="center"/>
              <w:ind w:left="239"/>
              <w:spacing w:after="0"/>
              <w:rPr>
                <w:sz w:val="20"/>
                <w:szCs w:val="20"/>
                <w:color w:val="auto"/>
              </w:rPr>
            </w:pPr>
            <w:r>
              <w:rPr>
                <w:rFonts w:ascii="Arial" w:cs="Arial" w:eastAsia="Arial" w:hAnsi="Arial"/>
                <w:sz w:val="16"/>
                <w:szCs w:val="16"/>
                <w:color w:val="auto"/>
              </w:rPr>
              <w:t>Volkswagen AG</w:t>
            </w:r>
          </w:p>
        </w:tc>
        <w:tc>
          <w:tcPr>
            <w:tcW w:w="3220" w:type="dxa"/>
            <w:vAlign w:val="bottom"/>
            <w:tcBorders>
              <w:top w:val="single" w:sz="8" w:color="00A1DF"/>
            </w:tcBorders>
          </w:tcPr>
          <w:p>
            <w:pPr>
              <w:jc w:val="center"/>
              <w:spacing w:after="0"/>
              <w:rPr>
                <w:sz w:val="20"/>
                <w:szCs w:val="20"/>
                <w:color w:val="auto"/>
              </w:rPr>
            </w:pPr>
            <w:r>
              <w:rPr>
                <w:rFonts w:ascii="Arial" w:cs="Arial" w:eastAsia="Arial" w:hAnsi="Arial"/>
                <w:sz w:val="16"/>
                <w:szCs w:val="16"/>
                <w:color w:val="auto"/>
              </w:rPr>
              <w:t>Suzuki Motor Corp.</w:t>
            </w:r>
          </w:p>
        </w:tc>
      </w:tr>
      <w:tr>
        <w:trPr>
          <w:trHeight w:val="33"/>
        </w:trPr>
        <w:tc>
          <w:tcPr>
            <w:tcW w:w="3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jc w:val="center"/>
              <w:ind w:right="199"/>
              <w:spacing w:after="0"/>
              <w:rPr>
                <w:sz w:val="20"/>
                <w:szCs w:val="20"/>
                <w:color w:val="auto"/>
              </w:rPr>
            </w:pPr>
            <w:r>
              <w:rPr>
                <w:rFonts w:ascii="Arial" w:cs="Arial" w:eastAsia="Arial" w:hAnsi="Arial"/>
                <w:sz w:val="16"/>
                <w:szCs w:val="16"/>
                <w:color w:val="auto"/>
              </w:rPr>
              <w:t>Daimler AG</w:t>
            </w:r>
          </w:p>
        </w:tc>
        <w:tc>
          <w:tcPr>
            <w:tcW w:w="3700" w:type="dxa"/>
            <w:vAlign w:val="bottom"/>
          </w:tcPr>
          <w:p>
            <w:pPr>
              <w:jc w:val="center"/>
              <w:ind w:left="239"/>
              <w:spacing w:after="0"/>
              <w:rPr>
                <w:sz w:val="20"/>
                <w:szCs w:val="20"/>
                <w:color w:val="auto"/>
              </w:rPr>
            </w:pPr>
            <w:r>
              <w:rPr>
                <w:rFonts w:ascii="Arial" w:cs="Arial" w:eastAsia="Arial" w:hAnsi="Arial"/>
                <w:sz w:val="16"/>
                <w:szCs w:val="16"/>
                <w:color w:val="auto"/>
              </w:rPr>
              <w:t>Bayerische Motoren Werke AG</w:t>
            </w:r>
          </w:p>
        </w:tc>
        <w:tc>
          <w:tcPr>
            <w:tcW w:w="3220" w:type="dxa"/>
            <w:vAlign w:val="bottom"/>
          </w:tcPr>
          <w:p>
            <w:pPr>
              <w:jc w:val="center"/>
              <w:spacing w:after="0"/>
              <w:rPr>
                <w:sz w:val="20"/>
                <w:szCs w:val="20"/>
                <w:color w:val="auto"/>
              </w:rPr>
            </w:pPr>
            <w:r>
              <w:rPr>
                <w:rFonts w:ascii="Arial" w:cs="Arial" w:eastAsia="Arial" w:hAnsi="Arial"/>
                <w:sz w:val="16"/>
                <w:szCs w:val="16"/>
                <w:color w:val="auto"/>
              </w:rPr>
              <w:t>Fiat Chrysler Automobiles NV</w:t>
            </w:r>
          </w:p>
        </w:tc>
      </w:tr>
      <w:tr>
        <w:trPr>
          <w:trHeight w:val="60"/>
        </w:trPr>
        <w:tc>
          <w:tcPr>
            <w:tcW w:w="32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r>
      <w:tr>
        <w:trPr>
          <w:trHeight w:val="217"/>
        </w:trPr>
        <w:tc>
          <w:tcPr>
            <w:tcW w:w="3200" w:type="dxa"/>
            <w:vAlign w:val="bottom"/>
          </w:tcPr>
          <w:p>
            <w:pPr>
              <w:jc w:val="center"/>
              <w:ind w:right="179"/>
              <w:spacing w:after="0"/>
              <w:rPr>
                <w:sz w:val="20"/>
                <w:szCs w:val="20"/>
                <w:color w:val="auto"/>
              </w:rPr>
            </w:pPr>
            <w:r>
              <w:rPr>
                <w:rFonts w:ascii="Arial" w:cs="Arial" w:eastAsia="Arial" w:hAnsi="Arial"/>
                <w:sz w:val="16"/>
                <w:szCs w:val="16"/>
                <w:color w:val="auto"/>
              </w:rPr>
              <w:t>Ford Motor Company</w:t>
            </w:r>
          </w:p>
        </w:tc>
        <w:tc>
          <w:tcPr>
            <w:tcW w:w="3700" w:type="dxa"/>
            <w:vAlign w:val="bottom"/>
          </w:tcPr>
          <w:p>
            <w:pPr>
              <w:jc w:val="center"/>
              <w:ind w:left="239"/>
              <w:spacing w:after="0"/>
              <w:rPr>
                <w:sz w:val="20"/>
                <w:szCs w:val="20"/>
                <w:color w:val="auto"/>
              </w:rPr>
            </w:pPr>
            <w:r>
              <w:rPr>
                <w:rFonts w:ascii="Arial" w:cs="Arial" w:eastAsia="Arial" w:hAnsi="Arial"/>
                <w:sz w:val="16"/>
                <w:szCs w:val="16"/>
                <w:color w:val="auto"/>
              </w:rPr>
              <w:t>Nissan Motor Co. Ltd</w:t>
            </w:r>
          </w:p>
        </w:tc>
        <w:tc>
          <w:tcPr>
            <w:tcW w:w="3220" w:type="dxa"/>
            <w:vAlign w:val="bottom"/>
          </w:tcPr>
          <w:p>
            <w:pPr>
              <w:jc w:val="center"/>
              <w:spacing w:after="0"/>
              <w:rPr>
                <w:sz w:val="20"/>
                <w:szCs w:val="20"/>
                <w:color w:val="auto"/>
              </w:rPr>
            </w:pPr>
            <w:r>
              <w:rPr>
                <w:rFonts w:ascii="Arial" w:cs="Arial" w:eastAsia="Arial" w:hAnsi="Arial"/>
                <w:sz w:val="16"/>
                <w:szCs w:val="16"/>
                <w:color w:val="auto"/>
              </w:rPr>
              <w:t>Tesla, Inc.</w:t>
            </w:r>
          </w:p>
        </w:tc>
      </w:tr>
      <w:tr>
        <w:trPr>
          <w:trHeight w:val="33"/>
        </w:trPr>
        <w:tc>
          <w:tcPr>
            <w:tcW w:w="3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jc w:val="center"/>
              <w:ind w:right="179"/>
              <w:spacing w:after="0"/>
              <w:rPr>
                <w:sz w:val="20"/>
                <w:szCs w:val="20"/>
                <w:color w:val="auto"/>
              </w:rPr>
            </w:pPr>
            <w:r>
              <w:rPr>
                <w:rFonts w:ascii="Arial" w:cs="Arial" w:eastAsia="Arial" w:hAnsi="Arial"/>
                <w:sz w:val="16"/>
                <w:szCs w:val="16"/>
                <w:color w:val="auto"/>
              </w:rPr>
              <w:t>Honda Motor Co. Ltd.</w:t>
            </w:r>
          </w:p>
        </w:tc>
        <w:tc>
          <w:tcPr>
            <w:tcW w:w="3700" w:type="dxa"/>
            <w:vAlign w:val="bottom"/>
          </w:tcPr>
          <w:p>
            <w:pPr>
              <w:jc w:val="center"/>
              <w:ind w:left="239"/>
              <w:spacing w:after="0"/>
              <w:rPr>
                <w:sz w:val="20"/>
                <w:szCs w:val="20"/>
                <w:color w:val="auto"/>
              </w:rPr>
            </w:pPr>
            <w:r>
              <w:rPr>
                <w:rFonts w:ascii="Arial" w:cs="Arial" w:eastAsia="Arial" w:hAnsi="Arial"/>
                <w:sz w:val="16"/>
                <w:szCs w:val="16"/>
                <w:color w:val="auto"/>
              </w:rPr>
              <w:t>Renault SA</w:t>
            </w:r>
          </w:p>
        </w:tc>
        <w:tc>
          <w:tcPr>
            <w:tcW w:w="3220" w:type="dxa"/>
            <w:vAlign w:val="bottom"/>
          </w:tcPr>
          <w:p>
            <w:pPr>
              <w:jc w:val="center"/>
              <w:spacing w:after="0"/>
              <w:rPr>
                <w:sz w:val="20"/>
                <w:szCs w:val="20"/>
                <w:color w:val="auto"/>
              </w:rPr>
            </w:pPr>
            <w:r>
              <w:rPr>
                <w:rFonts w:ascii="Arial" w:cs="Arial" w:eastAsia="Arial" w:hAnsi="Arial"/>
                <w:sz w:val="16"/>
                <w:szCs w:val="16"/>
                <w:color w:val="auto"/>
              </w:rPr>
              <w:t>Mazda Motor Corp.</w:t>
            </w:r>
          </w:p>
        </w:tc>
      </w:tr>
      <w:tr>
        <w:trPr>
          <w:trHeight w:val="33"/>
        </w:trPr>
        <w:tc>
          <w:tcPr>
            <w:tcW w:w="3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0033A0"/>
            </w:tcBorders>
          </w:tcPr>
          <w:p>
            <w:pPr>
              <w:jc w:val="center"/>
              <w:ind w:right="179"/>
              <w:spacing w:after="0" w:line="250" w:lineRule="exact"/>
              <w:rPr>
                <w:sz w:val="20"/>
                <w:szCs w:val="20"/>
                <w:color w:val="auto"/>
              </w:rPr>
            </w:pPr>
            <w:r>
              <w:rPr>
                <w:rFonts w:ascii="Arial" w:cs="Arial" w:eastAsia="Arial" w:hAnsi="Arial"/>
                <w:sz w:val="16"/>
                <w:szCs w:val="16"/>
                <w:color w:val="auto"/>
                <w:w w:val="97"/>
              </w:rPr>
              <w:t>General Motors Co.</w:t>
            </w:r>
            <w:r>
              <w:rPr>
                <w:rFonts w:ascii="Arial" w:cs="Arial" w:eastAsia="Arial" w:hAnsi="Arial"/>
                <w:sz w:val="27"/>
                <w:szCs w:val="27"/>
                <w:color w:val="auto"/>
                <w:w w:val="97"/>
                <w:vertAlign w:val="superscript"/>
              </w:rPr>
              <w:t>(1)</w:t>
            </w:r>
          </w:p>
        </w:tc>
        <w:tc>
          <w:tcPr>
            <w:tcW w:w="3700" w:type="dxa"/>
            <w:vAlign w:val="bottom"/>
            <w:tcBorders>
              <w:bottom w:val="single" w:sz="8" w:color="0033A0"/>
            </w:tcBorders>
          </w:tcPr>
          <w:p>
            <w:pPr>
              <w:jc w:val="center"/>
              <w:ind w:left="239"/>
              <w:spacing w:after="0"/>
              <w:rPr>
                <w:sz w:val="20"/>
                <w:szCs w:val="20"/>
                <w:color w:val="auto"/>
              </w:rPr>
            </w:pPr>
            <w:r>
              <w:rPr>
                <w:rFonts w:ascii="Arial" w:cs="Arial" w:eastAsia="Arial" w:hAnsi="Arial"/>
                <w:sz w:val="16"/>
                <w:szCs w:val="16"/>
                <w:color w:val="auto"/>
              </w:rPr>
              <w:t>Hyundai Motor Co.</w:t>
            </w:r>
          </w:p>
        </w:tc>
        <w:tc>
          <w:tcPr>
            <w:tcW w:w="3220" w:type="dxa"/>
            <w:vAlign w:val="bottom"/>
            <w:tcBorders>
              <w:bottom w:val="single" w:sz="8" w:color="0033A0"/>
            </w:tcBorders>
          </w:tcPr>
          <w:p>
            <w:pPr>
              <w:jc w:val="center"/>
              <w:spacing w:after="0"/>
              <w:rPr>
                <w:sz w:val="20"/>
                <w:szCs w:val="20"/>
                <w:color w:val="auto"/>
              </w:rPr>
            </w:pPr>
            <w:r>
              <w:rPr>
                <w:rFonts w:ascii="Arial" w:cs="Arial" w:eastAsia="Arial" w:hAnsi="Arial"/>
                <w:sz w:val="16"/>
                <w:szCs w:val="16"/>
                <w:color w:val="auto"/>
              </w:rPr>
              <w:t>Kia Motors Corp.</w:t>
            </w:r>
          </w:p>
        </w:tc>
      </w:tr>
    </w:tbl>
    <w:p>
      <w:pPr>
        <w:spacing w:after="0" w:line="5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4"/>
          <w:szCs w:val="14"/>
          <w:i w:val="1"/>
          <w:iCs w:val="1"/>
          <w:color w:val="auto"/>
        </w:rPr>
        <w:t>(1)</w:t>
        <w:tab/>
        <w:t>GM’s performance will be determined on a continuous ranking for performance relative to OEM peers following the completion of the performance period.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percentile rank required for each performance level relative to OEM peers and associated payouts for PSUs are displayed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00"/>
        <w:spacing w:after="0" w:line="251" w:lineRule="auto"/>
        <w:rPr>
          <w:sz w:val="20"/>
          <w:szCs w:val="20"/>
          <w:color w:val="auto"/>
        </w:rPr>
      </w:pPr>
      <w:r>
        <w:rPr>
          <w:rFonts w:ascii="Arial" w:cs="Arial" w:eastAsia="Arial" w:hAnsi="Arial"/>
          <w:sz w:val="16"/>
          <w:szCs w:val="16"/>
          <w:color w:val="auto"/>
        </w:rPr>
        <w:t>Focusing performance on key financial measures and individual operational performance measures in the short term, combined with performance in both Relative ROIC-adjusted and Relative TSR compared with our other OEM peers in the long term, provides direct alignment of our executive compensation programs with the interests of our shareholders and continues to focus our senior leaders on making the investments that will provide for profitable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40</w:t>
      </w:r>
    </w:p>
    <w:p>
      <w:pPr>
        <w:sectPr>
          <w:pgSz w:w="11900" w:h="16838" w:orient="portrait"/>
          <w:cols w:equalWidth="0" w:num="1">
            <w:col w:w="10820"/>
          </w:cols>
          <w:pgMar w:left="240" w:top="459" w:right="8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77012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770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hanging="510"/>
        <w:spacing w:after="0"/>
        <w:tabs>
          <w:tab w:leader="none" w:pos="1100" w:val="left"/>
        </w:tabs>
        <w:numPr>
          <w:ilvl w:val="0"/>
          <w:numId w:val="63"/>
        </w:numPr>
        <w:rPr>
          <w:rFonts w:ascii="Arial" w:cs="Arial" w:eastAsia="Arial" w:hAnsi="Arial"/>
          <w:sz w:val="25"/>
          <w:szCs w:val="25"/>
          <w:color w:val="0033A0"/>
        </w:rPr>
      </w:pPr>
      <w:r>
        <w:rPr>
          <w:rFonts w:ascii="Arial" w:cs="Arial" w:eastAsia="Arial" w:hAnsi="Arial"/>
          <w:sz w:val="25"/>
          <w:szCs w:val="25"/>
          <w:color w:val="auto"/>
        </w:rPr>
        <w:t>Peer Group for Compensation Comparisons</w:t>
      </w:r>
    </w:p>
    <w:p>
      <w:pPr>
        <w:spacing w:after="0" w:line="186" w:lineRule="exact"/>
        <w:rPr>
          <w:sz w:val="20"/>
          <w:szCs w:val="20"/>
          <w:color w:val="auto"/>
        </w:rPr>
      </w:pPr>
    </w:p>
    <w:p>
      <w:pPr>
        <w:jc w:val="both"/>
        <w:ind w:left="600" w:right="240"/>
        <w:spacing w:after="0" w:line="253" w:lineRule="auto"/>
        <w:rPr>
          <w:sz w:val="20"/>
          <w:szCs w:val="20"/>
          <w:color w:val="auto"/>
        </w:rPr>
      </w:pPr>
      <w:r>
        <w:rPr>
          <w:rFonts w:ascii="Arial" w:cs="Arial" w:eastAsia="Arial" w:hAnsi="Arial"/>
          <w:sz w:val="16"/>
          <w:szCs w:val="16"/>
          <w:color w:val="auto"/>
        </w:rPr>
        <w:t>The Compensation Committee annually reviews the peer group for compensation comparisons and makes updates as needed to align with both the established criteria and Company strategy. We do not limit our peer group to our industry alone, because we believe compensation practices for NEOs at other large U.S.-based multinationals affect our ability to attract and retain diverse talent around the globe.</w:t>
      </w:r>
    </w:p>
    <w:p>
      <w:pPr>
        <w:sectPr>
          <w:pgSz w:w="11900" w:h="16838" w:orient="portrait"/>
          <w:cols w:equalWidth="0" w:num="1">
            <w:col w:w="11060"/>
          </w:cols>
          <w:pgMar w:left="240" w:top="459" w:right="599" w:bottom="1440" w:gutter="0" w:footer="0" w:header="0"/>
        </w:sectPr>
      </w:pPr>
    </w:p>
    <w:p>
      <w:pPr>
        <w:spacing w:after="0" w:line="161" w:lineRule="exact"/>
        <w:rPr>
          <w:sz w:val="20"/>
          <w:szCs w:val="20"/>
          <w:color w:val="auto"/>
        </w:rPr>
      </w:pPr>
    </w:p>
    <w:p>
      <w:pPr>
        <w:jc w:val="both"/>
        <w:ind w:left="600"/>
        <w:spacing w:after="0" w:line="250" w:lineRule="auto"/>
        <w:rPr>
          <w:sz w:val="20"/>
          <w:szCs w:val="20"/>
          <w:color w:val="auto"/>
        </w:rPr>
      </w:pPr>
      <w:r>
        <w:rPr>
          <w:rFonts w:ascii="Arial" w:cs="Arial" w:eastAsia="Arial" w:hAnsi="Arial"/>
          <w:sz w:val="16"/>
          <w:szCs w:val="16"/>
          <w:color w:val="auto"/>
        </w:rPr>
        <w:t>In determining 2017 compensation, we maintained the same compensation peer group from 2016. Based on the guidelines established by the Compensation Committee for our peer group selection, companies must satisfy each of the following criteria to be considered for the peer group:</w:t>
      </w:r>
    </w:p>
    <w:p>
      <w:pPr>
        <w:spacing w:after="0" w:line="68" w:lineRule="exact"/>
        <w:rPr>
          <w:sz w:val="20"/>
          <w:szCs w:val="20"/>
          <w:color w:val="auto"/>
        </w:rPr>
      </w:pPr>
    </w:p>
    <w:p>
      <w:pPr>
        <w:ind w:left="800" w:hanging="197"/>
        <w:spacing w:after="0"/>
        <w:tabs>
          <w:tab w:leader="none" w:pos="800" w:val="left"/>
        </w:tabs>
        <w:numPr>
          <w:ilvl w:val="0"/>
          <w:numId w:val="64"/>
        </w:numPr>
        <w:rPr>
          <w:rFonts w:ascii="Arial" w:cs="Arial" w:eastAsia="Arial" w:hAnsi="Arial"/>
          <w:sz w:val="16"/>
          <w:szCs w:val="16"/>
          <w:color w:val="0033A0"/>
        </w:rPr>
      </w:pPr>
      <w:r>
        <w:rPr>
          <w:rFonts w:ascii="Arial" w:cs="Arial" w:eastAsia="Arial" w:hAnsi="Arial"/>
          <w:sz w:val="16"/>
          <w:szCs w:val="16"/>
          <w:color w:val="auto"/>
        </w:rPr>
        <w:t>Revenue greater than $25 billion</w:t>
      </w:r>
    </w:p>
    <w:p>
      <w:pPr>
        <w:spacing w:after="0" w:line="86" w:lineRule="exact"/>
        <w:rPr>
          <w:rFonts w:ascii="Arial" w:cs="Arial" w:eastAsia="Arial" w:hAnsi="Arial"/>
          <w:sz w:val="16"/>
          <w:szCs w:val="16"/>
          <w:color w:val="0033A0"/>
        </w:rPr>
      </w:pPr>
    </w:p>
    <w:p>
      <w:pPr>
        <w:ind w:left="800" w:hanging="197"/>
        <w:spacing w:after="0"/>
        <w:tabs>
          <w:tab w:leader="none" w:pos="800" w:val="left"/>
        </w:tabs>
        <w:numPr>
          <w:ilvl w:val="0"/>
          <w:numId w:val="64"/>
        </w:numPr>
        <w:rPr>
          <w:rFonts w:ascii="Arial" w:cs="Arial" w:eastAsia="Arial" w:hAnsi="Arial"/>
          <w:sz w:val="16"/>
          <w:szCs w:val="16"/>
          <w:color w:val="0033A0"/>
        </w:rPr>
      </w:pPr>
      <w:r>
        <w:rPr>
          <w:rFonts w:ascii="Arial" w:cs="Arial" w:eastAsia="Arial" w:hAnsi="Arial"/>
          <w:sz w:val="16"/>
          <w:szCs w:val="16"/>
          <w:color w:val="auto"/>
        </w:rPr>
        <w:t>Significant international revenue</w:t>
      </w:r>
    </w:p>
    <w:p>
      <w:pPr>
        <w:spacing w:after="0" w:line="86" w:lineRule="exact"/>
        <w:rPr>
          <w:rFonts w:ascii="Arial" w:cs="Arial" w:eastAsia="Arial" w:hAnsi="Arial"/>
          <w:sz w:val="16"/>
          <w:szCs w:val="16"/>
          <w:color w:val="0033A0"/>
        </w:rPr>
      </w:pPr>
    </w:p>
    <w:p>
      <w:pPr>
        <w:ind w:left="800" w:hanging="197"/>
        <w:spacing w:after="0"/>
        <w:tabs>
          <w:tab w:leader="none" w:pos="800" w:val="left"/>
        </w:tabs>
        <w:numPr>
          <w:ilvl w:val="0"/>
          <w:numId w:val="64"/>
        </w:numPr>
        <w:rPr>
          <w:rFonts w:ascii="Arial" w:cs="Arial" w:eastAsia="Arial" w:hAnsi="Arial"/>
          <w:sz w:val="16"/>
          <w:szCs w:val="16"/>
          <w:color w:val="0033A0"/>
        </w:rPr>
      </w:pPr>
      <w:r>
        <w:rPr>
          <w:rFonts w:ascii="Arial" w:cs="Arial" w:eastAsia="Arial" w:hAnsi="Arial"/>
          <w:sz w:val="16"/>
          <w:szCs w:val="16"/>
          <w:color w:val="auto"/>
        </w:rPr>
        <w:t>Capital-intensive operations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4" w:right="1040"/>
        <w:spacing w:after="0" w:line="260" w:lineRule="auto"/>
        <w:rPr>
          <w:sz w:val="20"/>
          <w:szCs w:val="20"/>
          <w:color w:val="auto"/>
        </w:rPr>
      </w:pPr>
      <w:r>
        <w:rPr>
          <w:rFonts w:ascii="Arial" w:cs="Arial" w:eastAsia="Arial" w:hAnsi="Arial"/>
          <w:sz w:val="16"/>
          <w:szCs w:val="16"/>
          <w:color w:val="auto"/>
        </w:rPr>
        <w:t>In addition, the Compensation Committee considers the following factors when selecting our peer group:</w:t>
      </w:r>
    </w:p>
    <w:p>
      <w:pPr>
        <w:spacing w:after="0" w:line="61" w:lineRule="exact"/>
        <w:rPr>
          <w:sz w:val="20"/>
          <w:szCs w:val="20"/>
          <w:color w:val="auto"/>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Comparable R&amp;D expenditures as a percent of revenue</w:t>
      </w:r>
    </w:p>
    <w:p>
      <w:pPr>
        <w:spacing w:after="0" w:line="86" w:lineRule="exact"/>
        <w:rPr>
          <w:rFonts w:ascii="Arial" w:cs="Arial" w:eastAsia="Arial" w:hAnsi="Arial"/>
          <w:sz w:val="16"/>
          <w:szCs w:val="16"/>
          <w:color w:val="0033A0"/>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Technology focused</w:t>
      </w:r>
    </w:p>
    <w:p>
      <w:pPr>
        <w:spacing w:after="0" w:line="86" w:lineRule="exact"/>
        <w:rPr>
          <w:rFonts w:ascii="Arial" w:cs="Arial" w:eastAsia="Arial" w:hAnsi="Arial"/>
          <w:sz w:val="16"/>
          <w:szCs w:val="16"/>
          <w:color w:val="0033A0"/>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Durable goods manufacturer</w:t>
      </w:r>
    </w:p>
    <w:p>
      <w:pPr>
        <w:spacing w:after="0" w:line="86" w:lineRule="exact"/>
        <w:rPr>
          <w:rFonts w:ascii="Arial" w:cs="Arial" w:eastAsia="Arial" w:hAnsi="Arial"/>
          <w:sz w:val="16"/>
          <w:szCs w:val="16"/>
          <w:color w:val="0033A0"/>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Business/production complexity</w:t>
      </w:r>
    </w:p>
    <w:p>
      <w:pPr>
        <w:spacing w:after="0" w:line="86" w:lineRule="exact"/>
        <w:rPr>
          <w:rFonts w:ascii="Arial" w:cs="Arial" w:eastAsia="Arial" w:hAnsi="Arial"/>
          <w:sz w:val="16"/>
          <w:szCs w:val="16"/>
          <w:color w:val="0033A0"/>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Consumers who are the end user</w:t>
      </w:r>
    </w:p>
    <w:p>
      <w:pPr>
        <w:spacing w:after="0" w:line="86" w:lineRule="exact"/>
        <w:rPr>
          <w:rFonts w:ascii="Arial" w:cs="Arial" w:eastAsia="Arial" w:hAnsi="Arial"/>
          <w:sz w:val="16"/>
          <w:szCs w:val="16"/>
          <w:color w:val="0033A0"/>
        </w:rPr>
      </w:pPr>
    </w:p>
    <w:p>
      <w:pPr>
        <w:ind w:left="204" w:hanging="204"/>
        <w:spacing w:after="0"/>
        <w:tabs>
          <w:tab w:leader="none" w:pos="204" w:val="left"/>
        </w:tabs>
        <w:numPr>
          <w:ilvl w:val="0"/>
          <w:numId w:val="65"/>
        </w:numPr>
        <w:rPr>
          <w:rFonts w:ascii="Arial" w:cs="Arial" w:eastAsia="Arial" w:hAnsi="Arial"/>
          <w:sz w:val="16"/>
          <w:szCs w:val="16"/>
          <w:color w:val="0033A0"/>
        </w:rPr>
      </w:pPr>
      <w:r>
        <w:rPr>
          <w:rFonts w:ascii="Arial" w:cs="Arial" w:eastAsia="Arial" w:hAnsi="Arial"/>
          <w:sz w:val="16"/>
          <w:szCs w:val="16"/>
          <w:color w:val="auto"/>
        </w:rPr>
        <w:t>Strong brand reputation</w:t>
      </w:r>
    </w:p>
    <w:p>
      <w:pPr>
        <w:spacing w:after="0" w:line="200" w:lineRule="exact"/>
        <w:rPr>
          <w:sz w:val="20"/>
          <w:szCs w:val="20"/>
          <w:color w:val="auto"/>
        </w:rPr>
      </w:pPr>
    </w:p>
    <w:p>
      <w:pPr>
        <w:sectPr>
          <w:pgSz w:w="11900" w:h="16838" w:orient="portrait"/>
          <w:cols w:equalWidth="0" w:num="2">
            <w:col w:w="5500" w:space="536"/>
            <w:col w:w="5024"/>
          </w:cols>
          <w:pgMar w:left="240" w:top="459" w:right="599" w:bottom="1440" w:gutter="0" w:footer="0" w:header="0"/>
          <w:type w:val="continuous"/>
        </w:sectPr>
      </w:pPr>
    </w:p>
    <w:p>
      <w:pPr>
        <w:spacing w:after="0" w:line="148"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26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Company</w:t>
            </w:r>
          </w:p>
        </w:tc>
        <w:tc>
          <w:tcPr>
            <w:tcW w:w="2560" w:type="dxa"/>
            <w:vAlign w:val="bottom"/>
            <w:tcBorders>
              <w:top w:val="single" w:sz="8" w:color="00A1DF"/>
              <w:bottom w:val="single" w:sz="8" w:color="00A1DF"/>
            </w:tcBorders>
            <w:gridSpan w:val="2"/>
            <w:shd w:val="clear" w:color="auto" w:fill="E5E5E5"/>
          </w:tcPr>
          <w:p>
            <w:pPr>
              <w:ind w:left="120"/>
              <w:spacing w:after="0"/>
              <w:rPr>
                <w:sz w:val="20"/>
                <w:szCs w:val="20"/>
                <w:color w:val="auto"/>
              </w:rPr>
            </w:pPr>
            <w:r>
              <w:rPr>
                <w:rFonts w:ascii="Arial" w:cs="Arial" w:eastAsia="Arial" w:hAnsi="Arial"/>
                <w:sz w:val="15"/>
                <w:szCs w:val="15"/>
                <w:b w:val="1"/>
                <w:bCs w:val="1"/>
                <w:color w:val="00A1DF"/>
              </w:rPr>
              <w:t>Industry</w:t>
            </w:r>
          </w:p>
        </w:tc>
        <w:tc>
          <w:tcPr>
            <w:tcW w:w="2560" w:type="dxa"/>
            <w:vAlign w:val="bottom"/>
            <w:tcBorders>
              <w:top w:val="single" w:sz="8" w:color="00A1DF"/>
              <w:bottom w:val="single" w:sz="8" w:color="00A1DF"/>
            </w:tcBorders>
          </w:tcPr>
          <w:p>
            <w:pPr>
              <w:ind w:left="100"/>
              <w:spacing w:after="0"/>
              <w:rPr>
                <w:sz w:val="20"/>
                <w:szCs w:val="20"/>
                <w:color w:val="auto"/>
              </w:rPr>
            </w:pPr>
            <w:r>
              <w:rPr>
                <w:rFonts w:ascii="Arial" w:cs="Arial" w:eastAsia="Arial" w:hAnsi="Arial"/>
                <w:sz w:val="15"/>
                <w:szCs w:val="15"/>
                <w:b w:val="1"/>
                <w:bCs w:val="1"/>
                <w:color w:val="00A1DF"/>
              </w:rPr>
              <w:t>Company</w:t>
            </w:r>
          </w:p>
        </w:tc>
        <w:tc>
          <w:tcPr>
            <w:tcW w:w="2460" w:type="dxa"/>
            <w:vAlign w:val="bottom"/>
            <w:tcBorders>
              <w:top w:val="single" w:sz="8" w:color="00A1DF"/>
              <w:bottom w:val="single" w:sz="8" w:color="00A1DF"/>
            </w:tcBorders>
            <w:gridSpan w:val="2"/>
            <w:shd w:val="clear" w:color="auto" w:fill="E5E5E5"/>
          </w:tcPr>
          <w:p>
            <w:pPr>
              <w:ind w:left="120"/>
              <w:spacing w:after="0"/>
              <w:rPr>
                <w:sz w:val="20"/>
                <w:szCs w:val="20"/>
                <w:color w:val="auto"/>
              </w:rPr>
            </w:pPr>
            <w:r>
              <w:rPr>
                <w:rFonts w:ascii="Arial" w:cs="Arial" w:eastAsia="Arial" w:hAnsi="Arial"/>
                <w:sz w:val="15"/>
                <w:szCs w:val="15"/>
                <w:b w:val="1"/>
                <w:bCs w:val="1"/>
                <w:color w:val="00A1DF"/>
              </w:rPr>
              <w:t>Industry</w:t>
            </w:r>
          </w:p>
        </w:tc>
        <w:tc>
          <w:tcPr>
            <w:tcW w:w="0" w:type="dxa"/>
            <w:vAlign w:val="bottom"/>
          </w:tcPr>
          <w:p>
            <w:pPr>
              <w:spacing w:after="0"/>
              <w:rPr>
                <w:sz w:val="1"/>
                <w:szCs w:val="1"/>
                <w:color w:val="auto"/>
              </w:rPr>
            </w:pPr>
          </w:p>
        </w:tc>
      </w:tr>
      <w:tr>
        <w:trPr>
          <w:trHeight w:val="331"/>
        </w:trPr>
        <w:tc>
          <w:tcPr>
            <w:tcW w:w="2640" w:type="dxa"/>
            <w:vAlign w:val="bottom"/>
          </w:tcPr>
          <w:p>
            <w:pPr>
              <w:ind w:left="100"/>
              <w:spacing w:after="0"/>
              <w:rPr>
                <w:sz w:val="20"/>
                <w:szCs w:val="20"/>
                <w:color w:val="auto"/>
              </w:rPr>
            </w:pPr>
            <w:r>
              <w:rPr>
                <w:rFonts w:ascii="Arial" w:cs="Arial" w:eastAsia="Arial" w:hAnsi="Arial"/>
                <w:sz w:val="16"/>
                <w:szCs w:val="16"/>
                <w:color w:val="auto"/>
              </w:rPr>
              <w:t>3M Company</w:t>
            </w:r>
          </w:p>
        </w:tc>
        <w:tc>
          <w:tcPr>
            <w:tcW w:w="120" w:type="dxa"/>
            <w:vAlign w:val="bottom"/>
            <w:tcBorders>
              <w:bottom w:val="single" w:sz="8" w:color="E5E5E5"/>
            </w:tcBorders>
            <w:shd w:val="clear" w:color="auto" w:fill="E5E5E5"/>
          </w:tcPr>
          <w:p>
            <w:pPr>
              <w:spacing w:after="0"/>
              <w:rPr>
                <w:sz w:val="24"/>
                <w:szCs w:val="24"/>
                <w:color w:val="auto"/>
              </w:rPr>
            </w:pPr>
          </w:p>
        </w:tc>
        <w:tc>
          <w:tcPr>
            <w:tcW w:w="2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Industrial Conglomerates</w:t>
            </w:r>
          </w:p>
        </w:tc>
        <w:tc>
          <w:tcPr>
            <w:tcW w:w="2560" w:type="dxa"/>
            <w:vAlign w:val="bottom"/>
          </w:tcPr>
          <w:p>
            <w:pPr>
              <w:ind w:left="100"/>
              <w:spacing w:after="0"/>
              <w:rPr>
                <w:sz w:val="20"/>
                <w:szCs w:val="20"/>
                <w:color w:val="auto"/>
              </w:rPr>
            </w:pPr>
            <w:r>
              <w:rPr>
                <w:rFonts w:ascii="Arial" w:cs="Arial" w:eastAsia="Arial" w:hAnsi="Arial"/>
                <w:sz w:val="16"/>
                <w:szCs w:val="16"/>
                <w:color w:val="auto"/>
              </w:rPr>
              <w:t>Honeywell International Inc.</w:t>
            </w:r>
          </w:p>
        </w:tc>
        <w:tc>
          <w:tcPr>
            <w:tcW w:w="120" w:type="dxa"/>
            <w:vAlign w:val="bottom"/>
            <w:tcBorders>
              <w:bottom w:val="single" w:sz="8" w:color="E5E5E5"/>
            </w:tcBorders>
            <w:shd w:val="clear" w:color="auto" w:fill="E5E5E5"/>
          </w:tcPr>
          <w:p>
            <w:pPr>
              <w:spacing w:after="0"/>
              <w:rPr>
                <w:sz w:val="24"/>
                <w:szCs w:val="24"/>
                <w:color w:val="auto"/>
              </w:rPr>
            </w:pPr>
          </w:p>
        </w:tc>
        <w:tc>
          <w:tcPr>
            <w:tcW w:w="23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Aerospace and Defense</w:t>
            </w:r>
          </w:p>
        </w:tc>
        <w:tc>
          <w:tcPr>
            <w:tcW w:w="0" w:type="dxa"/>
            <w:vAlign w:val="bottom"/>
          </w:tcPr>
          <w:p>
            <w:pPr>
              <w:spacing w:after="0"/>
              <w:rPr>
                <w:sz w:val="1"/>
                <w:szCs w:val="1"/>
                <w:color w:val="auto"/>
              </w:rPr>
            </w:pPr>
          </w:p>
        </w:tc>
      </w:tr>
      <w:tr>
        <w:trPr>
          <w:trHeight w:val="211"/>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The Boeing Company</w:t>
            </w:r>
          </w:p>
        </w:tc>
        <w:tc>
          <w:tcPr>
            <w:tcW w:w="120" w:type="dxa"/>
            <w:vAlign w:val="bottom"/>
            <w:tcBorders>
              <w:top w:val="single" w:sz="8" w:color="auto"/>
            </w:tcBorders>
            <w:shd w:val="clear" w:color="auto" w:fill="E5E5E5"/>
          </w:tcPr>
          <w:p>
            <w:pPr>
              <w:spacing w:after="0"/>
              <w:rPr>
                <w:sz w:val="18"/>
                <w:szCs w:val="18"/>
                <w:color w:val="auto"/>
              </w:rPr>
            </w:pPr>
          </w:p>
        </w:tc>
        <w:tc>
          <w:tcPr>
            <w:tcW w:w="244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6"/>
                <w:szCs w:val="16"/>
                <w:color w:val="auto"/>
              </w:rPr>
              <w:t>Aerospace and Defense</w:t>
            </w:r>
          </w:p>
        </w:tc>
        <w:tc>
          <w:tcPr>
            <w:tcW w:w="256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IBM Corporation</w:t>
            </w:r>
          </w:p>
        </w:tc>
        <w:tc>
          <w:tcPr>
            <w:tcW w:w="120" w:type="dxa"/>
            <w:vAlign w:val="bottom"/>
            <w:tcBorders>
              <w:top w:val="single" w:sz="8" w:color="auto"/>
            </w:tcBorders>
            <w:shd w:val="clear" w:color="auto" w:fill="E5E5E5"/>
          </w:tcPr>
          <w:p>
            <w:pPr>
              <w:spacing w:after="0"/>
              <w:rPr>
                <w:sz w:val="18"/>
                <w:szCs w:val="18"/>
                <w:color w:val="auto"/>
              </w:rPr>
            </w:pPr>
          </w:p>
        </w:tc>
        <w:tc>
          <w:tcPr>
            <w:tcW w:w="2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6"/>
                <w:szCs w:val="16"/>
                <w:color w:val="auto"/>
              </w:rPr>
              <w:t>IT Consulting and Other</w:t>
            </w:r>
          </w:p>
        </w:tc>
        <w:tc>
          <w:tcPr>
            <w:tcW w:w="0" w:type="dxa"/>
            <w:vAlign w:val="bottom"/>
          </w:tcPr>
          <w:p>
            <w:pPr>
              <w:spacing w:after="0"/>
              <w:rPr>
                <w:sz w:val="1"/>
                <w:szCs w:val="1"/>
                <w:color w:val="auto"/>
              </w:rPr>
            </w:pPr>
          </w:p>
        </w:tc>
      </w:tr>
      <w:tr>
        <w:trPr>
          <w:trHeight w:val="127"/>
        </w:trPr>
        <w:tc>
          <w:tcPr>
            <w:tcW w:w="2640" w:type="dxa"/>
            <w:vAlign w:val="bottom"/>
            <w:vMerge w:val="continue"/>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2440" w:type="dxa"/>
            <w:vAlign w:val="bottom"/>
            <w:vMerge w:val="continue"/>
            <w:shd w:val="clear" w:color="auto" w:fill="E5E5E5"/>
          </w:tcPr>
          <w:p>
            <w:pPr>
              <w:spacing w:after="0"/>
              <w:rPr>
                <w:sz w:val="11"/>
                <w:szCs w:val="11"/>
                <w:color w:val="auto"/>
              </w:rPr>
            </w:pPr>
          </w:p>
        </w:tc>
        <w:tc>
          <w:tcPr>
            <w:tcW w:w="2560" w:type="dxa"/>
            <w:vAlign w:val="bottom"/>
            <w:vMerge w:val="continue"/>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234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Services</w:t>
            </w:r>
          </w:p>
        </w:tc>
        <w:tc>
          <w:tcPr>
            <w:tcW w:w="0" w:type="dxa"/>
            <w:vAlign w:val="bottom"/>
          </w:tcPr>
          <w:p>
            <w:pPr>
              <w:spacing w:after="0"/>
              <w:rPr>
                <w:sz w:val="1"/>
                <w:szCs w:val="1"/>
                <w:color w:val="auto"/>
              </w:rPr>
            </w:pPr>
          </w:p>
        </w:tc>
      </w:tr>
      <w:tr>
        <w:trPr>
          <w:trHeight w:val="101"/>
        </w:trPr>
        <w:tc>
          <w:tcPr>
            <w:tcW w:w="2640" w:type="dxa"/>
            <w:vAlign w:val="bottom"/>
          </w:tcPr>
          <w:p>
            <w:pPr>
              <w:spacing w:after="0"/>
              <w:rPr>
                <w:sz w:val="8"/>
                <w:szCs w:val="8"/>
                <w:color w:val="auto"/>
              </w:rPr>
            </w:pPr>
          </w:p>
        </w:tc>
        <w:tc>
          <w:tcPr>
            <w:tcW w:w="120" w:type="dxa"/>
            <w:vAlign w:val="bottom"/>
            <w:tcBorders>
              <w:bottom w:val="single" w:sz="8" w:color="E5E5E5"/>
            </w:tcBorders>
            <w:shd w:val="clear" w:color="auto" w:fill="E5E5E5"/>
          </w:tcPr>
          <w:p>
            <w:pPr>
              <w:spacing w:after="0"/>
              <w:rPr>
                <w:sz w:val="8"/>
                <w:szCs w:val="8"/>
                <w:color w:val="auto"/>
              </w:rPr>
            </w:pPr>
          </w:p>
        </w:tc>
        <w:tc>
          <w:tcPr>
            <w:tcW w:w="2440" w:type="dxa"/>
            <w:vAlign w:val="bottom"/>
            <w:tcBorders>
              <w:bottom w:val="single" w:sz="8" w:color="E5E5E5"/>
            </w:tcBorders>
            <w:shd w:val="clear" w:color="auto" w:fill="E5E5E5"/>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Borders>
              <w:bottom w:val="single" w:sz="8" w:color="E5E5E5"/>
            </w:tcBorders>
            <w:shd w:val="clear" w:color="auto" w:fill="E5E5E5"/>
          </w:tcPr>
          <w:p>
            <w:pPr>
              <w:spacing w:after="0"/>
              <w:rPr>
                <w:sz w:val="8"/>
                <w:szCs w:val="8"/>
                <w:color w:val="auto"/>
              </w:rPr>
            </w:pPr>
          </w:p>
        </w:tc>
        <w:tc>
          <w:tcPr>
            <w:tcW w:w="2340" w:type="dxa"/>
            <w:vAlign w:val="bottom"/>
            <w:tcBorders>
              <w:bottom w:val="single" w:sz="8" w:color="E5E5E5"/>
            </w:tcBorders>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Caterpillar Inc.</w:t>
            </w:r>
          </w:p>
        </w:tc>
        <w:tc>
          <w:tcPr>
            <w:tcW w:w="120" w:type="dxa"/>
            <w:vAlign w:val="bottom"/>
            <w:tcBorders>
              <w:top w:val="single" w:sz="8" w:color="auto"/>
            </w:tcBorders>
            <w:shd w:val="clear" w:color="auto" w:fill="E5E5E5"/>
          </w:tcPr>
          <w:p>
            <w:pPr>
              <w:spacing w:after="0"/>
              <w:rPr>
                <w:sz w:val="16"/>
                <w:szCs w:val="16"/>
                <w:color w:val="auto"/>
              </w:rPr>
            </w:pPr>
          </w:p>
        </w:tc>
        <w:tc>
          <w:tcPr>
            <w:tcW w:w="2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6"/>
                <w:szCs w:val="16"/>
                <w:color w:val="auto"/>
              </w:rPr>
              <w:t>Construction Machinery and</w:t>
            </w:r>
          </w:p>
        </w:tc>
        <w:tc>
          <w:tcPr>
            <w:tcW w:w="256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Intel Corporation</w:t>
            </w:r>
          </w:p>
        </w:tc>
        <w:tc>
          <w:tcPr>
            <w:tcW w:w="120" w:type="dxa"/>
            <w:vAlign w:val="bottom"/>
            <w:tcBorders>
              <w:top w:val="single" w:sz="8" w:color="auto"/>
            </w:tcBorders>
            <w:shd w:val="clear" w:color="auto" w:fill="E5E5E5"/>
          </w:tcPr>
          <w:p>
            <w:pPr>
              <w:spacing w:after="0"/>
              <w:rPr>
                <w:sz w:val="16"/>
                <w:szCs w:val="16"/>
                <w:color w:val="auto"/>
              </w:rPr>
            </w:pPr>
          </w:p>
        </w:tc>
        <w:tc>
          <w:tcPr>
            <w:tcW w:w="234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6"/>
                <w:szCs w:val="16"/>
                <w:color w:val="auto"/>
              </w:rPr>
              <w:t>Semiconductors</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40" w:type="dxa"/>
            <w:vAlign w:val="bottom"/>
            <w:shd w:val="clear" w:color="auto" w:fill="E5E5E5"/>
          </w:tcPr>
          <w:p>
            <w:pPr>
              <w:spacing w:after="0"/>
              <w:rPr>
                <w:sz w:val="20"/>
                <w:szCs w:val="20"/>
                <w:color w:val="auto"/>
              </w:rPr>
            </w:pPr>
            <w:r>
              <w:rPr>
                <w:rFonts w:ascii="Arial" w:cs="Arial" w:eastAsia="Arial" w:hAnsi="Arial"/>
                <w:sz w:val="16"/>
                <w:szCs w:val="16"/>
                <w:color w:val="auto"/>
              </w:rPr>
              <w:t>Heavy Trucks</w:t>
            </w:r>
          </w:p>
        </w:tc>
        <w:tc>
          <w:tcPr>
            <w:tcW w:w="2560" w:type="dxa"/>
            <w:vAlign w:val="bottom"/>
            <w:vMerge w:val="continue"/>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340" w:type="dxa"/>
            <w:vAlign w:val="bottom"/>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shd w:val="clear" w:color="auto" w:fill="E5E5E5"/>
          </w:tcPr>
          <w:p>
            <w:pPr>
              <w:spacing w:after="0"/>
              <w:rPr>
                <w:sz w:val="5"/>
                <w:szCs w:val="5"/>
                <w:color w:val="auto"/>
              </w:rPr>
            </w:pPr>
          </w:p>
        </w:tc>
        <w:tc>
          <w:tcPr>
            <w:tcW w:w="2440" w:type="dxa"/>
            <w:vAlign w:val="bottom"/>
            <w:tcBorders>
              <w:bottom w:val="single" w:sz="8" w:color="auto"/>
            </w:tcBorders>
            <w:shd w:val="clear" w:color="auto" w:fill="E5E5E5"/>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shd w:val="clear" w:color="auto" w:fill="E5E5E5"/>
          </w:tcPr>
          <w:p>
            <w:pPr>
              <w:spacing w:after="0"/>
              <w:rPr>
                <w:sz w:val="5"/>
                <w:szCs w:val="5"/>
                <w:color w:val="auto"/>
              </w:rPr>
            </w:pPr>
          </w:p>
        </w:tc>
        <w:tc>
          <w:tcPr>
            <w:tcW w:w="2340" w:type="dxa"/>
            <w:vAlign w:val="bottom"/>
            <w:tcBorders>
              <w:bottom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640" w:type="dxa"/>
            <w:vAlign w:val="bottom"/>
          </w:tcPr>
          <w:p>
            <w:pPr>
              <w:ind w:left="100"/>
              <w:spacing w:after="0"/>
              <w:rPr>
                <w:sz w:val="20"/>
                <w:szCs w:val="20"/>
                <w:color w:val="auto"/>
              </w:rPr>
            </w:pPr>
            <w:r>
              <w:rPr>
                <w:rFonts w:ascii="Arial" w:cs="Arial" w:eastAsia="Arial" w:hAnsi="Arial"/>
                <w:sz w:val="16"/>
                <w:szCs w:val="16"/>
                <w:color w:val="auto"/>
              </w:rPr>
              <w:t>Deere &amp; Company</w:t>
            </w:r>
          </w:p>
        </w:tc>
        <w:tc>
          <w:tcPr>
            <w:tcW w:w="12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0"/>
                <w:szCs w:val="20"/>
                <w:color w:val="auto"/>
              </w:rPr>
            </w:pPr>
            <w:r>
              <w:rPr>
                <w:rFonts w:ascii="Arial" w:cs="Arial" w:eastAsia="Arial" w:hAnsi="Arial"/>
                <w:sz w:val="16"/>
                <w:szCs w:val="16"/>
                <w:color w:val="auto"/>
              </w:rPr>
              <w:t>Agricultural and Farm Machinery</w:t>
            </w:r>
          </w:p>
        </w:tc>
        <w:tc>
          <w:tcPr>
            <w:tcW w:w="2560" w:type="dxa"/>
            <w:vAlign w:val="bottom"/>
          </w:tcPr>
          <w:p>
            <w:pPr>
              <w:ind w:left="100"/>
              <w:spacing w:after="0"/>
              <w:rPr>
                <w:sz w:val="20"/>
                <w:szCs w:val="20"/>
                <w:color w:val="auto"/>
              </w:rPr>
            </w:pPr>
            <w:r>
              <w:rPr>
                <w:rFonts w:ascii="Arial" w:cs="Arial" w:eastAsia="Arial" w:hAnsi="Arial"/>
                <w:sz w:val="16"/>
                <w:szCs w:val="16"/>
                <w:color w:val="auto"/>
              </w:rPr>
              <w:t>Johnson &amp; Johnson</w:t>
            </w:r>
          </w:p>
        </w:tc>
        <w:tc>
          <w:tcPr>
            <w:tcW w:w="120" w:type="dxa"/>
            <w:vAlign w:val="bottom"/>
            <w:shd w:val="clear" w:color="auto" w:fill="E5E5E5"/>
          </w:tcPr>
          <w:p>
            <w:pPr>
              <w:spacing w:after="0"/>
              <w:rPr>
                <w:sz w:val="24"/>
                <w:szCs w:val="24"/>
                <w:color w:val="auto"/>
              </w:rPr>
            </w:pPr>
          </w:p>
        </w:tc>
        <w:tc>
          <w:tcPr>
            <w:tcW w:w="2340" w:type="dxa"/>
            <w:vAlign w:val="bottom"/>
            <w:shd w:val="clear" w:color="auto" w:fill="E5E5E5"/>
          </w:tcPr>
          <w:p>
            <w:pPr>
              <w:spacing w:after="0"/>
              <w:rPr>
                <w:sz w:val="20"/>
                <w:szCs w:val="20"/>
                <w:color w:val="auto"/>
              </w:rPr>
            </w:pPr>
            <w:r>
              <w:rPr>
                <w:rFonts w:ascii="Arial" w:cs="Arial" w:eastAsia="Arial" w:hAnsi="Arial"/>
                <w:sz w:val="16"/>
                <w:szCs w:val="16"/>
                <w:color w:val="auto"/>
              </w:rPr>
              <w:t>Pharmaceuticals</w:t>
            </w:r>
          </w:p>
        </w:tc>
        <w:tc>
          <w:tcPr>
            <w:tcW w:w="0" w:type="dxa"/>
            <w:vAlign w:val="bottom"/>
          </w:tcPr>
          <w:p>
            <w:pPr>
              <w:spacing w:after="0"/>
              <w:rPr>
                <w:sz w:val="1"/>
                <w:szCs w:val="1"/>
                <w:color w:val="auto"/>
              </w:rPr>
            </w:pPr>
          </w:p>
        </w:tc>
      </w:tr>
      <w:tr>
        <w:trPr>
          <w:trHeight w:val="101"/>
        </w:trPr>
        <w:tc>
          <w:tcPr>
            <w:tcW w:w="2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shd w:val="clear" w:color="auto" w:fill="E5E5E5"/>
          </w:tcPr>
          <w:p>
            <w:pPr>
              <w:spacing w:after="0"/>
              <w:rPr>
                <w:sz w:val="8"/>
                <w:szCs w:val="8"/>
                <w:color w:val="auto"/>
              </w:rPr>
            </w:pPr>
          </w:p>
        </w:tc>
        <w:tc>
          <w:tcPr>
            <w:tcW w:w="2440" w:type="dxa"/>
            <w:vAlign w:val="bottom"/>
            <w:tcBorders>
              <w:bottom w:val="single" w:sz="8" w:color="auto"/>
            </w:tcBorders>
            <w:shd w:val="clear" w:color="auto" w:fill="E5E5E5"/>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shd w:val="clear" w:color="auto" w:fill="E5E5E5"/>
          </w:tcPr>
          <w:p>
            <w:pPr>
              <w:spacing w:after="0"/>
              <w:rPr>
                <w:sz w:val="8"/>
                <w:szCs w:val="8"/>
                <w:color w:val="auto"/>
              </w:rPr>
            </w:pPr>
          </w:p>
        </w:tc>
        <w:tc>
          <w:tcPr>
            <w:tcW w:w="2340" w:type="dxa"/>
            <w:vAlign w:val="bottom"/>
            <w:tcBorders>
              <w:bottom w:val="single" w:sz="8" w:color="auto"/>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 Dow Chemical Company</w:t>
            </w:r>
            <w:r>
              <w:rPr>
                <w:rFonts w:ascii="Arial" w:cs="Arial" w:eastAsia="Arial" w:hAnsi="Arial"/>
                <w:sz w:val="27"/>
                <w:szCs w:val="27"/>
                <w:color w:val="auto"/>
                <w:vertAlign w:val="superscript"/>
              </w:rPr>
              <w:t>(1)</w:t>
            </w:r>
          </w:p>
        </w:tc>
        <w:tc>
          <w:tcPr>
            <w:tcW w:w="2560" w:type="dxa"/>
            <w:vAlign w:val="bottom"/>
            <w:tcBorders>
              <w:bottom w:val="single" w:sz="8" w:color="auto"/>
            </w:tcBorders>
            <w:gridSpan w:val="2"/>
            <w:shd w:val="clear" w:color="auto" w:fill="E5E5E5"/>
          </w:tcPr>
          <w:p>
            <w:pPr>
              <w:ind w:left="120"/>
              <w:spacing w:after="0"/>
              <w:rPr>
                <w:sz w:val="20"/>
                <w:szCs w:val="20"/>
                <w:color w:val="auto"/>
              </w:rPr>
            </w:pPr>
            <w:r>
              <w:rPr>
                <w:rFonts w:ascii="Arial" w:cs="Arial" w:eastAsia="Arial" w:hAnsi="Arial"/>
                <w:sz w:val="16"/>
                <w:szCs w:val="16"/>
                <w:color w:val="auto"/>
              </w:rPr>
              <w:t>Diversified Chemicals</w:t>
            </w: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Johnson Controls Inc.</w:t>
            </w:r>
            <w:r>
              <w:rPr>
                <w:rFonts w:ascii="Arial" w:cs="Arial" w:eastAsia="Arial" w:hAnsi="Arial"/>
                <w:sz w:val="27"/>
                <w:szCs w:val="27"/>
                <w:color w:val="auto"/>
                <w:vertAlign w:val="superscript"/>
              </w:rPr>
              <w:t>(1)(2)</w:t>
            </w:r>
          </w:p>
        </w:tc>
        <w:tc>
          <w:tcPr>
            <w:tcW w:w="2460" w:type="dxa"/>
            <w:vAlign w:val="bottom"/>
            <w:tcBorders>
              <w:bottom w:val="single" w:sz="8" w:color="auto"/>
            </w:tcBorders>
            <w:gridSpan w:val="2"/>
            <w:shd w:val="clear" w:color="auto" w:fill="E5E5E5"/>
          </w:tcPr>
          <w:p>
            <w:pPr>
              <w:ind w:left="120"/>
              <w:spacing w:after="0"/>
              <w:rPr>
                <w:sz w:val="20"/>
                <w:szCs w:val="20"/>
                <w:color w:val="auto"/>
              </w:rPr>
            </w:pPr>
            <w:r>
              <w:rPr>
                <w:rFonts w:ascii="Arial" w:cs="Arial" w:eastAsia="Arial" w:hAnsi="Arial"/>
                <w:sz w:val="16"/>
                <w:szCs w:val="16"/>
                <w:color w:val="auto"/>
              </w:rPr>
              <w:t>Auto Parts and Equipment</w:t>
            </w: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Du Pont</w:t>
            </w:r>
            <w:r>
              <w:rPr>
                <w:rFonts w:ascii="Arial" w:cs="Arial" w:eastAsia="Arial" w:hAnsi="Arial"/>
                <w:sz w:val="27"/>
                <w:szCs w:val="27"/>
                <w:color w:val="auto"/>
                <w:vertAlign w:val="superscript"/>
              </w:rPr>
              <w:t>(1)</w:t>
            </w:r>
          </w:p>
        </w:tc>
        <w:tc>
          <w:tcPr>
            <w:tcW w:w="2560" w:type="dxa"/>
            <w:vAlign w:val="bottom"/>
            <w:tcBorders>
              <w:bottom w:val="single" w:sz="8" w:color="auto"/>
            </w:tcBorders>
            <w:gridSpan w:val="2"/>
            <w:shd w:val="clear" w:color="auto" w:fill="E5E5E5"/>
          </w:tcPr>
          <w:p>
            <w:pPr>
              <w:ind w:left="120"/>
              <w:spacing w:after="0"/>
              <w:rPr>
                <w:sz w:val="20"/>
                <w:szCs w:val="20"/>
                <w:color w:val="auto"/>
              </w:rPr>
            </w:pPr>
            <w:r>
              <w:rPr>
                <w:rFonts w:ascii="Arial" w:cs="Arial" w:eastAsia="Arial" w:hAnsi="Arial"/>
                <w:sz w:val="16"/>
                <w:szCs w:val="16"/>
                <w:color w:val="auto"/>
              </w:rPr>
              <w:t>Diversified Chemicals</w:t>
            </w: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PepsiCo, Inc.</w:t>
            </w:r>
          </w:p>
        </w:tc>
        <w:tc>
          <w:tcPr>
            <w:tcW w:w="2460" w:type="dxa"/>
            <w:vAlign w:val="bottom"/>
            <w:tcBorders>
              <w:bottom w:val="single" w:sz="8" w:color="auto"/>
            </w:tcBorders>
            <w:gridSpan w:val="2"/>
            <w:shd w:val="clear" w:color="auto" w:fill="E5E5E5"/>
          </w:tcPr>
          <w:p>
            <w:pPr>
              <w:ind w:left="120"/>
              <w:spacing w:after="0"/>
              <w:rPr>
                <w:sz w:val="20"/>
                <w:szCs w:val="20"/>
                <w:color w:val="auto"/>
              </w:rPr>
            </w:pPr>
            <w:r>
              <w:rPr>
                <w:rFonts w:ascii="Arial" w:cs="Arial" w:eastAsia="Arial" w:hAnsi="Arial"/>
                <w:sz w:val="16"/>
                <w:szCs w:val="16"/>
                <w:color w:val="auto"/>
              </w:rPr>
              <w:t>Soft Drinks and Food</w:t>
            </w:r>
          </w:p>
        </w:tc>
        <w:tc>
          <w:tcPr>
            <w:tcW w:w="0" w:type="dxa"/>
            <w:vAlign w:val="bottom"/>
          </w:tcPr>
          <w:p>
            <w:pPr>
              <w:spacing w:after="0"/>
              <w:rPr>
                <w:sz w:val="1"/>
                <w:szCs w:val="1"/>
                <w:color w:val="auto"/>
              </w:rPr>
            </w:pPr>
          </w:p>
        </w:tc>
      </w:tr>
      <w:tr>
        <w:trPr>
          <w:trHeight w:val="331"/>
        </w:trPr>
        <w:tc>
          <w:tcPr>
            <w:tcW w:w="2640" w:type="dxa"/>
            <w:vAlign w:val="bottom"/>
          </w:tcPr>
          <w:p>
            <w:pPr>
              <w:ind w:left="100"/>
              <w:spacing w:after="0"/>
              <w:rPr>
                <w:sz w:val="20"/>
                <w:szCs w:val="20"/>
                <w:color w:val="auto"/>
              </w:rPr>
            </w:pPr>
            <w:r>
              <w:rPr>
                <w:rFonts w:ascii="Arial" w:cs="Arial" w:eastAsia="Arial" w:hAnsi="Arial"/>
                <w:sz w:val="16"/>
                <w:szCs w:val="16"/>
                <w:color w:val="auto"/>
              </w:rPr>
              <w:t>Ford Motor Company</w:t>
            </w:r>
          </w:p>
        </w:tc>
        <w:tc>
          <w:tcPr>
            <w:tcW w:w="120" w:type="dxa"/>
            <w:vAlign w:val="bottom"/>
            <w:tcBorders>
              <w:bottom w:val="single" w:sz="8" w:color="E5E5E5"/>
            </w:tcBorders>
            <w:shd w:val="clear" w:color="auto" w:fill="E5E5E5"/>
          </w:tcPr>
          <w:p>
            <w:pPr>
              <w:spacing w:after="0"/>
              <w:rPr>
                <w:sz w:val="24"/>
                <w:szCs w:val="24"/>
                <w:color w:val="auto"/>
              </w:rPr>
            </w:pPr>
          </w:p>
        </w:tc>
        <w:tc>
          <w:tcPr>
            <w:tcW w:w="2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Automobile Manufacturers</w:t>
            </w:r>
          </w:p>
        </w:tc>
        <w:tc>
          <w:tcPr>
            <w:tcW w:w="2560" w:type="dxa"/>
            <w:vAlign w:val="bottom"/>
          </w:tcPr>
          <w:p>
            <w:pPr>
              <w:ind w:left="100"/>
              <w:spacing w:after="0"/>
              <w:rPr>
                <w:sz w:val="20"/>
                <w:szCs w:val="20"/>
                <w:color w:val="auto"/>
              </w:rPr>
            </w:pPr>
            <w:r>
              <w:rPr>
                <w:rFonts w:ascii="Arial" w:cs="Arial" w:eastAsia="Arial" w:hAnsi="Arial"/>
                <w:sz w:val="16"/>
                <w:szCs w:val="16"/>
                <w:color w:val="auto"/>
              </w:rPr>
              <w:t>Pfizer Inc.</w:t>
            </w:r>
          </w:p>
        </w:tc>
        <w:tc>
          <w:tcPr>
            <w:tcW w:w="120" w:type="dxa"/>
            <w:vAlign w:val="bottom"/>
            <w:tcBorders>
              <w:bottom w:val="single" w:sz="8" w:color="E5E5E5"/>
            </w:tcBorders>
            <w:shd w:val="clear" w:color="auto" w:fill="E5E5E5"/>
          </w:tcPr>
          <w:p>
            <w:pPr>
              <w:spacing w:after="0"/>
              <w:rPr>
                <w:sz w:val="24"/>
                <w:szCs w:val="24"/>
                <w:color w:val="auto"/>
              </w:rPr>
            </w:pPr>
          </w:p>
        </w:tc>
        <w:tc>
          <w:tcPr>
            <w:tcW w:w="23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Pharmaceuticals</w:t>
            </w:r>
          </w:p>
        </w:tc>
        <w:tc>
          <w:tcPr>
            <w:tcW w:w="0" w:type="dxa"/>
            <w:vAlign w:val="bottom"/>
          </w:tcPr>
          <w:p>
            <w:pPr>
              <w:spacing w:after="0"/>
              <w:rPr>
                <w:sz w:val="1"/>
                <w:szCs w:val="1"/>
                <w:color w:val="auto"/>
              </w:rPr>
            </w:pPr>
          </w:p>
        </w:tc>
      </w:tr>
      <w:tr>
        <w:trPr>
          <w:trHeight w:val="190"/>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General Electric Company</w:t>
            </w:r>
          </w:p>
        </w:tc>
        <w:tc>
          <w:tcPr>
            <w:tcW w:w="120" w:type="dxa"/>
            <w:vAlign w:val="bottom"/>
            <w:tcBorders>
              <w:top w:val="single" w:sz="8" w:color="auto"/>
            </w:tcBorders>
            <w:shd w:val="clear" w:color="auto" w:fill="E5E5E5"/>
          </w:tcPr>
          <w:p>
            <w:pPr>
              <w:spacing w:after="0"/>
              <w:rPr>
                <w:sz w:val="16"/>
                <w:szCs w:val="16"/>
                <w:color w:val="auto"/>
              </w:rPr>
            </w:pPr>
          </w:p>
        </w:tc>
        <w:tc>
          <w:tcPr>
            <w:tcW w:w="244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6"/>
                <w:szCs w:val="16"/>
                <w:color w:val="auto"/>
              </w:rPr>
              <w:t>Industrial Conglomerates</w:t>
            </w:r>
          </w:p>
        </w:tc>
        <w:tc>
          <w:tcPr>
            <w:tcW w:w="25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The Procter &amp; Gamble Company</w:t>
            </w:r>
          </w:p>
        </w:tc>
        <w:tc>
          <w:tcPr>
            <w:tcW w:w="120" w:type="dxa"/>
            <w:vAlign w:val="bottom"/>
            <w:tcBorders>
              <w:top w:val="single" w:sz="8" w:color="auto"/>
            </w:tcBorders>
            <w:shd w:val="clear" w:color="auto" w:fill="E5E5E5"/>
          </w:tcPr>
          <w:p>
            <w:pPr>
              <w:spacing w:after="0"/>
              <w:rPr>
                <w:sz w:val="16"/>
                <w:szCs w:val="16"/>
                <w:color w:val="auto"/>
              </w:rPr>
            </w:pPr>
          </w:p>
        </w:tc>
        <w:tc>
          <w:tcPr>
            <w:tcW w:w="2340" w:type="dxa"/>
            <w:vAlign w:val="bottom"/>
            <w:tcBorders>
              <w:top w:val="single" w:sz="8" w:color="auto"/>
            </w:tcBorders>
            <w:vMerge w:val="restart"/>
            <w:shd w:val="clear" w:color="auto" w:fill="E5E5E5"/>
          </w:tcPr>
          <w:p>
            <w:pPr>
              <w:spacing w:after="0"/>
              <w:rPr>
                <w:sz w:val="20"/>
                <w:szCs w:val="20"/>
                <w:color w:val="auto"/>
              </w:rPr>
            </w:pPr>
            <w:r>
              <w:rPr>
                <w:rFonts w:ascii="Arial" w:cs="Arial" w:eastAsia="Arial" w:hAnsi="Arial"/>
                <w:sz w:val="16"/>
                <w:szCs w:val="16"/>
                <w:color w:val="auto"/>
              </w:rPr>
              <w:t>Household Products</w:t>
            </w:r>
          </w:p>
        </w:tc>
        <w:tc>
          <w:tcPr>
            <w:tcW w:w="0" w:type="dxa"/>
            <w:vAlign w:val="bottom"/>
          </w:tcPr>
          <w:p>
            <w:pPr>
              <w:spacing w:after="0"/>
              <w:rPr>
                <w:sz w:val="1"/>
                <w:szCs w:val="1"/>
                <w:color w:val="auto"/>
              </w:rPr>
            </w:pPr>
          </w:p>
        </w:tc>
      </w:tr>
      <w:tr>
        <w:trPr>
          <w:trHeight w:val="162"/>
        </w:trPr>
        <w:tc>
          <w:tcPr>
            <w:tcW w:w="2640" w:type="dxa"/>
            <w:vAlign w:val="bottom"/>
            <w:vMerge w:val="continue"/>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440" w:type="dxa"/>
            <w:vAlign w:val="bottom"/>
            <w:vMerge w:val="continue"/>
            <w:shd w:val="clear" w:color="auto" w:fill="E5E5E5"/>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34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2440" w:type="dxa"/>
            <w:vAlign w:val="bottom"/>
            <w:tcBorders>
              <w:bottom w:val="single" w:sz="8" w:color="auto"/>
            </w:tcBorders>
            <w:shd w:val="clear" w:color="auto" w:fill="E5E5E5"/>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E5E5E5"/>
          </w:tcPr>
          <w:p>
            <w:pPr>
              <w:spacing w:after="0"/>
              <w:rPr>
                <w:sz w:val="7"/>
                <w:szCs w:val="7"/>
                <w:color w:val="auto"/>
              </w:rPr>
            </w:pPr>
          </w:p>
        </w:tc>
        <w:tc>
          <w:tcPr>
            <w:tcW w:w="2340" w:type="dxa"/>
            <w:vAlign w:val="bottom"/>
            <w:tcBorders>
              <w:bottom w:val="single" w:sz="8" w:color="auto"/>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40" w:type="dxa"/>
            <w:vAlign w:val="bottom"/>
            <w:vMerge w:val="restart"/>
          </w:tcPr>
          <w:p>
            <w:pPr>
              <w:ind w:left="100"/>
              <w:spacing w:after="0"/>
              <w:rPr>
                <w:sz w:val="20"/>
                <w:szCs w:val="20"/>
                <w:color w:val="auto"/>
              </w:rPr>
            </w:pPr>
            <w:r>
              <w:rPr>
                <w:rFonts w:ascii="Arial" w:cs="Arial" w:eastAsia="Arial" w:hAnsi="Arial"/>
                <w:sz w:val="16"/>
                <w:szCs w:val="16"/>
                <w:color w:val="auto"/>
              </w:rPr>
              <w:t>HP, Inc.</w:t>
            </w:r>
          </w:p>
        </w:tc>
        <w:tc>
          <w:tcPr>
            <w:tcW w:w="120" w:type="dxa"/>
            <w:vAlign w:val="bottom"/>
            <w:shd w:val="clear" w:color="auto" w:fill="E5E5E5"/>
          </w:tcPr>
          <w:p>
            <w:pPr>
              <w:spacing w:after="0"/>
              <w:rPr>
                <w:sz w:val="16"/>
                <w:szCs w:val="16"/>
                <w:color w:val="auto"/>
              </w:rPr>
            </w:pPr>
          </w:p>
        </w:tc>
        <w:tc>
          <w:tcPr>
            <w:tcW w:w="2440" w:type="dxa"/>
            <w:vAlign w:val="bottom"/>
            <w:shd w:val="clear" w:color="auto" w:fill="E5E5E5"/>
          </w:tcPr>
          <w:p>
            <w:pPr>
              <w:spacing w:after="0"/>
              <w:rPr>
                <w:sz w:val="20"/>
                <w:szCs w:val="20"/>
                <w:color w:val="auto"/>
              </w:rPr>
            </w:pPr>
            <w:r>
              <w:rPr>
                <w:rFonts w:ascii="Arial" w:cs="Arial" w:eastAsia="Arial" w:hAnsi="Arial"/>
                <w:sz w:val="16"/>
                <w:szCs w:val="16"/>
                <w:color w:val="auto"/>
              </w:rPr>
              <w:t>Technology Hardware,</w:t>
            </w:r>
          </w:p>
        </w:tc>
        <w:tc>
          <w:tcPr>
            <w:tcW w:w="2560" w:type="dxa"/>
            <w:vAlign w:val="bottom"/>
            <w:vMerge w:val="restart"/>
          </w:tcPr>
          <w:p>
            <w:pPr>
              <w:ind w:left="100"/>
              <w:spacing w:after="0"/>
              <w:rPr>
                <w:sz w:val="20"/>
                <w:szCs w:val="20"/>
                <w:color w:val="auto"/>
              </w:rPr>
            </w:pPr>
            <w:r>
              <w:rPr>
                <w:rFonts w:ascii="Arial" w:cs="Arial" w:eastAsia="Arial" w:hAnsi="Arial"/>
                <w:sz w:val="16"/>
                <w:szCs w:val="16"/>
                <w:color w:val="auto"/>
              </w:rPr>
              <w:t>United Technologies Corp.</w:t>
            </w:r>
          </w:p>
        </w:tc>
        <w:tc>
          <w:tcPr>
            <w:tcW w:w="120" w:type="dxa"/>
            <w:vAlign w:val="bottom"/>
            <w:shd w:val="clear" w:color="auto" w:fill="E5E5E5"/>
          </w:tcPr>
          <w:p>
            <w:pPr>
              <w:spacing w:after="0"/>
              <w:rPr>
                <w:sz w:val="16"/>
                <w:szCs w:val="16"/>
                <w:color w:val="auto"/>
              </w:rPr>
            </w:pPr>
          </w:p>
        </w:tc>
        <w:tc>
          <w:tcPr>
            <w:tcW w:w="234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Aerospace and Defense</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40" w:type="dxa"/>
            <w:vAlign w:val="bottom"/>
            <w:shd w:val="clear" w:color="auto" w:fill="E5E5E5"/>
          </w:tcPr>
          <w:p>
            <w:pPr>
              <w:spacing w:after="0"/>
              <w:rPr>
                <w:sz w:val="20"/>
                <w:szCs w:val="20"/>
                <w:color w:val="auto"/>
              </w:rPr>
            </w:pPr>
            <w:r>
              <w:rPr>
                <w:rFonts w:ascii="Arial" w:cs="Arial" w:eastAsia="Arial" w:hAnsi="Arial"/>
                <w:sz w:val="16"/>
                <w:szCs w:val="16"/>
                <w:color w:val="auto"/>
              </w:rPr>
              <w:t>Storage, and Peripherals</w:t>
            </w:r>
          </w:p>
        </w:tc>
        <w:tc>
          <w:tcPr>
            <w:tcW w:w="2560" w:type="dxa"/>
            <w:vAlign w:val="bottom"/>
            <w:vMerge w:val="continue"/>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340" w:type="dxa"/>
            <w:vAlign w:val="bottom"/>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640" w:type="dxa"/>
            <w:vAlign w:val="bottom"/>
            <w:tcBorders>
              <w:bottom w:val="single" w:sz="8" w:color="0033A0"/>
            </w:tcBorders>
          </w:tcPr>
          <w:p>
            <w:pPr>
              <w:spacing w:after="0"/>
              <w:rPr>
                <w:sz w:val="5"/>
                <w:szCs w:val="5"/>
                <w:color w:val="auto"/>
              </w:rPr>
            </w:pPr>
          </w:p>
        </w:tc>
        <w:tc>
          <w:tcPr>
            <w:tcW w:w="120" w:type="dxa"/>
            <w:vAlign w:val="bottom"/>
            <w:tcBorders>
              <w:bottom w:val="single" w:sz="8" w:color="0033A0"/>
            </w:tcBorders>
            <w:shd w:val="clear" w:color="auto" w:fill="E5E5E5"/>
          </w:tcPr>
          <w:p>
            <w:pPr>
              <w:spacing w:after="0"/>
              <w:rPr>
                <w:sz w:val="5"/>
                <w:szCs w:val="5"/>
                <w:color w:val="auto"/>
              </w:rPr>
            </w:pPr>
          </w:p>
        </w:tc>
        <w:tc>
          <w:tcPr>
            <w:tcW w:w="2440" w:type="dxa"/>
            <w:vAlign w:val="bottom"/>
            <w:tcBorders>
              <w:bottom w:val="single" w:sz="8" w:color="0033A0"/>
            </w:tcBorders>
            <w:shd w:val="clear" w:color="auto" w:fill="E5E5E5"/>
          </w:tcPr>
          <w:p>
            <w:pPr>
              <w:spacing w:after="0"/>
              <w:rPr>
                <w:sz w:val="5"/>
                <w:szCs w:val="5"/>
                <w:color w:val="auto"/>
              </w:rPr>
            </w:pPr>
          </w:p>
        </w:tc>
        <w:tc>
          <w:tcPr>
            <w:tcW w:w="2560" w:type="dxa"/>
            <w:vAlign w:val="bottom"/>
            <w:tcBorders>
              <w:bottom w:val="single" w:sz="8" w:color="0033A0"/>
            </w:tcBorders>
          </w:tcPr>
          <w:p>
            <w:pPr>
              <w:spacing w:after="0"/>
              <w:rPr>
                <w:sz w:val="5"/>
                <w:szCs w:val="5"/>
                <w:color w:val="auto"/>
              </w:rPr>
            </w:pPr>
          </w:p>
        </w:tc>
        <w:tc>
          <w:tcPr>
            <w:tcW w:w="120" w:type="dxa"/>
            <w:vAlign w:val="bottom"/>
            <w:tcBorders>
              <w:bottom w:val="single" w:sz="8" w:color="0033A0"/>
            </w:tcBorders>
            <w:shd w:val="clear" w:color="auto" w:fill="E5E5E5"/>
          </w:tcPr>
          <w:p>
            <w:pPr>
              <w:spacing w:after="0"/>
              <w:rPr>
                <w:sz w:val="5"/>
                <w:szCs w:val="5"/>
                <w:color w:val="auto"/>
              </w:rPr>
            </w:pPr>
          </w:p>
        </w:tc>
        <w:tc>
          <w:tcPr>
            <w:tcW w:w="2340" w:type="dxa"/>
            <w:vAlign w:val="bottom"/>
            <w:tcBorders>
              <w:bottom w:val="single" w:sz="8" w:color="0033A0"/>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0" w:right="240" w:hanging="410"/>
        <w:spacing w:after="0" w:line="252" w:lineRule="auto"/>
        <w:tabs>
          <w:tab w:leader="none" w:pos="100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Companies were involved in significant mergers, acquisitions, or divestitures. The Committee will evaluate each peer company for inclusion in the peer group for 2018 and beyond.</w:t>
      </w:r>
    </w:p>
    <w:p>
      <w:pPr>
        <w:ind w:left="1000" w:hanging="410"/>
        <w:spacing w:after="0"/>
        <w:tabs>
          <w:tab w:leader="none" w:pos="100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The Committee removed Johnson Controls Inc. from the peer group during their 2017 annual review.</w:t>
      </w:r>
    </w:p>
    <w:p>
      <w:pPr>
        <w:spacing w:after="0" w:line="335" w:lineRule="exact"/>
        <w:rPr>
          <w:sz w:val="20"/>
          <w:szCs w:val="20"/>
          <w:color w:val="auto"/>
        </w:rPr>
      </w:pPr>
    </w:p>
    <w:p>
      <w:pPr>
        <w:ind w:left="1100" w:hanging="510"/>
        <w:spacing w:after="0"/>
        <w:tabs>
          <w:tab w:leader="none" w:pos="1100" w:val="left"/>
        </w:tabs>
        <w:numPr>
          <w:ilvl w:val="0"/>
          <w:numId w:val="67"/>
        </w:numPr>
        <w:rPr>
          <w:rFonts w:ascii="Arial" w:cs="Arial" w:eastAsia="Arial" w:hAnsi="Arial"/>
          <w:sz w:val="25"/>
          <w:szCs w:val="25"/>
          <w:color w:val="0033A0"/>
        </w:rPr>
      </w:pPr>
      <w:r>
        <w:rPr>
          <w:rFonts w:ascii="Arial" w:cs="Arial" w:eastAsia="Arial" w:hAnsi="Arial"/>
          <w:sz w:val="25"/>
          <w:szCs w:val="25"/>
          <w:color w:val="auto"/>
        </w:rPr>
        <w:t>How We Use Comparator Data to Assess Compensation</w:t>
      </w:r>
    </w:p>
    <w:p>
      <w:pPr>
        <w:spacing w:after="0" w:line="118" w:lineRule="exact"/>
        <w:rPr>
          <w:sz w:val="20"/>
          <w:szCs w:val="20"/>
          <w:color w:val="auto"/>
        </w:rPr>
      </w:pPr>
    </w:p>
    <w:p>
      <w:pPr>
        <w:jc w:val="both"/>
        <w:ind w:left="600" w:right="240"/>
        <w:spacing w:after="0" w:line="251" w:lineRule="auto"/>
        <w:rPr>
          <w:sz w:val="20"/>
          <w:szCs w:val="20"/>
          <w:color w:val="auto"/>
        </w:rPr>
      </w:pPr>
      <w:r>
        <w:rPr>
          <w:rFonts w:ascii="Arial" w:cs="Arial" w:eastAsia="Arial" w:hAnsi="Arial"/>
          <w:sz w:val="16"/>
          <w:szCs w:val="16"/>
          <w:color w:val="auto"/>
        </w:rPr>
        <w:t>We use executive compensation surveys composed of a broad array of industrial companies to benchmark relevant market data for executive positions. In addition, we benchmark pay practices and compensation levels against the proxy statement disclosures of our peer group and adjust this data to reflect GM’s size and market expected compensation trends. Further, we review the competitive market position of each of our executives compared with the market data.</w:t>
      </w:r>
    </w:p>
    <w:p>
      <w:pPr>
        <w:spacing w:after="0" w:line="95" w:lineRule="exact"/>
        <w:rPr>
          <w:sz w:val="20"/>
          <w:szCs w:val="20"/>
          <w:color w:val="auto"/>
        </w:rPr>
      </w:pPr>
    </w:p>
    <w:p>
      <w:pPr>
        <w:jc w:val="both"/>
        <w:ind w:left="600" w:right="240"/>
        <w:spacing w:after="0" w:line="251" w:lineRule="auto"/>
        <w:rPr>
          <w:sz w:val="20"/>
          <w:szCs w:val="20"/>
          <w:color w:val="auto"/>
        </w:rPr>
      </w:pPr>
      <w:r>
        <w:rPr>
          <w:rFonts w:ascii="Arial" w:cs="Arial" w:eastAsia="Arial" w:hAnsi="Arial"/>
          <w:sz w:val="16"/>
          <w:szCs w:val="16"/>
          <w:color w:val="auto"/>
        </w:rPr>
        <w:t>We review each element of compensation compared with the market and generally target each element of our total direct compensation (base salary, STIP, and LTIP) for the executive group on average to be at or near the market median. However, an individual element or an individual’s total direct compensation may be positioned above or below the market median because of considerations such as his or her specific responsibilities, experience, and performance.</w:t>
      </w:r>
    </w:p>
    <w:p>
      <w:pPr>
        <w:spacing w:after="0" w:line="20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33A0"/>
        </w:rPr>
        <w:t>41</w:t>
      </w:r>
    </w:p>
    <w:p>
      <w:pPr>
        <w:sectPr>
          <w:pgSz w:w="11900" w:h="16838" w:orient="portrait"/>
          <w:cols w:equalWidth="0" w:num="1">
            <w:col w:w="11060"/>
          </w:cols>
          <w:pgMar w:left="240" w:top="459" w:right="5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75812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758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hanging="510"/>
        <w:spacing w:after="0"/>
        <w:tabs>
          <w:tab w:leader="none" w:pos="1100" w:val="left"/>
        </w:tabs>
        <w:numPr>
          <w:ilvl w:val="0"/>
          <w:numId w:val="68"/>
        </w:numPr>
        <w:rPr>
          <w:rFonts w:ascii="Arial" w:cs="Arial" w:eastAsia="Arial" w:hAnsi="Arial"/>
          <w:sz w:val="25"/>
          <w:szCs w:val="25"/>
          <w:color w:val="0033A0"/>
        </w:rPr>
      </w:pPr>
      <w:r>
        <w:rPr>
          <w:rFonts w:ascii="Arial" w:cs="Arial" w:eastAsia="Arial" w:hAnsi="Arial"/>
          <w:sz w:val="25"/>
          <w:szCs w:val="25"/>
          <w:color w:val="auto"/>
        </w:rPr>
        <w:t>How We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0" w:hanging="510"/>
        <w:spacing w:after="0"/>
        <w:tabs>
          <w:tab w:leader="none" w:pos="1100" w:val="left"/>
        </w:tabs>
        <w:numPr>
          <w:ilvl w:val="0"/>
          <w:numId w:val="69"/>
        </w:numPr>
        <w:rPr>
          <w:rFonts w:ascii="Arial" w:cs="Arial" w:eastAsia="Arial" w:hAnsi="Arial"/>
          <w:sz w:val="25"/>
          <w:szCs w:val="25"/>
          <w:color w:val="0033A0"/>
        </w:rPr>
      </w:pPr>
      <w:r>
        <w:rPr>
          <w:rFonts w:ascii="Arial" w:cs="Arial" w:eastAsia="Arial" w:hAnsi="Arial"/>
          <w:sz w:val="25"/>
          <w:szCs w:val="25"/>
          <w:color w:val="auto"/>
        </w:rPr>
        <w:t>Performance-Based Compensation Structure</w:t>
      </w:r>
    </w:p>
    <w:p>
      <w:pPr>
        <w:spacing w:after="0" w:line="186" w:lineRule="exact"/>
        <w:rPr>
          <w:sz w:val="20"/>
          <w:szCs w:val="20"/>
          <w:color w:val="auto"/>
        </w:rPr>
      </w:pPr>
    </w:p>
    <w:p>
      <w:pPr>
        <w:jc w:val="both"/>
        <w:ind w:left="600"/>
        <w:spacing w:after="0" w:line="260" w:lineRule="auto"/>
        <w:rPr>
          <w:sz w:val="20"/>
          <w:szCs w:val="20"/>
          <w:color w:val="auto"/>
        </w:rPr>
      </w:pPr>
      <w:r>
        <w:rPr>
          <w:rFonts w:ascii="Arial" w:cs="Arial" w:eastAsia="Arial" w:hAnsi="Arial"/>
          <w:sz w:val="16"/>
          <w:szCs w:val="16"/>
          <w:color w:val="auto"/>
        </w:rPr>
        <w:t>Our NEOs are incentivized to focus on optimizing long-term financial returns for our shareholders through increasing profitability, increasing margins, putting the customer at the center of everything we do, growing the business, and driving innovation.</w:t>
      </w:r>
    </w:p>
    <w:p>
      <w:pPr>
        <w:spacing w:after="0" w:line="88" w:lineRule="exact"/>
        <w:rPr>
          <w:sz w:val="20"/>
          <w:szCs w:val="20"/>
          <w:color w:val="auto"/>
        </w:rPr>
      </w:pPr>
    </w:p>
    <w:p>
      <w:pPr>
        <w:jc w:val="both"/>
        <w:ind w:left="600"/>
        <w:spacing w:after="0" w:line="251" w:lineRule="auto"/>
        <w:rPr>
          <w:sz w:val="20"/>
          <w:szCs w:val="20"/>
          <w:color w:val="auto"/>
        </w:rPr>
      </w:pPr>
      <w:r>
        <w:rPr>
          <w:rFonts w:ascii="Arial" w:cs="Arial" w:eastAsia="Arial" w:hAnsi="Arial"/>
          <w:sz w:val="16"/>
          <w:szCs w:val="16"/>
          <w:color w:val="auto"/>
        </w:rPr>
        <w:t>The performance-based structure for 2017 incorporates both short-term and long-term incentives established from financial and operational metrics for fiscal year 2017 and beyond. In addition to base salary and an annual STIP award, this structure, shown graphically below, includes an LTIP award made up of both PSUs and Stock Options to focus our executives on long-term Company performance. The Compensation Committee believes a majority of compensation should be in the form of equity to align the interests of executives with those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color w:val="0033A0"/>
        </w:rPr>
        <w:t>42</w:t>
      </w:r>
    </w:p>
    <w:p>
      <w:pPr>
        <w:sectPr>
          <w:pgSz w:w="11900" w:h="16838" w:orient="portrait"/>
          <w:cols w:equalWidth="0" w:num="1">
            <w:col w:w="10820"/>
          </w:cols>
          <w:pgMar w:left="240" w:top="459" w:right="8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Compensation Principles</w:t>
      </w:r>
    </w:p>
    <w:p>
      <w:pPr>
        <w:sectPr>
          <w:pgSz w:w="11900" w:h="16838" w:orient="portrait"/>
          <w:cols w:equalWidth="0" w:num="1">
            <w:col w:w="11260"/>
          </w:cols>
          <w:pgMar w:left="240" w:top="459" w:right="399" w:bottom="1440" w:gutter="0" w:footer="0" w:header="0"/>
        </w:sectPr>
      </w:pPr>
    </w:p>
    <w:p>
      <w:pPr>
        <w:spacing w:after="0" w:line="392"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compensation provided to our senior leaders continues to be guided by the following principles:</w:t>
      </w:r>
    </w:p>
    <w:p>
      <w:pPr>
        <w:spacing w:after="0" w:line="176" w:lineRule="exact"/>
        <w:rPr>
          <w:sz w:val="20"/>
          <w:szCs w:val="20"/>
          <w:color w:val="auto"/>
        </w:rPr>
      </w:pPr>
    </w:p>
    <w:p>
      <w:pPr>
        <w:jc w:val="both"/>
        <w:ind w:left="400" w:hanging="189"/>
        <w:spacing w:after="0" w:line="259" w:lineRule="auto"/>
        <w:tabs>
          <w:tab w:leader="none" w:pos="40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Aligned with Shareholders </w:t>
      </w:r>
      <w:r>
        <w:rPr>
          <w:rFonts w:ascii="Arial" w:cs="Arial" w:eastAsia="Arial" w:hAnsi="Arial"/>
          <w:sz w:val="16"/>
          <w:szCs w:val="16"/>
          <w:color w:val="000000"/>
        </w:rPr>
        <w:t>– Compensation paid should align</w:t>
      </w:r>
      <w:r>
        <w:rPr>
          <w:rFonts w:ascii="Arial" w:cs="Arial" w:eastAsia="Arial" w:hAnsi="Arial"/>
          <w:sz w:val="16"/>
          <w:szCs w:val="16"/>
          <w:b w:val="1"/>
          <w:bCs w:val="1"/>
          <w:color w:val="0033A0"/>
        </w:rPr>
        <w:t xml:space="preserve"> </w:t>
      </w:r>
      <w:r>
        <w:rPr>
          <w:rFonts w:ascii="Arial" w:cs="Arial" w:eastAsia="Arial" w:hAnsi="Arial"/>
          <w:sz w:val="16"/>
          <w:szCs w:val="16"/>
          <w:color w:val="000000"/>
        </w:rPr>
        <w:t>directly with the long-term interests of our shareholders, and our executives should share with them in the performance and value of our common stock;</w:t>
      </w:r>
    </w:p>
    <w:p>
      <w:pPr>
        <w:spacing w:after="0" w:line="43" w:lineRule="exact"/>
        <w:rPr>
          <w:rFonts w:ascii="Arial" w:cs="Arial" w:eastAsia="Arial" w:hAnsi="Arial"/>
          <w:sz w:val="16"/>
          <w:szCs w:val="16"/>
          <w:color w:val="0033A0"/>
        </w:rPr>
      </w:pPr>
    </w:p>
    <w:p>
      <w:pPr>
        <w:jc w:val="both"/>
        <w:ind w:left="400" w:hanging="189"/>
        <w:spacing w:after="0" w:line="256" w:lineRule="auto"/>
        <w:tabs>
          <w:tab w:leader="none" w:pos="40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Performance-Based </w:t>
      </w:r>
      <w:r>
        <w:rPr>
          <w:rFonts w:ascii="Arial" w:cs="Arial" w:eastAsia="Arial" w:hAnsi="Arial"/>
          <w:sz w:val="16"/>
          <w:szCs w:val="16"/>
          <w:color w:val="000000"/>
        </w:rPr>
        <w:t>– Compensation paid should be based on a</w:t>
      </w:r>
      <w:r>
        <w:rPr>
          <w:rFonts w:ascii="Arial" w:cs="Arial" w:eastAsia="Arial" w:hAnsi="Arial"/>
          <w:sz w:val="16"/>
          <w:szCs w:val="16"/>
          <w:b w:val="1"/>
          <w:bCs w:val="1"/>
          <w:color w:val="0033A0"/>
        </w:rPr>
        <w:t xml:space="preserve"> </w:t>
      </w:r>
      <w:r>
        <w:rPr>
          <w:rFonts w:ascii="Arial" w:cs="Arial" w:eastAsia="Arial" w:hAnsi="Arial"/>
          <w:sz w:val="16"/>
          <w:szCs w:val="16"/>
          <w:color w:val="000000"/>
        </w:rPr>
        <w:t>balance of financial and operational goals reflecting strong financial performance relative to our OEM competitors. The goals should be aggressive but achievable, within our executives’ control and should reward commitments met;</w:t>
      </w:r>
    </w:p>
    <w:p>
      <w:pPr>
        <w:spacing w:after="0" w:line="45" w:lineRule="exact"/>
        <w:rPr>
          <w:rFonts w:ascii="Arial" w:cs="Arial" w:eastAsia="Arial" w:hAnsi="Arial"/>
          <w:sz w:val="16"/>
          <w:szCs w:val="16"/>
          <w:color w:val="0033A0"/>
        </w:rPr>
      </w:pPr>
    </w:p>
    <w:p>
      <w:pPr>
        <w:jc w:val="both"/>
        <w:ind w:left="400" w:hanging="189"/>
        <w:spacing w:after="0" w:line="256" w:lineRule="auto"/>
        <w:tabs>
          <w:tab w:leader="none" w:pos="400" w:val="left"/>
        </w:tabs>
        <w:numPr>
          <w:ilvl w:val="0"/>
          <w:numId w:val="70"/>
        </w:numPr>
        <w:rPr>
          <w:rFonts w:ascii="Arial" w:cs="Arial" w:eastAsia="Arial" w:hAnsi="Arial"/>
          <w:sz w:val="16"/>
          <w:szCs w:val="16"/>
          <w:color w:val="0033A0"/>
        </w:rPr>
      </w:pPr>
      <w:r>
        <w:rPr>
          <w:rFonts w:ascii="Arial" w:cs="Arial" w:eastAsia="Arial" w:hAnsi="Arial"/>
          <w:sz w:val="16"/>
          <w:szCs w:val="16"/>
          <w:b w:val="1"/>
          <w:bCs w:val="1"/>
          <w:color w:val="0033A0"/>
        </w:rPr>
        <w:t xml:space="preserve">Recognize Individual Performance </w:t>
      </w:r>
      <w:r>
        <w:rPr>
          <w:rFonts w:ascii="Arial" w:cs="Arial" w:eastAsia="Arial" w:hAnsi="Arial"/>
          <w:sz w:val="16"/>
          <w:szCs w:val="16"/>
          <w:color w:val="000000"/>
        </w:rPr>
        <w:t>– Compensation paid should</w:t>
      </w:r>
      <w:r>
        <w:rPr>
          <w:rFonts w:ascii="Arial" w:cs="Arial" w:eastAsia="Arial" w:hAnsi="Arial"/>
          <w:sz w:val="16"/>
          <w:szCs w:val="16"/>
          <w:b w:val="1"/>
          <w:bCs w:val="1"/>
          <w:color w:val="0033A0"/>
        </w:rPr>
        <w:t xml:space="preserve"> </w:t>
      </w:r>
      <w:r>
        <w:rPr>
          <w:rFonts w:ascii="Arial" w:cs="Arial" w:eastAsia="Arial" w:hAnsi="Arial"/>
          <w:sz w:val="16"/>
          <w:szCs w:val="16"/>
          <w:color w:val="000000"/>
        </w:rPr>
        <w:t>motivate executives to perform at their best, reflecting their clear line of sight and contributions as well as their behaviors and demonstration of GM’s core values. Individual performance must be aligned with Company performance and desired behaviors;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91" w:right="40" w:hanging="191"/>
        <w:spacing w:after="0" w:line="286" w:lineRule="auto"/>
        <w:tabs>
          <w:tab w:leader="none" w:pos="191" w:val="left"/>
        </w:tabs>
        <w:numPr>
          <w:ilvl w:val="0"/>
          <w:numId w:val="71"/>
        </w:numPr>
        <w:rPr>
          <w:rFonts w:ascii="Arial" w:cs="Arial" w:eastAsia="Arial" w:hAnsi="Arial"/>
          <w:sz w:val="16"/>
          <w:szCs w:val="16"/>
          <w:color w:val="0033A0"/>
        </w:rPr>
      </w:pPr>
      <w:r>
        <w:rPr>
          <w:rFonts w:ascii="Arial" w:cs="Arial" w:eastAsia="Arial" w:hAnsi="Arial"/>
          <w:sz w:val="16"/>
          <w:szCs w:val="16"/>
          <w:b w:val="1"/>
          <w:bCs w:val="1"/>
          <w:color w:val="0033A0"/>
        </w:rPr>
        <w:t xml:space="preserve">Simple Design </w:t>
      </w:r>
      <w:r>
        <w:rPr>
          <w:rFonts w:ascii="Arial" w:cs="Arial" w:eastAsia="Arial" w:hAnsi="Arial"/>
          <w:sz w:val="16"/>
          <w:szCs w:val="16"/>
          <w:color w:val="000000"/>
        </w:rPr>
        <w:t>– Our compensation plan should be easy to understand</w:t>
      </w:r>
      <w:r>
        <w:rPr>
          <w:rFonts w:ascii="Arial" w:cs="Arial" w:eastAsia="Arial" w:hAnsi="Arial"/>
          <w:sz w:val="16"/>
          <w:szCs w:val="16"/>
          <w:b w:val="1"/>
          <w:bCs w:val="1"/>
          <w:color w:val="0033A0"/>
        </w:rPr>
        <w:t xml:space="preserve"> </w:t>
      </w:r>
      <w:r>
        <w:rPr>
          <w:rFonts w:ascii="Arial" w:cs="Arial" w:eastAsia="Arial" w:hAnsi="Arial"/>
          <w:sz w:val="16"/>
          <w:szCs w:val="16"/>
          <w:color w:val="000000"/>
        </w:rPr>
        <w:t>and communicate and minimize unintended consequences;</w:t>
      </w:r>
    </w:p>
    <w:p>
      <w:pPr>
        <w:spacing w:after="0" w:line="20" w:lineRule="exact"/>
        <w:rPr>
          <w:rFonts w:ascii="Arial" w:cs="Arial" w:eastAsia="Arial" w:hAnsi="Arial"/>
          <w:sz w:val="16"/>
          <w:szCs w:val="16"/>
          <w:color w:val="0033A0"/>
        </w:rPr>
      </w:pPr>
    </w:p>
    <w:p>
      <w:pPr>
        <w:jc w:val="both"/>
        <w:ind w:left="191" w:right="40" w:hanging="191"/>
        <w:spacing w:after="0" w:line="259" w:lineRule="auto"/>
        <w:tabs>
          <w:tab w:leader="none" w:pos="191" w:val="left"/>
        </w:tabs>
        <w:numPr>
          <w:ilvl w:val="0"/>
          <w:numId w:val="71"/>
        </w:numPr>
        <w:rPr>
          <w:rFonts w:ascii="Arial" w:cs="Arial" w:eastAsia="Arial" w:hAnsi="Arial"/>
          <w:sz w:val="16"/>
          <w:szCs w:val="16"/>
          <w:color w:val="0033A0"/>
        </w:rPr>
      </w:pPr>
      <w:r>
        <w:rPr>
          <w:rFonts w:ascii="Arial" w:cs="Arial" w:eastAsia="Arial" w:hAnsi="Arial"/>
          <w:sz w:val="16"/>
          <w:szCs w:val="16"/>
          <w:b w:val="1"/>
          <w:bCs w:val="1"/>
          <w:color w:val="0033A0"/>
        </w:rPr>
        <w:t xml:space="preserve">Avoidance of Incentive to Take Excessive Risk </w:t>
      </w:r>
      <w:r>
        <w:rPr>
          <w:rFonts w:ascii="Arial" w:cs="Arial" w:eastAsia="Arial" w:hAnsi="Arial"/>
          <w:sz w:val="16"/>
          <w:szCs w:val="16"/>
          <w:color w:val="000000"/>
        </w:rPr>
        <w:t>–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structure should avoid incentives to take unnecessary and excessive risk. Compensation should be paid over a period of time that takes into account the potential risk over the same time period;</w:t>
      </w:r>
    </w:p>
    <w:p>
      <w:pPr>
        <w:spacing w:after="0" w:line="43" w:lineRule="exact"/>
        <w:rPr>
          <w:rFonts w:ascii="Arial" w:cs="Arial" w:eastAsia="Arial" w:hAnsi="Arial"/>
          <w:sz w:val="16"/>
          <w:szCs w:val="16"/>
          <w:color w:val="0033A0"/>
        </w:rPr>
      </w:pPr>
    </w:p>
    <w:p>
      <w:pPr>
        <w:jc w:val="both"/>
        <w:ind w:left="191" w:right="60" w:hanging="191"/>
        <w:spacing w:after="0" w:line="259" w:lineRule="auto"/>
        <w:tabs>
          <w:tab w:leader="none" w:pos="191" w:val="left"/>
        </w:tabs>
        <w:numPr>
          <w:ilvl w:val="0"/>
          <w:numId w:val="71"/>
        </w:numPr>
        <w:rPr>
          <w:rFonts w:ascii="Arial" w:cs="Arial" w:eastAsia="Arial" w:hAnsi="Arial"/>
          <w:sz w:val="16"/>
          <w:szCs w:val="16"/>
          <w:color w:val="0033A0"/>
        </w:rPr>
      </w:pPr>
      <w:r>
        <w:rPr>
          <w:rFonts w:ascii="Arial" w:cs="Arial" w:eastAsia="Arial" w:hAnsi="Arial"/>
          <w:sz w:val="16"/>
          <w:szCs w:val="16"/>
          <w:b w:val="1"/>
          <w:bCs w:val="1"/>
          <w:color w:val="0033A0"/>
        </w:rPr>
        <w:t xml:space="preserve">Appropriate Allocation of Compensation Components </w:t>
      </w:r>
      <w:r>
        <w:rPr>
          <w:rFonts w:ascii="Arial" w:cs="Arial" w:eastAsia="Arial" w:hAnsi="Arial"/>
          <w:sz w:val="16"/>
          <w:szCs w:val="16"/>
          <w:color w:val="000000"/>
        </w:rPr>
        <w:t>–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structure should appropriately allocate total compensation to fixed and variable pay elements resulting in an appropriate mix of short-term and long-term pay elements; and</w:t>
      </w:r>
    </w:p>
    <w:p>
      <w:pPr>
        <w:spacing w:after="0" w:line="43" w:lineRule="exact"/>
        <w:rPr>
          <w:rFonts w:ascii="Arial" w:cs="Arial" w:eastAsia="Arial" w:hAnsi="Arial"/>
          <w:sz w:val="16"/>
          <w:szCs w:val="16"/>
          <w:color w:val="0033A0"/>
        </w:rPr>
      </w:pPr>
    </w:p>
    <w:p>
      <w:pPr>
        <w:jc w:val="both"/>
        <w:ind w:left="191" w:right="40" w:hanging="191"/>
        <w:spacing w:after="0" w:line="266" w:lineRule="auto"/>
        <w:tabs>
          <w:tab w:leader="none" w:pos="191" w:val="left"/>
        </w:tabs>
        <w:numPr>
          <w:ilvl w:val="0"/>
          <w:numId w:val="71"/>
        </w:numPr>
        <w:rPr>
          <w:rFonts w:ascii="Arial" w:cs="Arial" w:eastAsia="Arial" w:hAnsi="Arial"/>
          <w:sz w:val="16"/>
          <w:szCs w:val="16"/>
          <w:color w:val="0033A0"/>
        </w:rPr>
      </w:pPr>
      <w:r>
        <w:rPr>
          <w:rFonts w:ascii="Arial" w:cs="Arial" w:eastAsia="Arial" w:hAnsi="Arial"/>
          <w:sz w:val="16"/>
          <w:szCs w:val="16"/>
          <w:b w:val="1"/>
          <w:bCs w:val="1"/>
          <w:color w:val="0033A0"/>
        </w:rPr>
        <w:t xml:space="preserve">Comparable Target Compensation </w:t>
      </w:r>
      <w:r>
        <w:rPr>
          <w:rFonts w:ascii="Arial" w:cs="Arial" w:eastAsia="Arial" w:hAnsi="Arial"/>
          <w:sz w:val="16"/>
          <w:szCs w:val="16"/>
          <w:color w:val="000000"/>
        </w:rPr>
        <w:t>– Overall target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should be competitive (market median) with that paid to individuals at peer group companies so that it attracts, motivates, and retains talent.</w:t>
      </w:r>
    </w:p>
    <w:p>
      <w:pPr>
        <w:spacing w:after="0" w:line="893" w:lineRule="exact"/>
        <w:rPr>
          <w:sz w:val="20"/>
          <w:szCs w:val="20"/>
          <w:color w:val="auto"/>
        </w:rPr>
      </w:pPr>
    </w:p>
    <w:p>
      <w:pPr>
        <w:sectPr>
          <w:pgSz w:w="11900" w:h="16838" w:orient="portrait"/>
          <w:cols w:equalWidth="0" w:num="2">
            <w:col w:w="5480" w:space="349"/>
            <w:col w:w="5431"/>
          </w:cols>
          <w:pgMar w:left="240" w:top="459" w:right="399" w:bottom="1440" w:gutter="0" w:footer="0" w:header="0"/>
          <w:type w:val="continuous"/>
        </w:sect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Compensation Elements</w:t>
      </w:r>
    </w:p>
    <w:p>
      <w:pPr>
        <w:spacing w:after="0" w:line="148"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25"/>
          <w:szCs w:val="25"/>
          <w:color w:val="0033A0"/>
        </w:rPr>
      </w:pPr>
      <w:r>
        <w:rPr>
          <w:rFonts w:ascii="Arial" w:cs="Arial" w:eastAsia="Arial" w:hAnsi="Arial"/>
          <w:sz w:val="25"/>
          <w:szCs w:val="25"/>
          <w:color w:val="auto"/>
        </w:rPr>
        <w:t>2017 Compensation Structure</w:t>
      </w:r>
    </w:p>
    <w:p>
      <w:pPr>
        <w:spacing w:after="0" w:line="226"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Each NEO’s 2017 compensation structure is market competitive with each pay element targeted at or near the market median. The compensation structure included the following pay elements:</w:t>
      </w:r>
    </w:p>
    <w:p>
      <w:pPr>
        <w:spacing w:after="0" w:line="81" w:lineRule="exact"/>
        <w:rPr>
          <w:sz w:val="20"/>
          <w:szCs w:val="20"/>
          <w:color w:val="auto"/>
        </w:rPr>
      </w:pPr>
    </w:p>
    <w:p>
      <w:pPr>
        <w:ind w:left="420" w:right="40" w:hanging="216"/>
        <w:spacing w:after="0" w:line="286" w:lineRule="auto"/>
        <w:tabs>
          <w:tab w:leader="none" w:pos="420" w:val="left"/>
        </w:tabs>
        <w:numPr>
          <w:ilvl w:val="0"/>
          <w:numId w:val="73"/>
        </w:numPr>
        <w:rPr>
          <w:rFonts w:ascii="Arial" w:cs="Arial" w:eastAsia="Arial" w:hAnsi="Arial"/>
          <w:sz w:val="16"/>
          <w:szCs w:val="16"/>
          <w:color w:val="0033A0"/>
        </w:rPr>
      </w:pPr>
      <w:r>
        <w:rPr>
          <w:rFonts w:ascii="Arial" w:cs="Arial" w:eastAsia="Arial" w:hAnsi="Arial"/>
          <w:sz w:val="16"/>
          <w:szCs w:val="16"/>
          <w:b w:val="1"/>
          <w:bCs w:val="1"/>
          <w:color w:val="0033A0"/>
        </w:rPr>
        <w:t xml:space="preserve">Base Salary </w:t>
      </w:r>
      <w:r>
        <w:rPr>
          <w:rFonts w:ascii="Arial" w:cs="Arial" w:eastAsia="Arial" w:hAnsi="Arial"/>
          <w:sz w:val="16"/>
          <w:szCs w:val="16"/>
          <w:color w:val="000000"/>
        </w:rPr>
        <w:t>– NEOs are paid a market-competitive base salary that reflects each NEO’s contribution, background, and performance as well as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knowledge and skills he or she brings to the role;</w:t>
      </w:r>
    </w:p>
    <w:p>
      <w:pPr>
        <w:spacing w:after="0" w:line="61" w:lineRule="exact"/>
        <w:rPr>
          <w:rFonts w:ascii="Arial" w:cs="Arial" w:eastAsia="Arial" w:hAnsi="Arial"/>
          <w:sz w:val="16"/>
          <w:szCs w:val="16"/>
          <w:color w:val="0033A0"/>
        </w:rPr>
      </w:pPr>
    </w:p>
    <w:p>
      <w:pPr>
        <w:jc w:val="both"/>
        <w:ind w:left="420" w:right="40" w:hanging="216"/>
        <w:spacing w:after="0" w:line="266" w:lineRule="auto"/>
        <w:tabs>
          <w:tab w:leader="none" w:pos="420" w:val="left"/>
        </w:tabs>
        <w:numPr>
          <w:ilvl w:val="0"/>
          <w:numId w:val="73"/>
        </w:numPr>
        <w:rPr>
          <w:rFonts w:ascii="Arial" w:cs="Arial" w:eastAsia="Arial" w:hAnsi="Arial"/>
          <w:sz w:val="16"/>
          <w:szCs w:val="16"/>
          <w:color w:val="0033A0"/>
        </w:rPr>
      </w:pPr>
      <w:r>
        <w:rPr>
          <w:rFonts w:ascii="Arial" w:cs="Arial" w:eastAsia="Arial" w:hAnsi="Arial"/>
          <w:sz w:val="16"/>
          <w:szCs w:val="16"/>
          <w:b w:val="1"/>
          <w:bCs w:val="1"/>
          <w:color w:val="0033A0"/>
        </w:rPr>
        <w:t xml:space="preserve">STIP </w:t>
      </w:r>
      <w:r>
        <w:rPr>
          <w:rFonts w:ascii="Arial" w:cs="Arial" w:eastAsia="Arial" w:hAnsi="Arial"/>
          <w:sz w:val="16"/>
          <w:szCs w:val="16"/>
          <w:color w:val="000000"/>
        </w:rPr>
        <w:t>– The STIP is an annual cash incentive plan. The STIP rewards each NEO based on the achievement of annual Company financial goals and</w:t>
      </w:r>
      <w:r>
        <w:rPr>
          <w:rFonts w:ascii="Arial" w:cs="Arial" w:eastAsia="Arial" w:hAnsi="Arial"/>
          <w:sz w:val="16"/>
          <w:szCs w:val="16"/>
          <w:b w:val="1"/>
          <w:bCs w:val="1"/>
          <w:color w:val="0033A0"/>
        </w:rPr>
        <w:t xml:space="preserve"> </w:t>
      </w:r>
      <w:r>
        <w:rPr>
          <w:rFonts w:ascii="Arial" w:cs="Arial" w:eastAsia="Arial" w:hAnsi="Arial"/>
          <w:sz w:val="16"/>
          <w:szCs w:val="16"/>
          <w:color w:val="000000"/>
        </w:rPr>
        <w:t>individual performance results. The potential payout ranges from 0% to 200% of target, based on actual Company performance and individual performance;</w:t>
      </w:r>
    </w:p>
    <w:p>
      <w:pPr>
        <w:spacing w:after="0" w:line="77" w:lineRule="exact"/>
        <w:rPr>
          <w:rFonts w:ascii="Arial" w:cs="Arial" w:eastAsia="Arial" w:hAnsi="Arial"/>
          <w:sz w:val="16"/>
          <w:szCs w:val="16"/>
          <w:color w:val="0033A0"/>
        </w:rPr>
      </w:pPr>
    </w:p>
    <w:p>
      <w:pPr>
        <w:jc w:val="both"/>
        <w:ind w:left="420" w:right="40" w:hanging="216"/>
        <w:spacing w:after="0" w:line="266" w:lineRule="auto"/>
        <w:tabs>
          <w:tab w:leader="none" w:pos="420" w:val="left"/>
        </w:tabs>
        <w:numPr>
          <w:ilvl w:val="0"/>
          <w:numId w:val="73"/>
        </w:numPr>
        <w:rPr>
          <w:rFonts w:ascii="Arial" w:cs="Arial" w:eastAsia="Arial" w:hAnsi="Arial"/>
          <w:sz w:val="16"/>
          <w:szCs w:val="16"/>
          <w:color w:val="0033A0"/>
        </w:rPr>
      </w:pPr>
      <w:r>
        <w:rPr>
          <w:rFonts w:ascii="Arial" w:cs="Arial" w:eastAsia="Arial" w:hAnsi="Arial"/>
          <w:sz w:val="16"/>
          <w:szCs w:val="16"/>
          <w:b w:val="1"/>
          <w:bCs w:val="1"/>
          <w:color w:val="0033A0"/>
        </w:rPr>
        <w:t xml:space="preserve">PSUs </w:t>
      </w:r>
      <w:r>
        <w:rPr>
          <w:rFonts w:ascii="Arial" w:cs="Arial" w:eastAsia="Arial" w:hAnsi="Arial"/>
          <w:sz w:val="16"/>
          <w:szCs w:val="16"/>
          <w:color w:val="000000"/>
        </w:rPr>
        <w:t>– PSUs are equity awards designed to align each NEO’s interests with the long-term interests of the Company and its shareholders. PSUs can</w:t>
      </w:r>
      <w:r>
        <w:rPr>
          <w:rFonts w:ascii="Arial" w:cs="Arial" w:eastAsia="Arial" w:hAnsi="Arial"/>
          <w:sz w:val="16"/>
          <w:szCs w:val="16"/>
          <w:b w:val="1"/>
          <w:bCs w:val="1"/>
          <w:color w:val="0033A0"/>
        </w:rPr>
        <w:t xml:space="preserve"> </w:t>
      </w:r>
      <w:r>
        <w:rPr>
          <w:rFonts w:ascii="Arial" w:cs="Arial" w:eastAsia="Arial" w:hAnsi="Arial"/>
          <w:sz w:val="16"/>
          <w:szCs w:val="16"/>
          <w:color w:val="000000"/>
        </w:rPr>
        <w:t>be earned at a level from 0% to 200% of target, based on the actual Company performance against Relative ROIC-adjusted and Relative TSR over the three-year performance period beginning January 1, 2017; and</w:t>
      </w:r>
    </w:p>
    <w:p>
      <w:pPr>
        <w:spacing w:after="0" w:line="77" w:lineRule="exact"/>
        <w:rPr>
          <w:rFonts w:ascii="Arial" w:cs="Arial" w:eastAsia="Arial" w:hAnsi="Arial"/>
          <w:sz w:val="16"/>
          <w:szCs w:val="16"/>
          <w:color w:val="0033A0"/>
        </w:rPr>
      </w:pPr>
    </w:p>
    <w:p>
      <w:pPr>
        <w:ind w:left="420" w:right="40" w:hanging="216"/>
        <w:spacing w:after="0" w:line="286" w:lineRule="auto"/>
        <w:tabs>
          <w:tab w:leader="none" w:pos="420" w:val="left"/>
        </w:tabs>
        <w:numPr>
          <w:ilvl w:val="0"/>
          <w:numId w:val="73"/>
        </w:numPr>
        <w:rPr>
          <w:rFonts w:ascii="Arial" w:cs="Arial" w:eastAsia="Arial" w:hAnsi="Arial"/>
          <w:sz w:val="16"/>
          <w:szCs w:val="16"/>
          <w:color w:val="0033A0"/>
        </w:rPr>
      </w:pPr>
      <w:r>
        <w:rPr>
          <w:rFonts w:ascii="Arial" w:cs="Arial" w:eastAsia="Arial" w:hAnsi="Arial"/>
          <w:sz w:val="16"/>
          <w:szCs w:val="16"/>
          <w:b w:val="1"/>
          <w:bCs w:val="1"/>
          <w:color w:val="0033A0"/>
        </w:rPr>
        <w:t xml:space="preserve">Stock Options </w:t>
      </w:r>
      <w:r>
        <w:rPr>
          <w:rFonts w:ascii="Arial" w:cs="Arial" w:eastAsia="Arial" w:hAnsi="Arial"/>
          <w:sz w:val="16"/>
          <w:szCs w:val="16"/>
          <w:color w:val="000000"/>
        </w:rPr>
        <w:t>– Stock options are time-based equity awards vesting ratably over a three-year period. Stock options align the interests of our most</w:t>
      </w:r>
      <w:r>
        <w:rPr>
          <w:rFonts w:ascii="Arial" w:cs="Arial" w:eastAsia="Arial" w:hAnsi="Arial"/>
          <w:sz w:val="16"/>
          <w:szCs w:val="16"/>
          <w:b w:val="1"/>
          <w:bCs w:val="1"/>
          <w:color w:val="0033A0"/>
        </w:rPr>
        <w:t xml:space="preserve"> </w:t>
      </w:r>
      <w:r>
        <w:rPr>
          <w:rFonts w:ascii="Arial" w:cs="Arial" w:eastAsia="Arial" w:hAnsi="Arial"/>
          <w:sz w:val="16"/>
          <w:szCs w:val="16"/>
          <w:color w:val="000000"/>
        </w:rPr>
        <w:t>senior executives with our shareholders’ interest in stock price appreciation and allow our leaders to share in the gains with shareholders.</w:t>
      </w:r>
    </w:p>
    <w:p>
      <w:pPr>
        <w:spacing w:after="0" w:line="108"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25"/>
          <w:szCs w:val="25"/>
          <w:color w:val="0033A0"/>
        </w:rPr>
      </w:pPr>
      <w:r>
        <w:rPr>
          <w:rFonts w:ascii="Arial" w:cs="Arial" w:eastAsia="Arial" w:hAnsi="Arial"/>
          <w:sz w:val="25"/>
          <w:szCs w:val="25"/>
          <w:color w:val="auto"/>
        </w:rPr>
        <w:t>Perquisites and Other Compensation</w:t>
      </w:r>
    </w:p>
    <w:p>
      <w:pPr>
        <w:spacing w:after="0" w:line="186"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We provide perquisites and other compensation to our NEOs consistent with market practices. The following perquisites and other compensation were provided to NEOs in 2017:</w:t>
      </w:r>
    </w:p>
    <w:p>
      <w:pPr>
        <w:spacing w:after="0" w:line="41" w:lineRule="exact"/>
        <w:rPr>
          <w:sz w:val="20"/>
          <w:szCs w:val="20"/>
          <w:color w:val="auto"/>
        </w:rPr>
      </w:pPr>
    </w:p>
    <w:p>
      <w:pPr>
        <w:jc w:val="both"/>
        <w:ind w:left="420" w:right="40" w:hanging="216"/>
        <w:spacing w:after="0" w:line="256" w:lineRule="auto"/>
        <w:tabs>
          <w:tab w:leader="none" w:pos="420" w:val="left"/>
        </w:tabs>
        <w:numPr>
          <w:ilvl w:val="0"/>
          <w:numId w:val="75"/>
        </w:numPr>
        <w:rPr>
          <w:rFonts w:ascii="Arial" w:cs="Arial" w:eastAsia="Arial" w:hAnsi="Arial"/>
          <w:sz w:val="16"/>
          <w:szCs w:val="16"/>
          <w:color w:val="0033A0"/>
        </w:rPr>
      </w:pPr>
      <w:r>
        <w:rPr>
          <w:rFonts w:ascii="Arial" w:cs="Arial" w:eastAsia="Arial" w:hAnsi="Arial"/>
          <w:sz w:val="16"/>
          <w:szCs w:val="16"/>
          <w:b w:val="1"/>
          <w:bCs w:val="1"/>
          <w:color w:val="0033A0"/>
        </w:rPr>
        <w:t xml:space="preserve">Personal Air Travel </w:t>
      </w:r>
      <w:r>
        <w:rPr>
          <w:rFonts w:ascii="Arial" w:cs="Arial" w:eastAsia="Arial" w:hAnsi="Arial"/>
          <w:sz w:val="16"/>
          <w:szCs w:val="16"/>
          <w:color w:val="000000"/>
        </w:rPr>
        <w:t>– Ms. Barra is prohibited by Company policy from commercial air travel due to security reasons identified by an independent third-party security consultant. As a result, the Company pays the costs associated with the use of private aircraft for both business and personal use. Ms. Barra is permitted to be accompanied by guests for personal travel and incurs imputed income for all passengers, including herself, at the U.S. Internal Revenue Service (the “IRS”) Standard Industry Fair Level rates. Other NEOs may travel on private aircraft in certain circumstances with prior approval from the CEO or the Senior Vice President, Global Human Resources, and also incur imputed income for any personal travel.</w:t>
      </w:r>
    </w:p>
    <w:p>
      <w:pPr>
        <w:spacing w:after="0" w:line="45" w:lineRule="exact"/>
        <w:rPr>
          <w:rFonts w:ascii="Arial" w:cs="Arial" w:eastAsia="Arial" w:hAnsi="Arial"/>
          <w:sz w:val="16"/>
          <w:szCs w:val="16"/>
          <w:color w:val="0033A0"/>
        </w:rPr>
      </w:pPr>
    </w:p>
    <w:p>
      <w:pPr>
        <w:jc w:val="both"/>
        <w:ind w:left="420" w:right="40" w:hanging="216"/>
        <w:spacing w:after="0" w:line="266" w:lineRule="auto"/>
        <w:tabs>
          <w:tab w:leader="none" w:pos="420" w:val="left"/>
        </w:tabs>
        <w:numPr>
          <w:ilvl w:val="0"/>
          <w:numId w:val="75"/>
        </w:numPr>
        <w:rPr>
          <w:rFonts w:ascii="Arial" w:cs="Arial" w:eastAsia="Arial" w:hAnsi="Arial"/>
          <w:sz w:val="16"/>
          <w:szCs w:val="16"/>
          <w:color w:val="0033A0"/>
        </w:rPr>
      </w:pPr>
      <w:r>
        <w:rPr>
          <w:rFonts w:ascii="Arial" w:cs="Arial" w:eastAsia="Arial" w:hAnsi="Arial"/>
          <w:sz w:val="16"/>
          <w:szCs w:val="16"/>
          <w:b w:val="1"/>
          <w:bCs w:val="1"/>
          <w:color w:val="0033A0"/>
        </w:rPr>
        <w:t xml:space="preserve">Company Vehicle Programs </w:t>
      </w:r>
      <w:r>
        <w:rPr>
          <w:rFonts w:ascii="Arial" w:cs="Arial" w:eastAsia="Arial" w:hAnsi="Arial"/>
          <w:sz w:val="16"/>
          <w:szCs w:val="16"/>
          <w:color w:val="000000"/>
        </w:rPr>
        <w:t>– NEOs are eligible to participate in the Executive Company Vehicle Program and are allowed to use evaluation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vehicles for the purpose of providing feedback on Company products. In addition, NEOs are eligible to use driver services provided by the Company and in accordance with Company policies.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4" w:lineRule="exact"/>
        <w:rPr>
          <w:sz w:val="20"/>
          <w:szCs w:val="20"/>
          <w:color w:val="auto"/>
        </w:rPr>
      </w:pPr>
    </w:p>
    <w:p>
      <w:pPr>
        <w:ind w:left="420" w:right="20" w:hanging="216"/>
        <w:spacing w:after="0" w:line="286" w:lineRule="auto"/>
        <w:tabs>
          <w:tab w:leader="none" w:pos="420"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Security </w:t>
      </w:r>
      <w:r>
        <w:rPr>
          <w:rFonts w:ascii="Arial" w:cs="Arial" w:eastAsia="Arial" w:hAnsi="Arial"/>
          <w:sz w:val="16"/>
          <w:szCs w:val="16"/>
          <w:color w:val="000000"/>
        </w:rPr>
        <w:t>– NEOs may receive security services, including home security systems and monitoring, for specific security-related reasons identified by</w:t>
      </w:r>
      <w:r>
        <w:rPr>
          <w:rFonts w:ascii="Arial" w:cs="Arial" w:eastAsia="Arial" w:hAnsi="Arial"/>
          <w:sz w:val="16"/>
          <w:szCs w:val="16"/>
          <w:b w:val="1"/>
          <w:bCs w:val="1"/>
          <w:color w:val="0033A0"/>
        </w:rPr>
        <w:t xml:space="preserve"> </w:t>
      </w:r>
      <w:r>
        <w:rPr>
          <w:rFonts w:ascii="Arial" w:cs="Arial" w:eastAsia="Arial" w:hAnsi="Arial"/>
          <w:sz w:val="16"/>
          <w:szCs w:val="16"/>
          <w:color w:val="000000"/>
        </w:rPr>
        <w:t>independent third-party security consultants.</w:t>
      </w:r>
    </w:p>
    <w:p>
      <w:pPr>
        <w:spacing w:after="0" w:line="20" w:lineRule="exact"/>
        <w:rPr>
          <w:rFonts w:ascii="Arial" w:cs="Arial" w:eastAsia="Arial" w:hAnsi="Arial"/>
          <w:sz w:val="16"/>
          <w:szCs w:val="16"/>
          <w:color w:val="0033A0"/>
        </w:rPr>
      </w:pPr>
    </w:p>
    <w:p>
      <w:pPr>
        <w:ind w:left="420" w:hanging="216"/>
        <w:spacing w:after="0"/>
        <w:tabs>
          <w:tab w:leader="none" w:pos="420"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Financial Counseling </w:t>
      </w:r>
      <w:r>
        <w:rPr>
          <w:rFonts w:ascii="Arial" w:cs="Arial" w:eastAsia="Arial" w:hAnsi="Arial"/>
          <w:sz w:val="16"/>
          <w:szCs w:val="16"/>
          <w:color w:val="000000"/>
        </w:rPr>
        <w:t>– NEOs are eligible to receive financial counseling, estate planning, and tax preparation services through an approved provider.</w:t>
      </w:r>
    </w:p>
    <w:p>
      <w:pPr>
        <w:spacing w:after="0" w:line="86" w:lineRule="exact"/>
        <w:rPr>
          <w:rFonts w:ascii="Arial" w:cs="Arial" w:eastAsia="Arial" w:hAnsi="Arial"/>
          <w:sz w:val="16"/>
          <w:szCs w:val="16"/>
          <w:color w:val="0033A0"/>
        </w:rPr>
      </w:pPr>
    </w:p>
    <w:p>
      <w:pPr>
        <w:ind w:left="420" w:hanging="216"/>
        <w:spacing w:after="0"/>
        <w:tabs>
          <w:tab w:leader="none" w:pos="420"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Executive Physicals </w:t>
      </w:r>
      <w:r>
        <w:rPr>
          <w:rFonts w:ascii="Arial" w:cs="Arial" w:eastAsia="Arial" w:hAnsi="Arial"/>
          <w:sz w:val="16"/>
          <w:szCs w:val="16"/>
          <w:color w:val="000000"/>
        </w:rPr>
        <w:t>– NEOs are eligible to receive executive physicals with approved providers.</w:t>
      </w:r>
    </w:p>
    <w:p>
      <w:pPr>
        <w:spacing w:after="0" w:line="362"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25"/>
          <w:szCs w:val="25"/>
          <w:color w:val="0033A0"/>
        </w:rPr>
      </w:pPr>
      <w:r>
        <w:rPr>
          <w:rFonts w:ascii="Arial" w:cs="Arial" w:eastAsia="Arial" w:hAnsi="Arial"/>
          <w:sz w:val="25"/>
          <w:szCs w:val="25"/>
          <w:color w:val="auto"/>
        </w:rPr>
        <w:t>2017 Target Compensation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target total direct compensation for each NEO in 2017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LTIP</w:t>
            </w:r>
          </w:p>
        </w:tc>
        <w:tc>
          <w:tcPr>
            <w:tcW w:w="760" w:type="dxa"/>
            <w:vAlign w:val="bottom"/>
            <w:tcBorders>
              <w:bottom w:val="single" w:sz="8" w:color="00A1DF"/>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jc w:val="right"/>
              <w:ind w:right="51"/>
              <w:spacing w:after="0" w:line="141" w:lineRule="exact"/>
              <w:rPr>
                <w:sz w:val="20"/>
                <w:szCs w:val="20"/>
                <w:color w:val="auto"/>
              </w:rPr>
            </w:pPr>
            <w:r>
              <w:rPr>
                <w:rFonts w:ascii="Arial" w:cs="Arial" w:eastAsia="Arial" w:hAnsi="Arial"/>
                <w:sz w:val="15"/>
                <w:szCs w:val="15"/>
                <w:b w:val="1"/>
                <w:bCs w:val="1"/>
                <w:color w:val="00A1DF"/>
              </w:rPr>
              <w:t>Annual Base</w:t>
            </w:r>
          </w:p>
        </w:tc>
        <w:tc>
          <w:tcPr>
            <w:tcW w:w="720" w:type="dxa"/>
            <w:vAlign w:val="bottom"/>
            <w:vMerge w:val="restart"/>
          </w:tcPr>
          <w:p>
            <w:pPr>
              <w:jc w:val="right"/>
              <w:ind w:right="183"/>
              <w:spacing w:after="0" w:line="166" w:lineRule="exact"/>
              <w:rPr>
                <w:sz w:val="20"/>
                <w:szCs w:val="20"/>
                <w:color w:val="auto"/>
              </w:rPr>
            </w:pPr>
            <w:r>
              <w:rPr>
                <w:rFonts w:ascii="Arial" w:cs="Arial" w:eastAsia="Arial" w:hAnsi="Arial"/>
                <w:sz w:val="15"/>
                <w:szCs w:val="15"/>
                <w:b w:val="1"/>
                <w:bCs w:val="1"/>
                <w:color w:val="00A1DF"/>
              </w:rPr>
              <w:t>STIP</w:t>
            </w:r>
          </w:p>
        </w:tc>
        <w:tc>
          <w:tcPr>
            <w:tcW w:w="920" w:type="dxa"/>
            <w:vAlign w:val="bottom"/>
            <w:vMerge w:val="restart"/>
          </w:tcPr>
          <w:p>
            <w:pPr>
              <w:jc w:val="right"/>
              <w:ind w:right="23"/>
              <w:spacing w:after="0" w:line="166" w:lineRule="exact"/>
              <w:rPr>
                <w:sz w:val="20"/>
                <w:szCs w:val="20"/>
                <w:color w:val="auto"/>
              </w:rPr>
            </w:pPr>
            <w:r>
              <w:rPr>
                <w:rFonts w:ascii="Arial" w:cs="Arial" w:eastAsia="Arial" w:hAnsi="Arial"/>
                <w:sz w:val="15"/>
                <w:szCs w:val="15"/>
                <w:b w:val="1"/>
                <w:bCs w:val="1"/>
                <w:color w:val="00A1DF"/>
              </w:rPr>
              <w:t>STIP</w:t>
            </w:r>
          </w:p>
        </w:tc>
        <w:tc>
          <w:tcPr>
            <w:tcW w:w="1780" w:type="dxa"/>
            <w:vAlign w:val="bottom"/>
          </w:tcPr>
          <w:p>
            <w:pPr>
              <w:jc w:val="right"/>
              <w:ind w:right="311"/>
              <w:spacing w:after="0" w:line="141" w:lineRule="exact"/>
              <w:rPr>
                <w:sz w:val="20"/>
                <w:szCs w:val="20"/>
                <w:color w:val="auto"/>
              </w:rPr>
            </w:pPr>
            <w:r>
              <w:rPr>
                <w:rFonts w:ascii="Arial" w:cs="Arial" w:eastAsia="Arial" w:hAnsi="Arial"/>
                <w:sz w:val="15"/>
                <w:szCs w:val="15"/>
                <w:b w:val="1"/>
                <w:bCs w:val="1"/>
                <w:color w:val="00A1DF"/>
              </w:rPr>
              <w:t>Target Total Cash</w:t>
            </w:r>
          </w:p>
        </w:tc>
        <w:tc>
          <w:tcPr>
            <w:tcW w:w="1200" w:type="dxa"/>
            <w:vAlign w:val="bottom"/>
            <w:vMerge w:val="restart"/>
          </w:tcPr>
          <w:p>
            <w:pPr>
              <w:jc w:val="right"/>
              <w:ind w:right="365"/>
              <w:spacing w:after="0" w:line="166" w:lineRule="exact"/>
              <w:rPr>
                <w:sz w:val="20"/>
                <w:szCs w:val="20"/>
                <w:color w:val="auto"/>
              </w:rPr>
            </w:pPr>
            <w:r>
              <w:rPr>
                <w:rFonts w:ascii="Arial" w:cs="Arial" w:eastAsia="Arial" w:hAnsi="Arial"/>
                <w:sz w:val="15"/>
                <w:szCs w:val="15"/>
                <w:b w:val="1"/>
                <w:bCs w:val="1"/>
                <w:color w:val="00A1DF"/>
              </w:rPr>
              <w:t>PSUs</w:t>
            </w:r>
          </w:p>
        </w:tc>
        <w:tc>
          <w:tcPr>
            <w:tcW w:w="760" w:type="dxa"/>
            <w:vAlign w:val="bottom"/>
          </w:tcPr>
          <w:p>
            <w:pPr>
              <w:jc w:val="right"/>
              <w:spacing w:after="0" w:line="141" w:lineRule="exact"/>
              <w:rPr>
                <w:sz w:val="20"/>
                <w:szCs w:val="20"/>
                <w:color w:val="auto"/>
              </w:rPr>
            </w:pPr>
            <w:r>
              <w:rPr>
                <w:rFonts w:ascii="Arial" w:cs="Arial" w:eastAsia="Arial" w:hAnsi="Arial"/>
                <w:sz w:val="15"/>
                <w:szCs w:val="15"/>
                <w:b w:val="1"/>
                <w:bCs w:val="1"/>
                <w:color w:val="00A1DF"/>
              </w:rPr>
              <w:t>Stock</w:t>
            </w:r>
          </w:p>
        </w:tc>
        <w:tc>
          <w:tcPr>
            <w:tcW w:w="1300" w:type="dxa"/>
            <w:vAlign w:val="bottom"/>
          </w:tcPr>
          <w:p>
            <w:pPr>
              <w:jc w:val="right"/>
              <w:spacing w:after="0" w:line="141" w:lineRule="exact"/>
              <w:rPr>
                <w:sz w:val="20"/>
                <w:szCs w:val="20"/>
                <w:color w:val="auto"/>
              </w:rPr>
            </w:pPr>
            <w:r>
              <w:rPr>
                <w:rFonts w:ascii="Arial" w:cs="Arial" w:eastAsia="Arial" w:hAnsi="Arial"/>
                <w:sz w:val="15"/>
                <w:szCs w:val="15"/>
                <w:b w:val="1"/>
                <w:bCs w:val="1"/>
                <w:color w:val="00A1DF"/>
              </w:rPr>
              <w:t>Target Total</w:t>
            </w:r>
          </w:p>
        </w:tc>
        <w:tc>
          <w:tcPr>
            <w:tcW w:w="0" w:type="dxa"/>
            <w:vAlign w:val="bottom"/>
          </w:tcPr>
          <w:p>
            <w:pPr>
              <w:spacing w:after="0"/>
              <w:rPr>
                <w:sz w:val="1"/>
                <w:szCs w:val="1"/>
                <w:color w:val="auto"/>
              </w:rPr>
            </w:pPr>
          </w:p>
        </w:tc>
      </w:tr>
      <w:tr>
        <w:trPr>
          <w:trHeight w:val="25"/>
        </w:trPr>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0" w:type="dxa"/>
            <w:vAlign w:val="bottom"/>
          </w:tcPr>
          <w:p>
            <w:pPr>
              <w:jc w:val="right"/>
              <w:ind w:right="51"/>
              <w:spacing w:after="0"/>
              <w:rPr>
                <w:sz w:val="20"/>
                <w:szCs w:val="20"/>
                <w:color w:val="auto"/>
              </w:rPr>
            </w:pPr>
            <w:r>
              <w:rPr>
                <w:rFonts w:ascii="Arial" w:cs="Arial" w:eastAsia="Arial" w:hAnsi="Arial"/>
                <w:sz w:val="2"/>
                <w:szCs w:val="2"/>
                <w:b w:val="1"/>
                <w:bCs w:val="1"/>
                <w:color w:val="00A1DF"/>
              </w:rPr>
              <w:t>Salary</w:t>
            </w:r>
          </w:p>
        </w:tc>
        <w:tc>
          <w:tcPr>
            <w:tcW w:w="7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780" w:type="dxa"/>
            <w:vAlign w:val="bottom"/>
          </w:tcPr>
          <w:p>
            <w:pPr>
              <w:jc w:val="right"/>
              <w:ind w:right="311"/>
              <w:spacing w:after="0"/>
              <w:rPr>
                <w:sz w:val="20"/>
                <w:szCs w:val="20"/>
                <w:color w:val="auto"/>
              </w:rPr>
            </w:pPr>
            <w:r>
              <w:rPr>
                <w:rFonts w:ascii="Arial" w:cs="Arial" w:eastAsia="Arial" w:hAnsi="Arial"/>
                <w:sz w:val="2"/>
                <w:szCs w:val="2"/>
                <w:b w:val="1"/>
                <w:bCs w:val="1"/>
                <w:color w:val="00A1DF"/>
              </w:rPr>
              <w:t>Compensation</w:t>
            </w:r>
          </w:p>
        </w:tc>
        <w:tc>
          <w:tcPr>
            <w:tcW w:w="1200" w:type="dxa"/>
            <w:vAlign w:val="bottom"/>
            <w:vMerge w:val="continue"/>
          </w:tcPr>
          <w:p>
            <w:pPr>
              <w:spacing w:after="0"/>
              <w:rPr>
                <w:sz w:val="2"/>
                <w:szCs w:val="2"/>
                <w:color w:val="auto"/>
              </w:rPr>
            </w:pPr>
          </w:p>
        </w:tc>
        <w:tc>
          <w:tcPr>
            <w:tcW w:w="760" w:type="dxa"/>
            <w:vAlign w:val="bottom"/>
          </w:tcPr>
          <w:p>
            <w:pPr>
              <w:jc w:val="right"/>
              <w:spacing w:after="0"/>
              <w:rPr>
                <w:sz w:val="20"/>
                <w:szCs w:val="20"/>
                <w:color w:val="auto"/>
              </w:rPr>
            </w:pPr>
            <w:r>
              <w:rPr>
                <w:rFonts w:ascii="Arial" w:cs="Arial" w:eastAsia="Arial" w:hAnsi="Arial"/>
                <w:sz w:val="2"/>
                <w:szCs w:val="2"/>
                <w:b w:val="1"/>
                <w:bCs w:val="1"/>
                <w:color w:val="00A1DF"/>
              </w:rPr>
              <w:t>Options</w:t>
            </w:r>
          </w:p>
        </w:tc>
        <w:tc>
          <w:tcPr>
            <w:tcW w:w="1300" w:type="dxa"/>
            <w:vAlign w:val="bottom"/>
          </w:tcPr>
          <w:p>
            <w:pPr>
              <w:jc w:val="right"/>
              <w:spacing w:after="0"/>
              <w:rPr>
                <w:sz w:val="20"/>
                <w:szCs w:val="20"/>
                <w:color w:val="auto"/>
              </w:rPr>
            </w:pPr>
            <w:r>
              <w:rPr>
                <w:rFonts w:ascii="Arial" w:cs="Arial" w:eastAsia="Arial" w:hAnsi="Arial"/>
                <w:sz w:val="2"/>
                <w:szCs w:val="2"/>
                <w:b w:val="1"/>
                <w:bCs w:val="1"/>
                <w:color w:val="00A1DF"/>
              </w:rPr>
              <w:t>Compensation</w:t>
            </w:r>
          </w:p>
        </w:tc>
        <w:tc>
          <w:tcPr>
            <w:tcW w:w="0" w:type="dxa"/>
            <w:vAlign w:val="bottom"/>
          </w:tcPr>
          <w:p>
            <w:pPr>
              <w:spacing w:after="0" w:line="20" w:lineRule="exact"/>
              <w:rPr>
                <w:sz w:val="1"/>
                <w:szCs w:val="1"/>
                <w:color w:val="auto"/>
              </w:rPr>
            </w:pPr>
          </w:p>
        </w:tc>
      </w:tr>
      <w:tr>
        <w:trPr>
          <w:trHeight w:val="137"/>
        </w:trPr>
        <w:tc>
          <w:tcPr>
            <w:tcW w:w="1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0" w:type="dxa"/>
            <w:vAlign w:val="bottom"/>
          </w:tcPr>
          <w:p>
            <w:pPr>
              <w:jc w:val="right"/>
              <w:ind w:right="205"/>
              <w:spacing w:after="0" w:line="137" w:lineRule="exact"/>
              <w:rPr>
                <w:sz w:val="20"/>
                <w:szCs w:val="20"/>
                <w:color w:val="auto"/>
              </w:rPr>
            </w:pPr>
            <w:r>
              <w:rPr>
                <w:rFonts w:ascii="Arial" w:cs="Arial" w:eastAsia="Arial" w:hAnsi="Arial"/>
                <w:sz w:val="13"/>
                <w:szCs w:val="13"/>
                <w:b w:val="1"/>
                <w:bCs w:val="1"/>
                <w:color w:val="00A1DF"/>
              </w:rPr>
              <w:t>(2)</w:t>
            </w: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64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w:t>
            </w:r>
          </w:p>
        </w:tc>
        <w:tc>
          <w:tcPr>
            <w:tcW w:w="900" w:type="dxa"/>
            <w:vAlign w:val="bottom"/>
            <w:tcBorders>
              <w:bottom w:val="single" w:sz="8" w:color="00A1DF"/>
            </w:tcBorders>
          </w:tcPr>
          <w:p>
            <w:pPr>
              <w:spacing w:after="0"/>
              <w:rPr>
                <w:sz w:val="17"/>
                <w:szCs w:val="17"/>
                <w:color w:val="auto"/>
              </w:rPr>
            </w:pPr>
          </w:p>
        </w:tc>
        <w:tc>
          <w:tcPr>
            <w:tcW w:w="1800" w:type="dxa"/>
            <w:vAlign w:val="bottom"/>
            <w:tcBorders>
              <w:bottom w:val="single" w:sz="8" w:color="00A1DF"/>
            </w:tcBorders>
          </w:tcPr>
          <w:p>
            <w:pPr>
              <w:jc w:val="right"/>
              <w:ind w:right="51"/>
              <w:spacing w:after="0"/>
              <w:rPr>
                <w:sz w:val="20"/>
                <w:szCs w:val="20"/>
                <w:color w:val="auto"/>
              </w:rPr>
            </w:pPr>
            <w:r>
              <w:rPr>
                <w:rFonts w:ascii="Arial" w:cs="Arial" w:eastAsia="Arial" w:hAnsi="Arial"/>
                <w:sz w:val="15"/>
                <w:szCs w:val="15"/>
                <w:b w:val="1"/>
                <w:bCs w:val="1"/>
                <w:color w:val="00A1DF"/>
              </w:rPr>
              <w:t>($)</w:t>
            </w:r>
          </w:p>
        </w:tc>
        <w:tc>
          <w:tcPr>
            <w:tcW w:w="720" w:type="dxa"/>
            <w:vAlign w:val="bottom"/>
            <w:tcBorders>
              <w:bottom w:val="single" w:sz="8" w:color="00A1DF"/>
            </w:tcBorders>
          </w:tcPr>
          <w:p>
            <w:pPr>
              <w:jc w:val="right"/>
              <w:ind w:right="183"/>
              <w:spacing w:after="0"/>
              <w:rPr>
                <w:sz w:val="20"/>
                <w:szCs w:val="20"/>
                <w:color w:val="auto"/>
              </w:rPr>
            </w:pPr>
            <w:r>
              <w:rPr>
                <w:rFonts w:ascii="Arial" w:cs="Arial" w:eastAsia="Arial" w:hAnsi="Arial"/>
                <w:sz w:val="15"/>
                <w:szCs w:val="15"/>
                <w:b w:val="1"/>
                <w:bCs w:val="1"/>
                <w:color w:val="00A1DF"/>
              </w:rPr>
              <w:t>(%)</w:t>
            </w:r>
          </w:p>
        </w:tc>
        <w:tc>
          <w:tcPr>
            <w:tcW w:w="920" w:type="dxa"/>
            <w:vAlign w:val="bottom"/>
            <w:tcBorders>
              <w:bottom w:val="single" w:sz="8" w:color="00A1DF"/>
            </w:tcBorders>
          </w:tcPr>
          <w:p>
            <w:pPr>
              <w:jc w:val="right"/>
              <w:ind w:right="23"/>
              <w:spacing w:after="0"/>
              <w:rPr>
                <w:sz w:val="20"/>
                <w:szCs w:val="20"/>
                <w:color w:val="auto"/>
              </w:rPr>
            </w:pPr>
            <w:r>
              <w:rPr>
                <w:rFonts w:ascii="Arial" w:cs="Arial" w:eastAsia="Arial" w:hAnsi="Arial"/>
                <w:sz w:val="15"/>
                <w:szCs w:val="15"/>
                <w:b w:val="1"/>
                <w:bCs w:val="1"/>
                <w:color w:val="00A1DF"/>
              </w:rPr>
              <w:t>($)</w:t>
            </w:r>
          </w:p>
        </w:tc>
        <w:tc>
          <w:tcPr>
            <w:tcW w:w="1780" w:type="dxa"/>
            <w:vAlign w:val="bottom"/>
            <w:tcBorders>
              <w:bottom w:val="single" w:sz="8" w:color="00A1DF"/>
            </w:tcBorders>
          </w:tcPr>
          <w:p>
            <w:pPr>
              <w:jc w:val="right"/>
              <w:ind w:right="311"/>
              <w:spacing w:after="0"/>
              <w:rPr>
                <w:sz w:val="20"/>
                <w:szCs w:val="20"/>
                <w:color w:val="auto"/>
              </w:rPr>
            </w:pPr>
            <w:r>
              <w:rPr>
                <w:rFonts w:ascii="Arial" w:cs="Arial" w:eastAsia="Arial" w:hAnsi="Arial"/>
                <w:sz w:val="15"/>
                <w:szCs w:val="15"/>
                <w:b w:val="1"/>
                <w:bCs w:val="1"/>
                <w:color w:val="00A1DF"/>
              </w:rPr>
              <w:t>($)</w:t>
            </w:r>
          </w:p>
        </w:tc>
        <w:tc>
          <w:tcPr>
            <w:tcW w:w="1200" w:type="dxa"/>
            <w:vAlign w:val="bottom"/>
            <w:tcBorders>
              <w:bottom w:val="single" w:sz="8" w:color="00A1DF"/>
            </w:tcBorders>
          </w:tcPr>
          <w:p>
            <w:pPr>
              <w:jc w:val="right"/>
              <w:ind w:right="205"/>
              <w:spacing w:after="0"/>
              <w:rPr>
                <w:sz w:val="20"/>
                <w:szCs w:val="20"/>
                <w:color w:val="auto"/>
              </w:rPr>
            </w:pPr>
            <w:r>
              <w:rPr>
                <w:rFonts w:ascii="Arial" w:cs="Arial" w:eastAsia="Arial" w:hAnsi="Arial"/>
                <w:sz w:val="15"/>
                <w:szCs w:val="15"/>
                <w:b w:val="1"/>
                <w:bCs w:val="1"/>
                <w:color w:val="00A1DF"/>
              </w:rPr>
              <w:t>($)</w:t>
            </w:r>
          </w:p>
        </w:tc>
        <w:tc>
          <w:tcPr>
            <w:tcW w:w="7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c>
          <w:tcPr>
            <w:tcW w:w="13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Mary T. Barra</w:t>
            </w: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2,100,000</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200%</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4,200,000</w:t>
            </w: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6,300,000</w:t>
            </w: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9,750,000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3,250,000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19,300,000</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Charles K. Stevens, III</w:t>
            </w: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1,100,000</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125%</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1,375,000</w:t>
            </w: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2,475,000</w:t>
            </w: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2,793,750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931,250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6,200,000</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Daniel Ammann</w:t>
            </w: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1,450,000</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125%</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1,812,500</w:t>
            </w: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3,262,500</w:t>
            </w: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3,703,125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1,234,375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8,200,000</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Mark L. Reuss</w:t>
            </w: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1,200,000</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125%</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1,500,000</w:t>
            </w: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2,700,000</w:t>
            </w: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3,037,500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1,012,500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6,750,000</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Alan S. Batey</w:t>
            </w:r>
          </w:p>
        </w:tc>
        <w:tc>
          <w:tcPr>
            <w:tcW w:w="9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1,025,000</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125%</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1,281,300</w:t>
            </w: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2,306,300</w:t>
            </w: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2,020,275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673,425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5,000,000</w:t>
            </w:r>
          </w:p>
        </w:tc>
        <w:tc>
          <w:tcPr>
            <w:tcW w:w="0" w:type="dxa"/>
            <w:vAlign w:val="bottom"/>
          </w:tcPr>
          <w:p>
            <w:pPr>
              <w:spacing w:after="0"/>
              <w:rPr>
                <w:sz w:val="1"/>
                <w:szCs w:val="1"/>
                <w:color w:val="auto"/>
              </w:rPr>
            </w:pPr>
          </w:p>
        </w:tc>
      </w:tr>
      <w:tr>
        <w:trPr>
          <w:trHeight w:val="160"/>
        </w:trPr>
        <w:tc>
          <w:tcPr>
            <w:tcW w:w="1640" w:type="dxa"/>
            <w:vAlign w:val="bottom"/>
          </w:tcPr>
          <w:p>
            <w:pPr>
              <w:ind w:left="60"/>
              <w:spacing w:after="0" w:line="160" w:lineRule="exact"/>
              <w:rPr>
                <w:sz w:val="20"/>
                <w:szCs w:val="20"/>
                <w:color w:val="auto"/>
              </w:rPr>
            </w:pPr>
            <w:r>
              <w:rPr>
                <w:rFonts w:ascii="Arial" w:cs="Arial" w:eastAsia="Arial" w:hAnsi="Arial"/>
                <w:sz w:val="15"/>
                <w:szCs w:val="15"/>
                <w:color w:val="auto"/>
              </w:rPr>
              <w:t>Karl-Thomas Neumann</w:t>
            </w:r>
          </w:p>
        </w:tc>
        <w:tc>
          <w:tcPr>
            <w:tcW w:w="900" w:type="dxa"/>
            <w:vAlign w:val="bottom"/>
            <w:vMerge w:val="restart"/>
          </w:tcPr>
          <w:p>
            <w:pPr>
              <w:jc w:val="right"/>
              <w:ind w:right="675"/>
              <w:spacing w:after="0"/>
              <w:rPr>
                <w:sz w:val="20"/>
                <w:szCs w:val="20"/>
                <w:color w:val="auto"/>
              </w:rPr>
            </w:pPr>
            <w:r>
              <w:rPr>
                <w:rFonts w:ascii="Arial" w:cs="Arial" w:eastAsia="Arial" w:hAnsi="Arial"/>
                <w:sz w:val="13"/>
                <w:szCs w:val="13"/>
                <w:color w:val="auto"/>
                <w:w w:val="87"/>
              </w:rPr>
              <w:t>(1)</w:t>
            </w:r>
          </w:p>
        </w:tc>
        <w:tc>
          <w:tcPr>
            <w:tcW w:w="1800" w:type="dxa"/>
            <w:vAlign w:val="bottom"/>
          </w:tcPr>
          <w:p>
            <w:pPr>
              <w:jc w:val="right"/>
              <w:ind w:right="51"/>
              <w:spacing w:after="0" w:line="160" w:lineRule="exact"/>
              <w:rPr>
                <w:sz w:val="20"/>
                <w:szCs w:val="20"/>
                <w:color w:val="auto"/>
              </w:rPr>
            </w:pPr>
            <w:r>
              <w:rPr>
                <w:rFonts w:ascii="Arial" w:cs="Arial" w:eastAsia="Arial" w:hAnsi="Arial"/>
                <w:sz w:val="15"/>
                <w:szCs w:val="15"/>
                <w:color w:val="auto"/>
              </w:rPr>
              <w:t>1,050,000</w:t>
            </w:r>
          </w:p>
        </w:tc>
        <w:tc>
          <w:tcPr>
            <w:tcW w:w="720" w:type="dxa"/>
            <w:vAlign w:val="bottom"/>
          </w:tcPr>
          <w:p>
            <w:pPr>
              <w:jc w:val="right"/>
              <w:ind w:right="63"/>
              <w:spacing w:after="0" w:line="160" w:lineRule="exact"/>
              <w:rPr>
                <w:sz w:val="20"/>
                <w:szCs w:val="20"/>
                <w:color w:val="auto"/>
              </w:rPr>
            </w:pPr>
            <w:r>
              <w:rPr>
                <w:rFonts w:ascii="Arial" w:cs="Arial" w:eastAsia="Arial" w:hAnsi="Arial"/>
                <w:sz w:val="15"/>
                <w:szCs w:val="15"/>
                <w:color w:val="auto"/>
              </w:rPr>
              <w:t>125%</w:t>
            </w:r>
          </w:p>
        </w:tc>
        <w:tc>
          <w:tcPr>
            <w:tcW w:w="920" w:type="dxa"/>
            <w:vAlign w:val="bottom"/>
          </w:tcPr>
          <w:p>
            <w:pPr>
              <w:jc w:val="right"/>
              <w:ind w:right="23"/>
              <w:spacing w:after="0" w:line="160" w:lineRule="exact"/>
              <w:rPr>
                <w:sz w:val="20"/>
                <w:szCs w:val="20"/>
                <w:color w:val="auto"/>
              </w:rPr>
            </w:pPr>
            <w:r>
              <w:rPr>
                <w:rFonts w:ascii="Arial" w:cs="Arial" w:eastAsia="Arial" w:hAnsi="Arial"/>
                <w:sz w:val="15"/>
                <w:szCs w:val="15"/>
                <w:color w:val="auto"/>
              </w:rPr>
              <w:t>1,312,500</w:t>
            </w:r>
          </w:p>
        </w:tc>
        <w:tc>
          <w:tcPr>
            <w:tcW w:w="1780" w:type="dxa"/>
            <w:vAlign w:val="bottom"/>
          </w:tcPr>
          <w:p>
            <w:pPr>
              <w:jc w:val="right"/>
              <w:ind w:right="311"/>
              <w:spacing w:after="0" w:line="160" w:lineRule="exact"/>
              <w:rPr>
                <w:sz w:val="20"/>
                <w:szCs w:val="20"/>
                <w:color w:val="auto"/>
              </w:rPr>
            </w:pPr>
            <w:r>
              <w:rPr>
                <w:rFonts w:ascii="Arial" w:cs="Arial" w:eastAsia="Arial" w:hAnsi="Arial"/>
                <w:sz w:val="15"/>
                <w:szCs w:val="15"/>
                <w:b w:val="1"/>
                <w:bCs w:val="1"/>
                <w:color w:val="auto"/>
              </w:rPr>
              <w:t>2,362,500</w:t>
            </w:r>
          </w:p>
        </w:tc>
        <w:tc>
          <w:tcPr>
            <w:tcW w:w="1200" w:type="dxa"/>
            <w:vAlign w:val="bottom"/>
          </w:tcPr>
          <w:p>
            <w:pPr>
              <w:jc w:val="right"/>
              <w:ind w:right="205"/>
              <w:spacing w:after="0" w:line="160" w:lineRule="exact"/>
              <w:rPr>
                <w:sz w:val="20"/>
                <w:szCs w:val="20"/>
                <w:color w:val="auto"/>
              </w:rPr>
            </w:pPr>
            <w:r>
              <w:rPr>
                <w:rFonts w:ascii="Arial" w:cs="Arial" w:eastAsia="Arial" w:hAnsi="Arial"/>
                <w:sz w:val="15"/>
                <w:szCs w:val="15"/>
                <w:color w:val="auto"/>
              </w:rPr>
              <w:t>1,781,250</w:t>
            </w:r>
          </w:p>
        </w:tc>
        <w:tc>
          <w:tcPr>
            <w:tcW w:w="760" w:type="dxa"/>
            <w:vAlign w:val="bottom"/>
          </w:tcPr>
          <w:p>
            <w:pPr>
              <w:jc w:val="right"/>
              <w:spacing w:after="0" w:line="160" w:lineRule="exact"/>
              <w:rPr>
                <w:sz w:val="20"/>
                <w:szCs w:val="20"/>
                <w:color w:val="auto"/>
              </w:rPr>
            </w:pPr>
            <w:r>
              <w:rPr>
                <w:rFonts w:ascii="Arial" w:cs="Arial" w:eastAsia="Arial" w:hAnsi="Arial"/>
                <w:sz w:val="15"/>
                <w:szCs w:val="15"/>
                <w:color w:val="auto"/>
              </w:rPr>
              <w:t>593,750</w:t>
            </w:r>
          </w:p>
        </w:tc>
        <w:tc>
          <w:tcPr>
            <w:tcW w:w="130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4,737,500</w:t>
            </w:r>
          </w:p>
        </w:tc>
        <w:tc>
          <w:tcPr>
            <w:tcW w:w="0" w:type="dxa"/>
            <w:vAlign w:val="bottom"/>
          </w:tcPr>
          <w:p>
            <w:pPr>
              <w:spacing w:after="0"/>
              <w:rPr>
                <w:sz w:val="1"/>
                <w:szCs w:val="1"/>
                <w:color w:val="auto"/>
              </w:rPr>
            </w:pPr>
          </w:p>
        </w:tc>
      </w:tr>
      <w:tr>
        <w:trPr>
          <w:trHeight w:val="38"/>
        </w:trPr>
        <w:tc>
          <w:tcPr>
            <w:tcW w:w="16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6997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4" w:lineRule="exact"/>
        <w:rPr>
          <w:sz w:val="20"/>
          <w:szCs w:val="20"/>
          <w:color w:val="auto"/>
        </w:rPr>
      </w:pPr>
    </w:p>
    <w:p>
      <w:pPr>
        <w:ind w:left="520" w:right="20" w:hanging="316"/>
        <w:spacing w:after="0" w:line="279" w:lineRule="auto"/>
        <w:tabs>
          <w:tab w:leader="none" w:pos="5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The targeted Total Direct Compensation for Dr. Neumann reflects the base salary and STIP in U.S. dollars. Dr. Neumann received a salary of €811,864 and an annual STIP target of €1,014,830.</w:t>
      </w:r>
    </w:p>
    <w:p>
      <w:pPr>
        <w:spacing w:after="0" w:line="17" w:lineRule="exact"/>
        <w:rPr>
          <w:rFonts w:ascii="Arial" w:cs="Arial" w:eastAsia="Arial" w:hAnsi="Arial"/>
          <w:sz w:val="14"/>
          <w:szCs w:val="14"/>
          <w:i w:val="1"/>
          <w:iCs w:val="1"/>
          <w:color w:val="auto"/>
        </w:rPr>
      </w:pPr>
    </w:p>
    <w:p>
      <w:pPr>
        <w:ind w:left="520" w:right="20" w:hanging="316"/>
        <w:spacing w:after="0" w:line="279" w:lineRule="auto"/>
        <w:tabs>
          <w:tab w:leader="none" w:pos="5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PSUs awarded is determined by using the target PSU value divided by the closing price on the date of grant. PSUs with performance tied to relative TSR are valued using a Monte Carlo analysis, and Summary Compensation Table amounts may be higher or lower than target.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Performance Measures</w:t>
      </w:r>
    </w:p>
    <w:p>
      <w:pPr>
        <w:spacing w:after="0" w:line="337"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25"/>
          <w:szCs w:val="25"/>
          <w:color w:val="0033A0"/>
        </w:rPr>
      </w:pPr>
      <w:r>
        <w:rPr>
          <w:rFonts w:ascii="Arial" w:cs="Arial" w:eastAsia="Arial" w:hAnsi="Arial"/>
          <w:sz w:val="25"/>
          <w:szCs w:val="25"/>
          <w:color w:val="auto"/>
        </w:rPr>
        <w:t>How We Set Performance Targets</w:t>
      </w:r>
    </w:p>
    <w:p>
      <w:pPr>
        <w:spacing w:after="0" w:line="199"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Annually, the Compensation Committee approves the performance measures for the STIP and LTIP. The Compensation Committee reviews recommendations from management, receives input from the Compensation Committee consultant, evaluates the annual budget and mid term business plan, and reviews prior-year performance to approve value-creating goals tied to long-term shareholder value.</w:t>
      </w:r>
    </w:p>
    <w:p>
      <w:pPr>
        <w:spacing w:after="0" w:line="350"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25"/>
          <w:szCs w:val="25"/>
          <w:color w:val="0033A0"/>
        </w:rPr>
      </w:pPr>
      <w:r>
        <w:rPr>
          <w:rFonts w:ascii="Arial" w:cs="Arial" w:eastAsia="Arial" w:hAnsi="Arial"/>
          <w:sz w:val="25"/>
          <w:szCs w:val="25"/>
          <w:color w:val="auto"/>
        </w:rPr>
        <w:t>2017 STIP Performance Measures for NEOs</w:t>
      </w:r>
    </w:p>
    <w:p>
      <w:pPr>
        <w:spacing w:after="0" w:line="186"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STIP aligns with our plans to create the world’s most valued automotive company and to increase shareholder value. The STIP rewards NEOs for performance linked to the Company’s achievement of annual financial goals, operational performance goals, and individual performance results. The STIP is an annual cash incentive award intended to be deductible as performance-based compensation under U.S. Internal Revenue Code (“IRC”) Section 162(m) and is funded for each covered NEO once the Company achieves the threshold of positive EBIT-adjusted.</w:t>
      </w:r>
    </w:p>
    <w:p>
      <w:pPr>
        <w:spacing w:after="0" w:line="9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Compensation Committee annually reviews and approves STIP goals to assess the difficulty in level of achievement and overall linkage to shareholders through the achievement of the business plan and strategic objectives. For the 2017 STIP, all targets were set at or above final 2016 performance. The Committee elected to adjust the weights to increase EBIT-adjusted to 50% and removed both global Market Share and Global Quality as overall measures. The Committee added individual performance with a weight of 25% as a measure to evaluate individual performance for each leader. Individual performance results and final individual compensation decisions are discussed beginning on page 48. Individual performance is assessed with an individual performance scorecard measuring results against pre-established goals that the Committee approves at the beginning of the year. Global market share and global quality are still focus items that the Committee considers when evaluating individual performance results.</w:t>
      </w:r>
    </w:p>
    <w:p>
      <w:pPr>
        <w:spacing w:after="0" w:line="144"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Actual STIP awards, if any, are determined following the completion of the plan year to reflect the achievement against the performance measures displayed below. The table below describes each STIP performance measure, its weighting, its target, and the behaviors each measure drives:</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00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STIP Measure</w:t>
            </w:r>
          </w:p>
        </w:tc>
        <w:tc>
          <w:tcPr>
            <w:tcW w:w="920" w:type="dxa"/>
            <w:vAlign w:val="bottom"/>
            <w:tcBorders>
              <w:top w:val="single" w:sz="8" w:color="00A1DF"/>
              <w:bottom w:val="single" w:sz="8" w:color="00A1DF"/>
            </w:tcBorders>
          </w:tcPr>
          <w:p>
            <w:pPr>
              <w:jc w:val="right"/>
              <w:ind w:right="63"/>
              <w:spacing w:after="0"/>
              <w:rPr>
                <w:sz w:val="20"/>
                <w:szCs w:val="20"/>
                <w:color w:val="auto"/>
              </w:rPr>
            </w:pPr>
            <w:r>
              <w:rPr>
                <w:rFonts w:ascii="Arial" w:cs="Arial" w:eastAsia="Arial" w:hAnsi="Arial"/>
                <w:sz w:val="15"/>
                <w:szCs w:val="15"/>
                <w:b w:val="1"/>
                <w:bCs w:val="1"/>
                <w:color w:val="00A1DF"/>
              </w:rPr>
              <w:t>Weight</w:t>
            </w:r>
          </w:p>
        </w:tc>
        <w:tc>
          <w:tcPr>
            <w:tcW w:w="720" w:type="dxa"/>
            <w:vAlign w:val="bottom"/>
            <w:tcBorders>
              <w:top w:val="single" w:sz="8" w:color="00A1DF"/>
              <w:bottom w:val="single" w:sz="8" w:color="00A1DF"/>
            </w:tcBorders>
            <w:gridSpan w:val="2"/>
          </w:tcPr>
          <w:p>
            <w:pPr>
              <w:jc w:val="right"/>
              <w:ind w:right="43"/>
              <w:spacing w:after="0"/>
              <w:rPr>
                <w:sz w:val="20"/>
                <w:szCs w:val="20"/>
                <w:color w:val="auto"/>
              </w:rPr>
            </w:pPr>
            <w:r>
              <w:rPr>
                <w:rFonts w:ascii="Arial" w:cs="Arial" w:eastAsia="Arial" w:hAnsi="Arial"/>
                <w:sz w:val="15"/>
                <w:szCs w:val="15"/>
                <w:b w:val="1"/>
                <w:bCs w:val="1"/>
                <w:color w:val="00A1DF"/>
              </w:rPr>
              <w:t>Target</w:t>
            </w:r>
          </w:p>
        </w:tc>
        <w:tc>
          <w:tcPr>
            <w:tcW w:w="7380" w:type="dxa"/>
            <w:vAlign w:val="bottom"/>
            <w:tcBorders>
              <w:top w:val="single" w:sz="8" w:color="00A1DF"/>
              <w:bottom w:val="single" w:sz="8" w:color="00A1DF"/>
            </w:tcBorders>
          </w:tcPr>
          <w:p>
            <w:pPr>
              <w:ind w:left="100"/>
              <w:spacing w:after="0"/>
              <w:rPr>
                <w:sz w:val="20"/>
                <w:szCs w:val="20"/>
                <w:color w:val="auto"/>
              </w:rPr>
            </w:pPr>
            <w:r>
              <w:rPr>
                <w:rFonts w:ascii="Arial" w:cs="Arial" w:eastAsia="Arial" w:hAnsi="Arial"/>
                <w:sz w:val="15"/>
                <w:szCs w:val="15"/>
                <w:b w:val="1"/>
                <w:bCs w:val="1"/>
                <w:color w:val="00A1DF"/>
              </w:rPr>
              <w:t>Leadership Behaviors</w:t>
            </w:r>
          </w:p>
        </w:tc>
      </w:tr>
      <w:tr>
        <w:trPr>
          <w:trHeight w:val="21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EBIT-adjusted</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12.7</w:t>
            </w:r>
          </w:p>
        </w:tc>
        <w:tc>
          <w:tcPr>
            <w:tcW w:w="73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Focus on operating profit and driving strong profitability</w:t>
            </w:r>
          </w:p>
        </w:tc>
      </w:tr>
      <w:tr>
        <w:trPr>
          <w:trHeight w:val="223"/>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Adjusted AFCF </w:t>
            </w:r>
            <w:r>
              <w:rPr>
                <w:rFonts w:ascii="Arial" w:cs="Arial" w:eastAsia="Arial" w:hAnsi="Arial"/>
                <w:sz w:val="13"/>
                <w:szCs w:val="13"/>
                <w:b w:val="1"/>
                <w:bCs w:val="1"/>
                <w:color w:val="auto"/>
              </w:rPr>
              <w:t>(1)</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6.3</w:t>
            </w:r>
          </w:p>
        </w:tc>
        <w:tc>
          <w:tcPr>
            <w:tcW w:w="73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Focus on driving strong cash flow to invest in the business</w:t>
            </w:r>
          </w:p>
        </w:tc>
      </w:tr>
      <w:tr>
        <w:trPr>
          <w:trHeight w:val="219"/>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Individual Performance</w:t>
            </w:r>
          </w:p>
        </w:tc>
        <w:tc>
          <w:tcPr>
            <w:tcW w:w="920" w:type="dxa"/>
            <w:vAlign w:val="bottom"/>
          </w:tcPr>
          <w:p>
            <w:pPr>
              <w:jc w:val="right"/>
              <w:ind w:right="83"/>
              <w:spacing w:after="0"/>
              <w:rPr>
                <w:sz w:val="20"/>
                <w:szCs w:val="20"/>
                <w:color w:val="auto"/>
              </w:rPr>
            </w:pPr>
            <w:r>
              <w:rPr>
                <w:rFonts w:ascii="Arial" w:cs="Arial" w:eastAsia="Arial" w:hAnsi="Arial"/>
                <w:sz w:val="15"/>
                <w:szCs w:val="15"/>
                <w:color w:val="auto"/>
              </w:rPr>
              <w:t>25%</w:t>
            </w:r>
          </w:p>
        </w:tc>
        <w:tc>
          <w:tcPr>
            <w:tcW w:w="720" w:type="dxa"/>
            <w:vAlign w:val="bottom"/>
            <w:gridSpan w:val="2"/>
          </w:tcPr>
          <w:p>
            <w:pPr>
              <w:jc w:val="right"/>
              <w:ind w:right="43"/>
              <w:spacing w:after="0"/>
              <w:rPr>
                <w:sz w:val="20"/>
                <w:szCs w:val="20"/>
                <w:color w:val="auto"/>
              </w:rPr>
            </w:pPr>
            <w:r>
              <w:rPr>
                <w:rFonts w:ascii="Arial" w:cs="Arial" w:eastAsia="Arial" w:hAnsi="Arial"/>
                <w:sz w:val="15"/>
                <w:szCs w:val="15"/>
                <w:color w:val="auto"/>
              </w:rPr>
              <w:t>25 pts.</w:t>
            </w:r>
          </w:p>
        </w:tc>
        <w:tc>
          <w:tcPr>
            <w:tcW w:w="7380" w:type="dxa"/>
            <w:vAlign w:val="bottom"/>
          </w:tcPr>
          <w:p>
            <w:pPr>
              <w:ind w:left="100"/>
              <w:spacing w:after="0"/>
              <w:rPr>
                <w:sz w:val="20"/>
                <w:szCs w:val="20"/>
                <w:color w:val="auto"/>
              </w:rPr>
            </w:pPr>
            <w:r>
              <w:rPr>
                <w:rFonts w:ascii="Arial" w:cs="Arial" w:eastAsia="Arial" w:hAnsi="Arial"/>
                <w:sz w:val="15"/>
                <w:szCs w:val="15"/>
                <w:color w:val="auto"/>
              </w:rPr>
              <w:t>Focus on individual performance goals that impact business results</w:t>
            </w:r>
          </w:p>
        </w:tc>
      </w:tr>
      <w:tr>
        <w:trPr>
          <w:trHeight w:val="35"/>
        </w:trPr>
        <w:tc>
          <w:tcPr>
            <w:tcW w:w="2000" w:type="dxa"/>
            <w:vAlign w:val="bottom"/>
            <w:tcBorders>
              <w:bottom w:val="single" w:sz="8" w:color="0033A0"/>
            </w:tcBorders>
          </w:tcPr>
          <w:p>
            <w:pPr>
              <w:spacing w:after="0"/>
              <w:rPr>
                <w:sz w:val="3"/>
                <w:szCs w:val="3"/>
                <w:color w:val="auto"/>
              </w:rPr>
            </w:pPr>
          </w:p>
        </w:tc>
        <w:tc>
          <w:tcPr>
            <w:tcW w:w="920" w:type="dxa"/>
            <w:vAlign w:val="bottom"/>
            <w:tcBorders>
              <w:bottom w:val="single" w:sz="8" w:color="0033A0"/>
            </w:tcBorders>
          </w:tcPr>
          <w:p>
            <w:pPr>
              <w:spacing w:after="0"/>
              <w:rPr>
                <w:sz w:val="3"/>
                <w:szCs w:val="3"/>
                <w:color w:val="auto"/>
              </w:rPr>
            </w:pPr>
          </w:p>
        </w:tc>
        <w:tc>
          <w:tcPr>
            <w:tcW w:w="300" w:type="dxa"/>
            <w:vAlign w:val="bottom"/>
            <w:tcBorders>
              <w:bottom w:val="single" w:sz="8" w:color="0033A0"/>
            </w:tcBorders>
          </w:tcPr>
          <w:p>
            <w:pPr>
              <w:spacing w:after="0"/>
              <w:rPr>
                <w:sz w:val="3"/>
                <w:szCs w:val="3"/>
                <w:color w:val="auto"/>
              </w:rPr>
            </w:pPr>
          </w:p>
        </w:tc>
        <w:tc>
          <w:tcPr>
            <w:tcW w:w="420" w:type="dxa"/>
            <w:vAlign w:val="bottom"/>
            <w:tcBorders>
              <w:bottom w:val="single" w:sz="8" w:color="0033A0"/>
            </w:tcBorders>
          </w:tcPr>
          <w:p>
            <w:pPr>
              <w:spacing w:after="0"/>
              <w:rPr>
                <w:sz w:val="3"/>
                <w:szCs w:val="3"/>
                <w:color w:val="auto"/>
              </w:rPr>
            </w:pPr>
          </w:p>
        </w:tc>
        <w:tc>
          <w:tcPr>
            <w:tcW w:w="7380" w:type="dxa"/>
            <w:vAlign w:val="bottom"/>
            <w:tcBorders>
              <w:bottom w:val="single" w:sz="8" w:color="0033A0"/>
            </w:tcBorders>
          </w:tcPr>
          <w:p>
            <w:pPr>
              <w:spacing w:after="0"/>
              <w:rPr>
                <w:sz w:val="3"/>
                <w:szCs w:val="3"/>
                <w:color w:val="auto"/>
              </w:rPr>
            </w:pPr>
          </w:p>
        </w:tc>
      </w:tr>
    </w:tbl>
    <w:p>
      <w:pPr>
        <w:spacing w:after="0" w:line="58" w:lineRule="exact"/>
        <w:rPr>
          <w:sz w:val="20"/>
          <w:szCs w:val="20"/>
          <w:color w:val="auto"/>
        </w:rPr>
      </w:pPr>
    </w:p>
    <w:p>
      <w:pPr>
        <w:ind w:left="520" w:hanging="316"/>
        <w:spacing w:after="0"/>
        <w:tabs>
          <w:tab w:leader="none" w:pos="52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w:t>
      </w:r>
    </w:p>
    <w:p>
      <w:pPr>
        <w:spacing w:after="0" w:line="188" w:lineRule="exact"/>
        <w:rPr>
          <w:sz w:val="20"/>
          <w:szCs w:val="20"/>
          <w:color w:val="auto"/>
        </w:rPr>
      </w:pPr>
    </w:p>
    <w:p>
      <w:pPr>
        <w:jc w:val="both"/>
        <w:ind w:left="200" w:right="40"/>
        <w:spacing w:after="0" w:line="258" w:lineRule="auto"/>
        <w:rPr>
          <w:sz w:val="20"/>
          <w:szCs w:val="20"/>
          <w:color w:val="auto"/>
        </w:rPr>
      </w:pPr>
      <w:r>
        <w:rPr>
          <w:rFonts w:ascii="Arial" w:cs="Arial" w:eastAsia="Arial" w:hAnsi="Arial"/>
          <w:sz w:val="16"/>
          <w:szCs w:val="16"/>
          <w:color w:val="auto"/>
        </w:rPr>
        <w:t>The potential payouts for each company performance measure range from 0% to 200% of target, based on actual Company performance with the threshold performance level being 50% of each STIP measure. The STIP calculation for the 2017 performance period determined the result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262255</wp:posOffset>
            </wp:positionV>
            <wp:extent cx="5196840" cy="17754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9684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25"/>
          <w:szCs w:val="25"/>
          <w:color w:val="0033A0"/>
        </w:rPr>
      </w:pPr>
      <w:r>
        <w:rPr>
          <w:rFonts w:ascii="Arial" w:cs="Arial" w:eastAsia="Arial" w:hAnsi="Arial"/>
          <w:sz w:val="25"/>
          <w:szCs w:val="25"/>
          <w:color w:val="auto"/>
        </w:rPr>
        <w:t>2017–2019 LTIP Performance Measures for NEOs</w:t>
      </w:r>
    </w:p>
    <w:p>
      <w:pPr>
        <w:spacing w:after="0" w:line="199"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Grants under the LTIP are intended to link the financial interests of NEOs with the long-term interests of shareholders. The structure for NEOs included 75% PSUs and 25% Stock Options. PSUs cliff-vest following the three-year performance period, and Stock Options vest ratably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140335</wp:posOffset>
            </wp:positionV>
            <wp:extent cx="2855595" cy="15176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559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The 2017–2019 PSUs are awarded based on performance against the following measures relative to our OEM peers: Relative ROIC-adjusted and Relative TSR over the three-year performance period. The PSU performance measures were chosen to promote both efficient use of capital and long-term growth to create value for the shareholders and an increased focus on stock price appreciation. The following table shows the PSU performance measures and the leadership behaviors that each drives to make GM the world’s most valued automotive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6997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06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LTIP Measure</w:t>
            </w:r>
          </w:p>
        </w:tc>
        <w:tc>
          <w:tcPr>
            <w:tcW w:w="900" w:type="dxa"/>
            <w:vAlign w:val="bottom"/>
            <w:tcBorders>
              <w:bottom w:val="single" w:sz="8" w:color="00A1DF"/>
            </w:tcBorders>
          </w:tcPr>
          <w:p>
            <w:pPr>
              <w:jc w:val="right"/>
              <w:ind w:right="223"/>
              <w:spacing w:after="0"/>
              <w:rPr>
                <w:sz w:val="20"/>
                <w:szCs w:val="20"/>
                <w:color w:val="auto"/>
              </w:rPr>
            </w:pPr>
            <w:r>
              <w:rPr>
                <w:rFonts w:ascii="Arial" w:cs="Arial" w:eastAsia="Arial" w:hAnsi="Arial"/>
                <w:sz w:val="15"/>
                <w:szCs w:val="15"/>
                <w:b w:val="1"/>
                <w:bCs w:val="1"/>
                <w:color w:val="00A1DF"/>
              </w:rPr>
              <w:t>Weight</w:t>
            </w:r>
          </w:p>
        </w:tc>
        <w:tc>
          <w:tcPr>
            <w:tcW w:w="1420" w:type="dxa"/>
            <w:vAlign w:val="bottom"/>
            <w:tcBorders>
              <w:bottom w:val="single" w:sz="8" w:color="00A1DF"/>
            </w:tcBorders>
          </w:tcPr>
          <w:p>
            <w:pPr>
              <w:jc w:val="center"/>
              <w:ind w:left="83"/>
              <w:spacing w:after="0"/>
              <w:rPr>
                <w:sz w:val="20"/>
                <w:szCs w:val="20"/>
                <w:color w:val="auto"/>
              </w:rPr>
            </w:pPr>
            <w:r>
              <w:rPr>
                <w:rFonts w:ascii="Arial" w:cs="Arial" w:eastAsia="Arial" w:hAnsi="Arial"/>
                <w:sz w:val="15"/>
                <w:szCs w:val="15"/>
                <w:b w:val="1"/>
                <w:bCs w:val="1"/>
                <w:color w:val="00A1DF"/>
              </w:rPr>
              <w:t>Target</w:t>
            </w:r>
          </w:p>
        </w:tc>
        <w:tc>
          <w:tcPr>
            <w:tcW w:w="6640" w:type="dxa"/>
            <w:vAlign w:val="bottom"/>
            <w:tcBorders>
              <w:bottom w:val="single" w:sz="8" w:color="00A1DF"/>
            </w:tcBorders>
          </w:tcPr>
          <w:p>
            <w:pPr>
              <w:ind w:left="120"/>
              <w:spacing w:after="0"/>
              <w:rPr>
                <w:sz w:val="20"/>
                <w:szCs w:val="20"/>
                <w:color w:val="auto"/>
              </w:rPr>
            </w:pPr>
            <w:r>
              <w:rPr>
                <w:rFonts w:ascii="Arial" w:cs="Arial" w:eastAsia="Arial" w:hAnsi="Arial"/>
                <w:sz w:val="15"/>
                <w:szCs w:val="15"/>
                <w:b w:val="1"/>
                <w:bCs w:val="1"/>
                <w:color w:val="00A1DF"/>
              </w:rPr>
              <w:t>Leadership Behaviors</w:t>
            </w:r>
          </w:p>
        </w:tc>
        <w:tc>
          <w:tcPr>
            <w:tcW w:w="0" w:type="dxa"/>
            <w:vAlign w:val="bottom"/>
          </w:tcPr>
          <w:p>
            <w:pPr>
              <w:spacing w:after="0"/>
              <w:rPr>
                <w:sz w:val="1"/>
                <w:szCs w:val="1"/>
                <w:color w:val="auto"/>
              </w:rPr>
            </w:pPr>
          </w:p>
        </w:tc>
      </w:tr>
      <w:tr>
        <w:trPr>
          <w:trHeight w:val="197"/>
        </w:trPr>
        <w:tc>
          <w:tcPr>
            <w:tcW w:w="20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xml:space="preserve">Relative ROIC-adjusted </w:t>
            </w:r>
            <w:r>
              <w:rPr>
                <w:rFonts w:ascii="Arial" w:cs="Arial" w:eastAsia="Arial" w:hAnsi="Arial"/>
                <w:sz w:val="13"/>
                <w:szCs w:val="13"/>
                <w:color w:val="auto"/>
              </w:rPr>
              <w:t>(1)</w:t>
            </w:r>
          </w:p>
        </w:tc>
        <w:tc>
          <w:tcPr>
            <w:tcW w:w="900" w:type="dxa"/>
            <w:vAlign w:val="bottom"/>
            <w:vMerge w:val="restart"/>
          </w:tcPr>
          <w:p>
            <w:pPr>
              <w:jc w:val="right"/>
              <w:ind w:right="223"/>
              <w:spacing w:after="0"/>
              <w:rPr>
                <w:sz w:val="20"/>
                <w:szCs w:val="20"/>
                <w:color w:val="auto"/>
              </w:rPr>
            </w:pPr>
            <w:r>
              <w:rPr>
                <w:rFonts w:ascii="Arial" w:cs="Arial" w:eastAsia="Arial" w:hAnsi="Arial"/>
                <w:sz w:val="15"/>
                <w:szCs w:val="15"/>
                <w:color w:val="auto"/>
              </w:rPr>
              <w:t>67%</w:t>
            </w:r>
          </w:p>
        </w:tc>
        <w:tc>
          <w:tcPr>
            <w:tcW w:w="1420" w:type="dxa"/>
            <w:vAlign w:val="bottom"/>
            <w:vMerge w:val="restart"/>
          </w:tcPr>
          <w:p>
            <w:pPr>
              <w:jc w:val="center"/>
              <w:ind w:left="83"/>
              <w:spacing w:after="0"/>
              <w:rPr>
                <w:sz w:val="20"/>
                <w:szCs w:val="20"/>
                <w:color w:val="auto"/>
              </w:rPr>
            </w:pPr>
            <w:r>
              <w:rPr>
                <w:rFonts w:ascii="Arial" w:cs="Arial" w:eastAsia="Arial" w:hAnsi="Arial"/>
                <w:sz w:val="15"/>
                <w:szCs w:val="15"/>
                <w:color w:val="auto"/>
              </w:rPr>
              <w:t>60th Percentile</w:t>
            </w:r>
          </w:p>
        </w:tc>
        <w:tc>
          <w:tcPr>
            <w:tcW w:w="6640" w:type="dxa"/>
            <w:vAlign w:val="bottom"/>
          </w:tcPr>
          <w:p>
            <w:pPr>
              <w:ind w:left="120"/>
              <w:spacing w:after="0"/>
              <w:rPr>
                <w:sz w:val="20"/>
                <w:szCs w:val="20"/>
                <w:color w:val="auto"/>
              </w:rPr>
            </w:pPr>
            <w:r>
              <w:rPr>
                <w:rFonts w:ascii="Arial" w:cs="Arial" w:eastAsia="Arial" w:hAnsi="Arial"/>
                <w:sz w:val="15"/>
                <w:szCs w:val="15"/>
                <w:color w:val="auto"/>
              </w:rPr>
              <w:t>Focus on making sound investments that follow the disciplined capital approach of driving 20%</w:t>
            </w:r>
          </w:p>
        </w:tc>
        <w:tc>
          <w:tcPr>
            <w:tcW w:w="0" w:type="dxa"/>
            <w:vAlign w:val="bottom"/>
          </w:tcPr>
          <w:p>
            <w:pPr>
              <w:spacing w:after="0"/>
              <w:rPr>
                <w:sz w:val="1"/>
                <w:szCs w:val="1"/>
                <w:color w:val="auto"/>
              </w:rPr>
            </w:pPr>
          </w:p>
        </w:tc>
      </w:tr>
      <w:tr>
        <w:trPr>
          <w:trHeight w:val="103"/>
        </w:trPr>
        <w:tc>
          <w:tcPr>
            <w:tcW w:w="20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6640" w:type="dxa"/>
            <w:vAlign w:val="bottom"/>
            <w:vMerge w:val="restart"/>
          </w:tcPr>
          <w:p>
            <w:pPr>
              <w:ind w:left="120"/>
              <w:spacing w:after="0"/>
              <w:rPr>
                <w:sz w:val="20"/>
                <w:szCs w:val="20"/>
                <w:color w:val="auto"/>
              </w:rPr>
            </w:pPr>
            <w:r>
              <w:rPr>
                <w:rFonts w:ascii="Arial" w:cs="Arial" w:eastAsia="Arial" w:hAnsi="Arial"/>
                <w:sz w:val="15"/>
                <w:szCs w:val="15"/>
                <w:color w:val="auto"/>
              </w:rPr>
              <w:t>or higher returns in world-class vehicles and leading technology</w:t>
            </w:r>
          </w:p>
        </w:tc>
        <w:tc>
          <w:tcPr>
            <w:tcW w:w="0" w:type="dxa"/>
            <w:vAlign w:val="bottom"/>
          </w:tcPr>
          <w:p>
            <w:pPr>
              <w:spacing w:after="0"/>
              <w:rPr>
                <w:sz w:val="1"/>
                <w:szCs w:val="1"/>
                <w:color w:val="auto"/>
              </w:rPr>
            </w:pPr>
          </w:p>
        </w:tc>
      </w:tr>
      <w:tr>
        <w:trPr>
          <w:trHeight w:val="85"/>
        </w:trPr>
        <w:tc>
          <w:tcPr>
            <w:tcW w:w="20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auto"/>
              </w:rPr>
              <w:t xml:space="preserve">Relative TSR </w:t>
            </w:r>
            <w:r>
              <w:rPr>
                <w:rFonts w:ascii="Arial" w:cs="Arial" w:eastAsia="Arial" w:hAnsi="Arial"/>
                <w:sz w:val="13"/>
                <w:szCs w:val="13"/>
                <w:color w:val="auto"/>
              </w:rPr>
              <w:t>(1)</w:t>
            </w:r>
          </w:p>
        </w:tc>
        <w:tc>
          <w:tcPr>
            <w:tcW w:w="900" w:type="dxa"/>
            <w:vAlign w:val="bottom"/>
            <w:tcBorders>
              <w:bottom w:val="single" w:sz="8" w:color="0033A0"/>
            </w:tcBorders>
          </w:tcPr>
          <w:p>
            <w:pPr>
              <w:jc w:val="right"/>
              <w:ind w:right="223"/>
              <w:spacing w:after="0"/>
              <w:rPr>
                <w:sz w:val="20"/>
                <w:szCs w:val="20"/>
                <w:color w:val="auto"/>
              </w:rPr>
            </w:pPr>
            <w:r>
              <w:rPr>
                <w:rFonts w:ascii="Arial" w:cs="Arial" w:eastAsia="Arial" w:hAnsi="Arial"/>
                <w:sz w:val="15"/>
                <w:szCs w:val="15"/>
                <w:color w:val="auto"/>
              </w:rPr>
              <w:t>33%</w:t>
            </w:r>
          </w:p>
        </w:tc>
        <w:tc>
          <w:tcPr>
            <w:tcW w:w="1420" w:type="dxa"/>
            <w:vAlign w:val="bottom"/>
            <w:tcBorders>
              <w:bottom w:val="single" w:sz="8" w:color="0033A0"/>
            </w:tcBorders>
          </w:tcPr>
          <w:p>
            <w:pPr>
              <w:jc w:val="center"/>
              <w:ind w:left="83"/>
              <w:spacing w:after="0"/>
              <w:rPr>
                <w:sz w:val="20"/>
                <w:szCs w:val="20"/>
                <w:color w:val="auto"/>
              </w:rPr>
            </w:pPr>
            <w:r>
              <w:rPr>
                <w:rFonts w:ascii="Arial" w:cs="Arial" w:eastAsia="Arial" w:hAnsi="Arial"/>
                <w:sz w:val="15"/>
                <w:szCs w:val="15"/>
                <w:color w:val="auto"/>
              </w:rPr>
              <w:t>50th Percentile</w:t>
            </w:r>
          </w:p>
        </w:tc>
        <w:tc>
          <w:tcPr>
            <w:tcW w:w="6640" w:type="dxa"/>
            <w:vAlign w:val="bottom"/>
            <w:tcBorders>
              <w:bottom w:val="single" w:sz="8" w:color="0033A0"/>
            </w:tcBorders>
          </w:tcPr>
          <w:p>
            <w:pPr>
              <w:ind w:left="120"/>
              <w:spacing w:after="0"/>
              <w:rPr>
                <w:sz w:val="20"/>
                <w:szCs w:val="20"/>
                <w:color w:val="auto"/>
              </w:rPr>
            </w:pPr>
            <w:r>
              <w:rPr>
                <w:rFonts w:ascii="Arial" w:cs="Arial" w:eastAsia="Arial" w:hAnsi="Arial"/>
                <w:sz w:val="15"/>
                <w:szCs w:val="15"/>
                <w:color w:val="auto"/>
              </w:rPr>
              <w:t>Focus on delivering shareholder returns that outperform our OEM peers</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right="40" w:hanging="316"/>
        <w:spacing w:after="0" w:line="279" w:lineRule="auto"/>
        <w:tabs>
          <w:tab w:leader="none" w:pos="52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Relative performance is measured against the OEMs in the Dow Jones Automobiles and Parts Titans 30 Index on date of grant. OEMs for 2017–2019 PSUs are displayed on page 40.</w:t>
      </w:r>
    </w:p>
    <w:p>
      <w:pPr>
        <w:sectPr>
          <w:pgSz w:w="11900" w:h="16838" w:orient="portrait"/>
          <w:cols w:equalWidth="0" w:num="1">
            <w:col w:w="11260"/>
          </w:cols>
          <w:pgMar w:left="240" w:top="459" w:right="399" w:bottom="1440" w:gutter="0" w:footer="0" w:header="0"/>
        </w:sectPr>
      </w:pPr>
    </w:p>
    <w:p>
      <w:pPr>
        <w:spacing w:after="0" w:line="93"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45</w:t>
      </w:r>
    </w:p>
    <w:p>
      <w:pPr>
        <w:sectPr>
          <w:pgSz w:w="11900" w:h="16838" w:orient="portrait"/>
          <w:cols w:equalWidth="0" w:num="1">
            <w:col w:w="11260"/>
          </w:cols>
          <w:pgMar w:left="240" w:top="459" w:right="3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PSUs, if any, vest and are awarded and delivered following the completion of the three-year performance period, January 1, 2017 through December 31, 2019, and may be earned at a level between 0% and 200% of target based on actual Company results. When determining grant amounts, the Compensation Committee considers factors such as individual responsibilities, experience, and performance. In addition, the Compensation Committee will factor in relevant market compensation comparison data and seek the input from their independent compensation consultant.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127635</wp:posOffset>
            </wp:positionV>
            <wp:extent cx="4742180" cy="17754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4218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25"/>
          <w:szCs w:val="25"/>
          <w:color w:val="0033A0"/>
        </w:rPr>
      </w:pPr>
      <w:r>
        <w:rPr>
          <w:rFonts w:ascii="Arial" w:cs="Arial" w:eastAsia="Arial" w:hAnsi="Arial"/>
          <w:sz w:val="25"/>
          <w:szCs w:val="25"/>
          <w:color w:val="auto"/>
        </w:rPr>
        <w:t>Summary of Outstanding Performance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159385</wp:posOffset>
            </wp:positionV>
            <wp:extent cx="5188585" cy="24612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8858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Performance Results and Compensation Decisions</w:t>
      </w:r>
    </w:p>
    <w:p>
      <w:pPr>
        <w:spacing w:after="0" w:line="337"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25"/>
          <w:szCs w:val="25"/>
          <w:color w:val="0033A0"/>
        </w:rPr>
      </w:pPr>
      <w:r>
        <w:rPr>
          <w:rFonts w:ascii="Arial" w:cs="Arial" w:eastAsia="Arial" w:hAnsi="Arial"/>
          <w:sz w:val="25"/>
          <w:szCs w:val="25"/>
          <w:color w:val="auto"/>
        </w:rPr>
        <w:t>2017 Short-Term Incentive Plan</w:t>
      </w:r>
    </w:p>
    <w:p>
      <w:pPr>
        <w:spacing w:after="0" w:line="186"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The Company portion of the 2017 STIP award was calculated based on the Company’s achievement of the following performance measures: EBIT-adjusted and Adjusted AFCF. In addition, each NEO has an individual performance portion of their STIP that measures performance against pre-established goals. Company performance including the individual results achieved the following results, as approved by the Compensation Committee. The results for EBIT-adjusted repeated GM’s 2016 record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right"/>
              <w:ind w:right="63"/>
              <w:spacing w:after="0"/>
              <w:rPr>
                <w:sz w:val="20"/>
                <w:szCs w:val="20"/>
                <w:color w:val="auto"/>
              </w:rPr>
            </w:pPr>
            <w:r>
              <w:rPr>
                <w:rFonts w:ascii="Arial" w:cs="Arial" w:eastAsia="Arial" w:hAnsi="Arial"/>
                <w:sz w:val="15"/>
                <w:szCs w:val="15"/>
                <w:b w:val="1"/>
                <w:bCs w:val="1"/>
                <w:color w:val="00A1DF"/>
              </w:rPr>
              <w:t>Performance</w:t>
            </w:r>
          </w:p>
        </w:tc>
        <w:tc>
          <w:tcPr>
            <w:tcW w:w="1280" w:type="dxa"/>
            <w:vAlign w:val="bottom"/>
          </w:tcPr>
          <w:p>
            <w:pPr>
              <w:jc w:val="right"/>
              <w:ind w:right="123"/>
              <w:spacing w:after="0"/>
              <w:rPr>
                <w:sz w:val="20"/>
                <w:szCs w:val="20"/>
                <w:color w:val="auto"/>
              </w:rPr>
            </w:pPr>
            <w:r>
              <w:rPr>
                <w:rFonts w:ascii="Arial" w:cs="Arial" w:eastAsia="Arial" w:hAnsi="Arial"/>
                <w:sz w:val="15"/>
                <w:szCs w:val="15"/>
                <w:b w:val="1"/>
                <w:bCs w:val="1"/>
                <w:color w:val="00A1DF"/>
              </w:rPr>
              <w:t>Performance</w:t>
            </w:r>
          </w:p>
        </w:tc>
      </w:tr>
      <w:tr>
        <w:trPr>
          <w:trHeight w:val="206"/>
        </w:trPr>
        <w:tc>
          <w:tcPr>
            <w:tcW w:w="290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STIP Measure</w:t>
            </w:r>
          </w:p>
        </w:tc>
        <w:tc>
          <w:tcPr>
            <w:tcW w:w="2060" w:type="dxa"/>
            <w:vAlign w:val="bottom"/>
            <w:tcBorders>
              <w:bottom w:val="single" w:sz="8" w:color="00A1DF"/>
            </w:tcBorders>
          </w:tcPr>
          <w:p>
            <w:pPr>
              <w:jc w:val="right"/>
              <w:ind w:right="203"/>
              <w:spacing w:after="0"/>
              <w:rPr>
                <w:sz w:val="20"/>
                <w:szCs w:val="20"/>
                <w:color w:val="auto"/>
              </w:rPr>
            </w:pPr>
            <w:r>
              <w:rPr>
                <w:rFonts w:ascii="Arial" w:cs="Arial" w:eastAsia="Arial" w:hAnsi="Arial"/>
                <w:sz w:val="15"/>
                <w:szCs w:val="15"/>
                <w:b w:val="1"/>
                <w:bCs w:val="1"/>
                <w:color w:val="00A1DF"/>
              </w:rPr>
              <w:t>Weight</w:t>
            </w:r>
          </w:p>
        </w:tc>
        <w:tc>
          <w:tcPr>
            <w:tcW w:w="1300" w:type="dxa"/>
            <w:vAlign w:val="bottom"/>
            <w:tcBorders>
              <w:bottom w:val="single" w:sz="8" w:color="00A1DF"/>
            </w:tcBorders>
            <w:gridSpan w:val="2"/>
          </w:tcPr>
          <w:p>
            <w:pPr>
              <w:jc w:val="right"/>
              <w:ind w:right="223"/>
              <w:spacing w:after="0"/>
              <w:rPr>
                <w:sz w:val="20"/>
                <w:szCs w:val="20"/>
                <w:color w:val="auto"/>
              </w:rPr>
            </w:pPr>
            <w:r>
              <w:rPr>
                <w:rFonts w:ascii="Arial" w:cs="Arial" w:eastAsia="Arial" w:hAnsi="Arial"/>
                <w:sz w:val="15"/>
                <w:szCs w:val="15"/>
                <w:b w:val="1"/>
                <w:bCs w:val="1"/>
                <w:color w:val="00A1DF"/>
              </w:rPr>
              <w:t>Threshold</w:t>
            </w:r>
          </w:p>
        </w:tc>
        <w:tc>
          <w:tcPr>
            <w:tcW w:w="400" w:type="dxa"/>
            <w:vAlign w:val="bottom"/>
            <w:tcBorders>
              <w:bottom w:val="single" w:sz="8" w:color="00A1DF"/>
            </w:tcBorders>
          </w:tcPr>
          <w:p>
            <w:pPr>
              <w:spacing w:after="0"/>
              <w:rPr>
                <w:sz w:val="17"/>
                <w:szCs w:val="17"/>
                <w:color w:val="auto"/>
              </w:rPr>
            </w:pPr>
          </w:p>
        </w:tc>
        <w:tc>
          <w:tcPr>
            <w:tcW w:w="680" w:type="dxa"/>
            <w:vAlign w:val="bottom"/>
            <w:tcBorders>
              <w:bottom w:val="single" w:sz="8" w:color="00A1DF"/>
            </w:tcBorders>
          </w:tcPr>
          <w:p>
            <w:pPr>
              <w:jc w:val="right"/>
              <w:ind w:right="143"/>
              <w:spacing w:after="0"/>
              <w:rPr>
                <w:sz w:val="20"/>
                <w:szCs w:val="20"/>
                <w:color w:val="auto"/>
              </w:rPr>
            </w:pPr>
            <w:r>
              <w:rPr>
                <w:rFonts w:ascii="Arial" w:cs="Arial" w:eastAsia="Arial" w:hAnsi="Arial"/>
                <w:sz w:val="15"/>
                <w:szCs w:val="15"/>
                <w:b w:val="1"/>
                <w:bCs w:val="1"/>
                <w:color w:val="00A1DF"/>
                <w:w w:val="95"/>
              </w:rPr>
              <w:t>Target</w:t>
            </w:r>
          </w:p>
        </w:tc>
        <w:tc>
          <w:tcPr>
            <w:tcW w:w="1140" w:type="dxa"/>
            <w:vAlign w:val="bottom"/>
            <w:tcBorders>
              <w:bottom w:val="single" w:sz="8" w:color="00A1DF"/>
            </w:tcBorders>
            <w:gridSpan w:val="2"/>
          </w:tcPr>
          <w:p>
            <w:pPr>
              <w:jc w:val="right"/>
              <w:ind w:right="123"/>
              <w:spacing w:after="0"/>
              <w:rPr>
                <w:sz w:val="20"/>
                <w:szCs w:val="20"/>
                <w:color w:val="auto"/>
              </w:rPr>
            </w:pPr>
            <w:r>
              <w:rPr>
                <w:rFonts w:ascii="Arial" w:cs="Arial" w:eastAsia="Arial" w:hAnsi="Arial"/>
                <w:sz w:val="15"/>
                <w:szCs w:val="15"/>
                <w:b w:val="1"/>
                <w:bCs w:val="1"/>
                <w:color w:val="00A1DF"/>
              </w:rPr>
              <w:t>Maximum</w:t>
            </w:r>
          </w:p>
        </w:tc>
        <w:tc>
          <w:tcPr>
            <w:tcW w:w="320" w:type="dxa"/>
            <w:vAlign w:val="bottom"/>
            <w:tcBorders>
              <w:bottom w:val="single" w:sz="8" w:color="00A1DF"/>
            </w:tcBorders>
          </w:tcPr>
          <w:p>
            <w:pPr>
              <w:spacing w:after="0"/>
              <w:rPr>
                <w:sz w:val="17"/>
                <w:szCs w:val="17"/>
                <w:color w:val="auto"/>
              </w:rPr>
            </w:pPr>
          </w:p>
        </w:tc>
        <w:tc>
          <w:tcPr>
            <w:tcW w:w="940" w:type="dxa"/>
            <w:vAlign w:val="bottom"/>
            <w:tcBorders>
              <w:bottom w:val="single" w:sz="8" w:color="00A1DF"/>
            </w:tcBorders>
          </w:tcPr>
          <w:p>
            <w:pPr>
              <w:jc w:val="right"/>
              <w:ind w:right="63"/>
              <w:spacing w:after="0"/>
              <w:rPr>
                <w:sz w:val="20"/>
                <w:szCs w:val="20"/>
                <w:color w:val="auto"/>
              </w:rPr>
            </w:pPr>
            <w:r>
              <w:rPr>
                <w:rFonts w:ascii="Arial" w:cs="Arial" w:eastAsia="Arial" w:hAnsi="Arial"/>
                <w:sz w:val="15"/>
                <w:szCs w:val="15"/>
                <w:b w:val="1"/>
                <w:bCs w:val="1"/>
                <w:color w:val="00A1DF"/>
              </w:rPr>
              <w:t>Results</w:t>
            </w:r>
          </w:p>
        </w:tc>
        <w:tc>
          <w:tcPr>
            <w:tcW w:w="1280" w:type="dxa"/>
            <w:vAlign w:val="bottom"/>
            <w:tcBorders>
              <w:bottom w:val="single" w:sz="8" w:color="00A1DF"/>
            </w:tcBorders>
          </w:tcPr>
          <w:p>
            <w:pPr>
              <w:jc w:val="right"/>
              <w:ind w:right="123"/>
              <w:spacing w:after="0"/>
              <w:rPr>
                <w:sz w:val="20"/>
                <w:szCs w:val="20"/>
                <w:color w:val="auto"/>
              </w:rPr>
            </w:pPr>
            <w:r>
              <w:rPr>
                <w:rFonts w:ascii="Arial" w:cs="Arial" w:eastAsia="Arial" w:hAnsi="Arial"/>
                <w:sz w:val="15"/>
                <w:szCs w:val="15"/>
                <w:b w:val="1"/>
                <w:bCs w:val="1"/>
                <w:color w:val="00A1DF"/>
              </w:rPr>
              <w:t>Payout</w:t>
            </w:r>
          </w:p>
        </w:tc>
      </w:tr>
      <w:tr>
        <w:trPr>
          <w:trHeight w:val="223"/>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EBIT-adjusted ($B)</w:t>
            </w:r>
          </w:p>
        </w:tc>
        <w:tc>
          <w:tcPr>
            <w:tcW w:w="20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6.8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12.7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14.0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r>
      <w:tr>
        <w:trPr>
          <w:trHeight w:val="223"/>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 xml:space="preserve">Adjusted AFCF ($B) </w:t>
            </w:r>
            <w:r>
              <w:rPr>
                <w:rFonts w:ascii="Arial" w:cs="Arial" w:eastAsia="Arial" w:hAnsi="Arial"/>
                <w:sz w:val="13"/>
                <w:szCs w:val="13"/>
                <w:color w:val="auto"/>
              </w:rPr>
              <w:t>(1)</w:t>
            </w:r>
          </w:p>
        </w:tc>
        <w:tc>
          <w:tcPr>
            <w:tcW w:w="20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6.3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223"/>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Individual Performance</w:t>
            </w:r>
          </w:p>
        </w:tc>
        <w:tc>
          <w:tcPr>
            <w:tcW w:w="20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25%</w:t>
            </w: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7"/>
              </w:rPr>
              <w:t>0 pts.</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7"/>
              </w:rPr>
              <w:t>25 pts.</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7"/>
              </w:rPr>
              <w:t>50 pts.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9"/>
              </w:rPr>
              <w:t>25 – 40 pts.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25%–40%</w:t>
            </w:r>
          </w:p>
        </w:tc>
      </w:tr>
      <w:tr>
        <w:trPr>
          <w:trHeight w:val="214"/>
        </w:trPr>
        <w:tc>
          <w:tcPr>
            <w:tcW w:w="290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Result</w:t>
            </w:r>
          </w:p>
        </w:tc>
        <w:tc>
          <w:tcPr>
            <w:tcW w:w="2060" w:type="dxa"/>
            <w:vAlign w:val="bottom"/>
            <w:tcBorders>
              <w:bottom w:val="single" w:sz="8" w:color="0033A0"/>
            </w:tcBorders>
          </w:tcPr>
          <w:p>
            <w:pPr>
              <w:spacing w:after="0"/>
              <w:rPr>
                <w:sz w:val="18"/>
                <w:szCs w:val="18"/>
                <w:color w:val="auto"/>
              </w:rPr>
            </w:pPr>
          </w:p>
        </w:tc>
        <w:tc>
          <w:tcPr>
            <w:tcW w:w="620" w:type="dxa"/>
            <w:vAlign w:val="bottom"/>
            <w:tcBorders>
              <w:bottom w:val="single" w:sz="8" w:color="0033A0"/>
            </w:tcBorders>
          </w:tcPr>
          <w:p>
            <w:pPr>
              <w:spacing w:after="0"/>
              <w:rPr>
                <w:sz w:val="18"/>
                <w:szCs w:val="18"/>
                <w:color w:val="auto"/>
              </w:rPr>
            </w:pPr>
          </w:p>
        </w:tc>
        <w:tc>
          <w:tcPr>
            <w:tcW w:w="680" w:type="dxa"/>
            <w:vAlign w:val="bottom"/>
            <w:tcBorders>
              <w:bottom w:val="single" w:sz="8" w:color="0033A0"/>
            </w:tcBorders>
          </w:tcPr>
          <w:p>
            <w:pPr>
              <w:spacing w:after="0"/>
              <w:rPr>
                <w:sz w:val="18"/>
                <w:szCs w:val="18"/>
                <w:color w:val="auto"/>
              </w:rPr>
            </w:pPr>
          </w:p>
        </w:tc>
        <w:tc>
          <w:tcPr>
            <w:tcW w:w="400" w:type="dxa"/>
            <w:vAlign w:val="bottom"/>
            <w:tcBorders>
              <w:bottom w:val="single" w:sz="8" w:color="0033A0"/>
            </w:tcBorders>
          </w:tcPr>
          <w:p>
            <w:pPr>
              <w:spacing w:after="0"/>
              <w:rPr>
                <w:sz w:val="18"/>
                <w:szCs w:val="18"/>
                <w:color w:val="auto"/>
              </w:rPr>
            </w:pPr>
          </w:p>
        </w:tc>
        <w:tc>
          <w:tcPr>
            <w:tcW w:w="680" w:type="dxa"/>
            <w:vAlign w:val="bottom"/>
            <w:tcBorders>
              <w:bottom w:val="single" w:sz="8" w:color="0033A0"/>
            </w:tcBorders>
          </w:tcPr>
          <w:p>
            <w:pPr>
              <w:spacing w:after="0"/>
              <w:rPr>
                <w:sz w:val="18"/>
                <w:szCs w:val="18"/>
                <w:color w:val="auto"/>
              </w:rPr>
            </w:pPr>
          </w:p>
        </w:tc>
        <w:tc>
          <w:tcPr>
            <w:tcW w:w="480" w:type="dxa"/>
            <w:vAlign w:val="bottom"/>
            <w:tcBorders>
              <w:bottom w:val="single" w:sz="8" w:color="0033A0"/>
            </w:tcBorders>
          </w:tcPr>
          <w:p>
            <w:pPr>
              <w:spacing w:after="0"/>
              <w:rPr>
                <w:sz w:val="18"/>
                <w:szCs w:val="18"/>
                <w:color w:val="auto"/>
              </w:rPr>
            </w:pPr>
          </w:p>
        </w:tc>
        <w:tc>
          <w:tcPr>
            <w:tcW w:w="660" w:type="dxa"/>
            <w:vAlign w:val="bottom"/>
            <w:tcBorders>
              <w:bottom w:val="single" w:sz="8" w:color="0033A0"/>
            </w:tcBorders>
          </w:tcPr>
          <w:p>
            <w:pPr>
              <w:spacing w:after="0"/>
              <w:rPr>
                <w:sz w:val="18"/>
                <w:szCs w:val="18"/>
                <w:color w:val="auto"/>
              </w:rPr>
            </w:pPr>
          </w:p>
        </w:tc>
        <w:tc>
          <w:tcPr>
            <w:tcW w:w="320" w:type="dxa"/>
            <w:vAlign w:val="bottom"/>
            <w:tcBorders>
              <w:bottom w:val="single" w:sz="8" w:color="0033A0"/>
            </w:tcBorders>
          </w:tcPr>
          <w:p>
            <w:pPr>
              <w:spacing w:after="0"/>
              <w:rPr>
                <w:sz w:val="18"/>
                <w:szCs w:val="18"/>
                <w:color w:val="auto"/>
              </w:rPr>
            </w:pPr>
          </w:p>
        </w:tc>
        <w:tc>
          <w:tcPr>
            <w:tcW w:w="940" w:type="dxa"/>
            <w:vAlign w:val="bottom"/>
            <w:tcBorders>
              <w:bottom w:val="single" w:sz="8" w:color="0033A0"/>
            </w:tcBorders>
          </w:tcPr>
          <w:p>
            <w:pPr>
              <w:spacing w:after="0"/>
              <w:rPr>
                <w:sz w:val="18"/>
                <w:szCs w:val="18"/>
                <w:color w:val="auto"/>
              </w:rPr>
            </w:pPr>
          </w:p>
        </w:tc>
        <w:tc>
          <w:tcPr>
            <w:tcW w:w="128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103%–118%</w:t>
            </w:r>
          </w:p>
        </w:tc>
      </w:tr>
    </w:tbl>
    <w:p>
      <w:pPr>
        <w:spacing w:after="0" w:line="58"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w:t>
      </w:r>
    </w:p>
    <w:p>
      <w:pPr>
        <w:spacing w:after="0" w:line="349"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25"/>
          <w:szCs w:val="25"/>
          <w:color w:val="0033A0"/>
        </w:rPr>
      </w:pPr>
      <w:r>
        <w:rPr>
          <w:rFonts w:ascii="Arial" w:cs="Arial" w:eastAsia="Arial" w:hAnsi="Arial"/>
          <w:sz w:val="25"/>
          <w:szCs w:val="25"/>
          <w:color w:val="auto"/>
        </w:rPr>
        <w:t>2015–2017 Long-Term Incentive Plan</w:t>
      </w:r>
    </w:p>
    <w:p>
      <w:pPr>
        <w:spacing w:after="0" w:line="199"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The 2015–2017 PSU awards vested on February 11, 2018, based on Company performance for the period January 1, 2015 through December 31, 2017 against pre-established performance targets for both ROIC-adjusted and the Global Market Share modifier. The following performance was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b w:val="1"/>
                <w:bCs w:val="1"/>
                <w:color w:val="00A1DF"/>
              </w:rPr>
              <w:t>Performance</w:t>
            </w:r>
          </w:p>
        </w:tc>
        <w:tc>
          <w:tcPr>
            <w:tcW w:w="320" w:type="dxa"/>
            <w:vAlign w:val="bottom"/>
          </w:tcPr>
          <w:p>
            <w:pPr>
              <w:spacing w:after="0"/>
              <w:rPr>
                <w:sz w:val="15"/>
                <w:szCs w:val="15"/>
                <w:color w:val="auto"/>
              </w:rPr>
            </w:pPr>
          </w:p>
        </w:tc>
        <w:tc>
          <w:tcPr>
            <w:tcW w:w="1420" w:type="dxa"/>
            <w:vAlign w:val="bottom"/>
          </w:tcPr>
          <w:p>
            <w:pPr>
              <w:jc w:val="right"/>
              <w:ind w:right="296"/>
              <w:spacing w:after="0"/>
              <w:rPr>
                <w:sz w:val="20"/>
                <w:szCs w:val="20"/>
                <w:color w:val="auto"/>
              </w:rPr>
            </w:pPr>
            <w:r>
              <w:rPr>
                <w:rFonts w:ascii="Arial" w:cs="Arial" w:eastAsia="Arial" w:hAnsi="Arial"/>
                <w:sz w:val="15"/>
                <w:szCs w:val="15"/>
                <w:b w:val="1"/>
                <w:bCs w:val="1"/>
                <w:color w:val="00A1DF"/>
              </w:rPr>
              <w:t>Performance</w:t>
            </w:r>
          </w:p>
        </w:tc>
        <w:tc>
          <w:tcPr>
            <w:tcW w:w="0" w:type="dxa"/>
            <w:vAlign w:val="bottom"/>
          </w:tcPr>
          <w:p>
            <w:pPr>
              <w:spacing w:after="0"/>
              <w:rPr>
                <w:sz w:val="1"/>
                <w:szCs w:val="1"/>
                <w:color w:val="auto"/>
              </w:rPr>
            </w:pPr>
          </w:p>
        </w:tc>
      </w:tr>
      <w:tr>
        <w:trPr>
          <w:trHeight w:val="206"/>
        </w:trPr>
        <w:tc>
          <w:tcPr>
            <w:tcW w:w="232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LTIP Measure</w:t>
            </w:r>
          </w:p>
        </w:tc>
        <w:tc>
          <w:tcPr>
            <w:tcW w:w="2040" w:type="dxa"/>
            <w:vAlign w:val="bottom"/>
            <w:tcBorders>
              <w:bottom w:val="single" w:sz="8" w:color="00A1DF"/>
            </w:tcBorders>
          </w:tcPr>
          <w:p>
            <w:pPr>
              <w:jc w:val="center"/>
              <w:ind w:left="903"/>
              <w:spacing w:after="0"/>
              <w:rPr>
                <w:sz w:val="20"/>
                <w:szCs w:val="20"/>
                <w:color w:val="auto"/>
              </w:rPr>
            </w:pPr>
            <w:r>
              <w:rPr>
                <w:rFonts w:ascii="Arial" w:cs="Arial" w:eastAsia="Arial" w:hAnsi="Arial"/>
                <w:sz w:val="15"/>
                <w:szCs w:val="15"/>
                <w:b w:val="1"/>
                <w:bCs w:val="1"/>
                <w:color w:val="00A1DF"/>
                <w:w w:val="99"/>
              </w:rPr>
              <w:t>Weight</w:t>
            </w:r>
          </w:p>
        </w:tc>
        <w:tc>
          <w:tcPr>
            <w:tcW w:w="1300" w:type="dxa"/>
            <w:vAlign w:val="bottom"/>
            <w:tcBorders>
              <w:bottom w:val="single" w:sz="8" w:color="00A1DF"/>
            </w:tcBorders>
          </w:tcPr>
          <w:p>
            <w:pPr>
              <w:jc w:val="right"/>
              <w:ind w:right="203"/>
              <w:spacing w:after="0"/>
              <w:rPr>
                <w:sz w:val="20"/>
                <w:szCs w:val="20"/>
                <w:color w:val="auto"/>
              </w:rPr>
            </w:pPr>
            <w:r>
              <w:rPr>
                <w:rFonts w:ascii="Arial" w:cs="Arial" w:eastAsia="Arial" w:hAnsi="Arial"/>
                <w:sz w:val="15"/>
                <w:szCs w:val="15"/>
                <w:b w:val="1"/>
                <w:bCs w:val="1"/>
                <w:color w:val="00A1DF"/>
              </w:rPr>
              <w:t>Threshold</w:t>
            </w:r>
          </w:p>
        </w:tc>
        <w:tc>
          <w:tcPr>
            <w:tcW w:w="1020" w:type="dxa"/>
            <w:vAlign w:val="bottom"/>
            <w:tcBorders>
              <w:bottom w:val="single" w:sz="8" w:color="00A1DF"/>
            </w:tcBorders>
          </w:tcPr>
          <w:p>
            <w:pPr>
              <w:jc w:val="right"/>
              <w:ind w:right="183"/>
              <w:spacing w:after="0"/>
              <w:rPr>
                <w:sz w:val="20"/>
                <w:szCs w:val="20"/>
                <w:color w:val="auto"/>
              </w:rPr>
            </w:pPr>
            <w:r>
              <w:rPr>
                <w:rFonts w:ascii="Arial" w:cs="Arial" w:eastAsia="Arial" w:hAnsi="Arial"/>
                <w:sz w:val="15"/>
                <w:szCs w:val="15"/>
                <w:b w:val="1"/>
                <w:bCs w:val="1"/>
                <w:color w:val="00A1DF"/>
              </w:rPr>
              <w:t>Target</w:t>
            </w:r>
          </w:p>
        </w:tc>
        <w:tc>
          <w:tcPr>
            <w:tcW w:w="1260" w:type="dxa"/>
            <w:vAlign w:val="bottom"/>
            <w:tcBorders>
              <w:bottom w:val="single" w:sz="8" w:color="00A1DF"/>
            </w:tcBorders>
          </w:tcPr>
          <w:p>
            <w:pPr>
              <w:jc w:val="right"/>
              <w:ind w:right="203"/>
              <w:spacing w:after="0"/>
              <w:rPr>
                <w:sz w:val="20"/>
                <w:szCs w:val="20"/>
                <w:color w:val="auto"/>
              </w:rPr>
            </w:pPr>
            <w:r>
              <w:rPr>
                <w:rFonts w:ascii="Arial" w:cs="Arial" w:eastAsia="Arial" w:hAnsi="Arial"/>
                <w:sz w:val="15"/>
                <w:szCs w:val="15"/>
                <w:b w:val="1"/>
                <w:bCs w:val="1"/>
                <w:color w:val="00A1DF"/>
              </w:rPr>
              <w:t>Maximum</w:t>
            </w:r>
          </w:p>
        </w:tc>
        <w:tc>
          <w:tcPr>
            <w:tcW w:w="134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Results</w:t>
            </w:r>
          </w:p>
        </w:tc>
        <w:tc>
          <w:tcPr>
            <w:tcW w:w="320" w:type="dxa"/>
            <w:vAlign w:val="bottom"/>
            <w:tcBorders>
              <w:bottom w:val="single" w:sz="8" w:color="00A1DF"/>
            </w:tcBorders>
          </w:tcPr>
          <w:p>
            <w:pPr>
              <w:spacing w:after="0"/>
              <w:rPr>
                <w:sz w:val="17"/>
                <w:szCs w:val="17"/>
                <w:color w:val="auto"/>
              </w:rPr>
            </w:pPr>
          </w:p>
        </w:tc>
        <w:tc>
          <w:tcPr>
            <w:tcW w:w="1420" w:type="dxa"/>
            <w:vAlign w:val="bottom"/>
            <w:tcBorders>
              <w:bottom w:val="single" w:sz="8" w:color="00A1DF"/>
            </w:tcBorders>
          </w:tcPr>
          <w:p>
            <w:pPr>
              <w:jc w:val="right"/>
              <w:ind w:right="296"/>
              <w:spacing w:after="0"/>
              <w:rPr>
                <w:sz w:val="20"/>
                <w:szCs w:val="20"/>
                <w:color w:val="auto"/>
              </w:rPr>
            </w:pPr>
            <w:r>
              <w:rPr>
                <w:rFonts w:ascii="Arial" w:cs="Arial" w:eastAsia="Arial" w:hAnsi="Arial"/>
                <w:sz w:val="15"/>
                <w:szCs w:val="15"/>
                <w:b w:val="1"/>
                <w:bCs w:val="1"/>
                <w:color w:val="00A1DF"/>
              </w:rPr>
              <w:t>Payout</w:t>
            </w:r>
          </w:p>
        </w:tc>
        <w:tc>
          <w:tcPr>
            <w:tcW w:w="0" w:type="dxa"/>
            <w:vAlign w:val="bottom"/>
          </w:tcPr>
          <w:p>
            <w:pPr>
              <w:spacing w:after="0"/>
              <w:rPr>
                <w:sz w:val="1"/>
                <w:szCs w:val="1"/>
                <w:color w:val="auto"/>
              </w:rPr>
            </w:pPr>
          </w:p>
        </w:tc>
      </w:tr>
      <w:tr>
        <w:trPr>
          <w:trHeight w:val="173"/>
        </w:trPr>
        <w:tc>
          <w:tcPr>
            <w:tcW w:w="2320" w:type="dxa"/>
            <w:vAlign w:val="bottom"/>
            <w:vMerge w:val="restart"/>
          </w:tcPr>
          <w:p>
            <w:pPr>
              <w:ind w:left="60"/>
              <w:spacing w:after="0"/>
              <w:rPr>
                <w:sz w:val="20"/>
                <w:szCs w:val="20"/>
                <w:color w:val="auto"/>
              </w:rPr>
            </w:pPr>
            <w:r>
              <w:rPr>
                <w:rFonts w:ascii="Arial" w:cs="Arial" w:eastAsia="Arial" w:hAnsi="Arial"/>
                <w:sz w:val="15"/>
                <w:szCs w:val="15"/>
                <w:color w:val="auto"/>
              </w:rPr>
              <w:t>ROIC-adjusted</w:t>
            </w:r>
          </w:p>
        </w:tc>
        <w:tc>
          <w:tcPr>
            <w:tcW w:w="2040" w:type="dxa"/>
            <w:vAlign w:val="bottom"/>
            <w:vMerge w:val="restart"/>
          </w:tcPr>
          <w:p>
            <w:pPr>
              <w:jc w:val="right"/>
              <w:ind w:right="223"/>
              <w:spacing w:after="0"/>
              <w:rPr>
                <w:sz w:val="20"/>
                <w:szCs w:val="20"/>
                <w:color w:val="auto"/>
              </w:rPr>
            </w:pPr>
            <w:r>
              <w:rPr>
                <w:rFonts w:ascii="Arial" w:cs="Arial" w:eastAsia="Arial" w:hAnsi="Arial"/>
                <w:sz w:val="15"/>
                <w:szCs w:val="15"/>
                <w:color w:val="auto"/>
              </w:rPr>
              <w:t>100%</w:t>
            </w:r>
          </w:p>
        </w:tc>
        <w:tc>
          <w:tcPr>
            <w:tcW w:w="1300" w:type="dxa"/>
            <w:vAlign w:val="bottom"/>
            <w:vMerge w:val="restart"/>
          </w:tcPr>
          <w:p>
            <w:pPr>
              <w:jc w:val="right"/>
              <w:ind w:right="323"/>
              <w:spacing w:after="0"/>
              <w:rPr>
                <w:sz w:val="20"/>
                <w:szCs w:val="20"/>
                <w:color w:val="auto"/>
              </w:rPr>
            </w:pPr>
            <w:r>
              <w:rPr>
                <w:rFonts w:ascii="Arial" w:cs="Arial" w:eastAsia="Arial" w:hAnsi="Arial"/>
                <w:sz w:val="15"/>
                <w:szCs w:val="15"/>
                <w:color w:val="auto"/>
              </w:rPr>
              <w:t>16.0%</w:t>
            </w:r>
          </w:p>
        </w:tc>
        <w:tc>
          <w:tcPr>
            <w:tcW w:w="1020" w:type="dxa"/>
            <w:vAlign w:val="bottom"/>
            <w:vMerge w:val="restart"/>
          </w:tcPr>
          <w:p>
            <w:pPr>
              <w:jc w:val="right"/>
              <w:ind w:right="203"/>
              <w:spacing w:after="0"/>
              <w:rPr>
                <w:sz w:val="20"/>
                <w:szCs w:val="20"/>
                <w:color w:val="auto"/>
              </w:rPr>
            </w:pPr>
            <w:r>
              <w:rPr>
                <w:rFonts w:ascii="Arial" w:cs="Arial" w:eastAsia="Arial" w:hAnsi="Arial"/>
                <w:sz w:val="15"/>
                <w:szCs w:val="15"/>
                <w:color w:val="auto"/>
              </w:rPr>
              <w:t>20.0%</w:t>
            </w:r>
          </w:p>
        </w:tc>
        <w:tc>
          <w:tcPr>
            <w:tcW w:w="1260" w:type="dxa"/>
            <w:vAlign w:val="bottom"/>
            <w:vMerge w:val="restart"/>
          </w:tcPr>
          <w:p>
            <w:pPr>
              <w:jc w:val="right"/>
              <w:ind w:right="303"/>
              <w:spacing w:after="0"/>
              <w:rPr>
                <w:sz w:val="20"/>
                <w:szCs w:val="20"/>
                <w:color w:val="auto"/>
              </w:rPr>
            </w:pPr>
            <w:r>
              <w:rPr>
                <w:rFonts w:ascii="Arial" w:cs="Arial" w:eastAsia="Arial" w:hAnsi="Arial"/>
                <w:sz w:val="15"/>
                <w:szCs w:val="15"/>
                <w:color w:val="auto"/>
              </w:rPr>
              <w:t>24.0%</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28.1%</w:t>
            </w:r>
          </w:p>
        </w:tc>
        <w:tc>
          <w:tcPr>
            <w:tcW w:w="320" w:type="dxa"/>
            <w:vAlign w:val="bottom"/>
          </w:tcPr>
          <w:p>
            <w:pPr>
              <w:jc w:val="right"/>
              <w:ind w:right="95"/>
              <w:spacing w:after="0"/>
              <w:rPr>
                <w:sz w:val="20"/>
                <w:szCs w:val="20"/>
                <w:color w:val="auto"/>
              </w:rPr>
            </w:pPr>
            <w:r>
              <w:rPr>
                <w:rFonts w:ascii="Arial" w:cs="Arial" w:eastAsia="Arial" w:hAnsi="Arial"/>
                <w:sz w:val="13"/>
                <w:szCs w:val="13"/>
                <w:color w:val="auto"/>
                <w:w w:val="87"/>
              </w:rPr>
              <w:t>(1)</w:t>
            </w:r>
          </w:p>
        </w:tc>
        <w:tc>
          <w:tcPr>
            <w:tcW w:w="1420" w:type="dxa"/>
            <w:vAlign w:val="bottom"/>
            <w:vMerge w:val="restart"/>
          </w:tcPr>
          <w:p>
            <w:pPr>
              <w:jc w:val="right"/>
              <w:ind w:right="156"/>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50"/>
        </w:trPr>
        <w:tc>
          <w:tcPr>
            <w:tcW w:w="2320" w:type="dxa"/>
            <w:vAlign w:val="bottom"/>
            <w:tcBorders>
              <w:bottom w:val="single" w:sz="8" w:color="auto"/>
            </w:tcBorders>
            <w:vMerge w:val="continue"/>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1340" w:type="dxa"/>
            <w:vAlign w:val="bottom"/>
            <w:tcBorders>
              <w:bottom w:val="single" w:sz="8" w:color="auto"/>
            </w:tcBorders>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320" w:type="dxa"/>
            <w:vAlign w:val="bottom"/>
            <w:vMerge w:val="restart"/>
          </w:tcPr>
          <w:p>
            <w:pPr>
              <w:ind w:left="60"/>
              <w:spacing w:after="0"/>
              <w:rPr>
                <w:sz w:val="20"/>
                <w:szCs w:val="20"/>
                <w:color w:val="auto"/>
              </w:rPr>
            </w:pPr>
            <w:r>
              <w:rPr>
                <w:rFonts w:ascii="Arial" w:cs="Arial" w:eastAsia="Arial" w:hAnsi="Arial"/>
                <w:sz w:val="15"/>
                <w:szCs w:val="15"/>
                <w:b w:val="1"/>
                <w:bCs w:val="1"/>
                <w:color w:val="0033A0"/>
              </w:rPr>
              <w:t>Result</w:t>
            </w:r>
          </w:p>
        </w:tc>
        <w:tc>
          <w:tcPr>
            <w:tcW w:w="2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0033A0"/>
              </w:rPr>
              <w:t>(2)</w:t>
            </w:r>
          </w:p>
        </w:tc>
        <w:tc>
          <w:tcPr>
            <w:tcW w:w="0" w:type="dxa"/>
            <w:vAlign w:val="bottom"/>
          </w:tcPr>
          <w:p>
            <w:pPr>
              <w:spacing w:after="0"/>
              <w:rPr>
                <w:sz w:val="1"/>
                <w:szCs w:val="1"/>
                <w:color w:val="auto"/>
              </w:rPr>
            </w:pPr>
          </w:p>
        </w:tc>
      </w:tr>
      <w:tr>
        <w:trPr>
          <w:trHeight w:val="54"/>
        </w:trPr>
        <w:tc>
          <w:tcPr>
            <w:tcW w:w="2320" w:type="dxa"/>
            <w:vAlign w:val="bottom"/>
            <w:tcBorders>
              <w:bottom w:val="single" w:sz="8" w:color="0033A0"/>
            </w:tcBorders>
            <w:vMerge w:val="continue"/>
          </w:tcPr>
          <w:p>
            <w:pPr>
              <w:spacing w:after="0"/>
              <w:rPr>
                <w:sz w:val="4"/>
                <w:szCs w:val="4"/>
                <w:color w:val="auto"/>
              </w:rPr>
            </w:pPr>
          </w:p>
        </w:tc>
        <w:tc>
          <w:tcPr>
            <w:tcW w:w="2040" w:type="dxa"/>
            <w:vAlign w:val="bottom"/>
            <w:tcBorders>
              <w:bottom w:val="single" w:sz="8" w:color="0033A0"/>
            </w:tcBorders>
          </w:tcPr>
          <w:p>
            <w:pPr>
              <w:spacing w:after="0"/>
              <w:rPr>
                <w:sz w:val="4"/>
                <w:szCs w:val="4"/>
                <w:color w:val="auto"/>
              </w:rPr>
            </w:pPr>
          </w:p>
        </w:tc>
        <w:tc>
          <w:tcPr>
            <w:tcW w:w="1300" w:type="dxa"/>
            <w:vAlign w:val="bottom"/>
            <w:tcBorders>
              <w:bottom w:val="single" w:sz="8" w:color="0033A0"/>
            </w:tcBorders>
          </w:tcPr>
          <w:p>
            <w:pPr>
              <w:spacing w:after="0"/>
              <w:rPr>
                <w:sz w:val="4"/>
                <w:szCs w:val="4"/>
                <w:color w:val="auto"/>
              </w:rPr>
            </w:pPr>
          </w:p>
        </w:tc>
        <w:tc>
          <w:tcPr>
            <w:tcW w:w="1020" w:type="dxa"/>
            <w:vAlign w:val="bottom"/>
            <w:tcBorders>
              <w:bottom w:val="single" w:sz="8" w:color="0033A0"/>
            </w:tcBorders>
          </w:tcPr>
          <w:p>
            <w:pPr>
              <w:spacing w:after="0"/>
              <w:rPr>
                <w:sz w:val="4"/>
                <w:szCs w:val="4"/>
                <w:color w:val="auto"/>
              </w:rPr>
            </w:pPr>
          </w:p>
        </w:tc>
        <w:tc>
          <w:tcPr>
            <w:tcW w:w="1260" w:type="dxa"/>
            <w:vAlign w:val="bottom"/>
            <w:tcBorders>
              <w:bottom w:val="single" w:sz="8" w:color="0033A0"/>
            </w:tcBorders>
          </w:tcPr>
          <w:p>
            <w:pPr>
              <w:spacing w:after="0"/>
              <w:rPr>
                <w:sz w:val="4"/>
                <w:szCs w:val="4"/>
                <w:color w:val="auto"/>
              </w:rPr>
            </w:pPr>
          </w:p>
        </w:tc>
        <w:tc>
          <w:tcPr>
            <w:tcW w:w="1340" w:type="dxa"/>
            <w:vAlign w:val="bottom"/>
            <w:tcBorders>
              <w:bottom w:val="single" w:sz="8" w:color="0033A0"/>
            </w:tcBorders>
          </w:tcPr>
          <w:p>
            <w:pPr>
              <w:spacing w:after="0"/>
              <w:rPr>
                <w:sz w:val="4"/>
                <w:szCs w:val="4"/>
                <w:color w:val="auto"/>
              </w:rPr>
            </w:pPr>
          </w:p>
        </w:tc>
        <w:tc>
          <w:tcPr>
            <w:tcW w:w="320" w:type="dxa"/>
            <w:vAlign w:val="bottom"/>
            <w:tcBorders>
              <w:bottom w:val="single" w:sz="8" w:color="0033A0"/>
            </w:tcBorders>
          </w:tcPr>
          <w:p>
            <w:pPr>
              <w:spacing w:after="0"/>
              <w:rPr>
                <w:sz w:val="4"/>
                <w:szCs w:val="4"/>
                <w:color w:val="auto"/>
              </w:rPr>
            </w:pPr>
          </w:p>
        </w:tc>
        <w:tc>
          <w:tcPr>
            <w:tcW w:w="1420" w:type="dxa"/>
            <w:vAlign w:val="bottom"/>
            <w:tcBorders>
              <w:bottom w:val="single" w:sz="8" w:color="0033A0"/>
            </w:tcBorders>
          </w:tcPr>
          <w:p>
            <w:pPr>
              <w:jc w:val="right"/>
              <w:ind w:right="156"/>
              <w:spacing w:after="0" w:line="54" w:lineRule="exact"/>
              <w:rPr>
                <w:sz w:val="20"/>
                <w:szCs w:val="20"/>
                <w:color w:val="auto"/>
              </w:rPr>
            </w:pPr>
            <w:r>
              <w:rPr>
                <w:rFonts w:ascii="Arial" w:cs="Arial" w:eastAsia="Arial" w:hAnsi="Arial"/>
                <w:sz w:val="5"/>
                <w:szCs w:val="5"/>
                <w:b w:val="1"/>
                <w:bCs w:val="1"/>
                <w:color w:val="0033A0"/>
              </w:rPr>
              <w:t>200%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right="40" w:hanging="316"/>
        <w:spacing w:after="0" w:line="279" w:lineRule="auto"/>
        <w:tabs>
          <w:tab w:leader="none" w:pos="5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average of ROIC-adjusted for 2015 to 2017. ROIC-adjusted for 2015 and 2016 was 27.2% and 28.9%, respectively. ROIC-adjusted for 2017 was 28.2%, as reported on a continuing operations basis.</w:t>
      </w:r>
    </w:p>
    <w:p>
      <w:pPr>
        <w:spacing w:after="0" w:line="17" w:lineRule="exact"/>
        <w:rPr>
          <w:rFonts w:ascii="Arial" w:cs="Arial" w:eastAsia="Arial" w:hAnsi="Arial"/>
          <w:sz w:val="14"/>
          <w:szCs w:val="14"/>
          <w:i w:val="1"/>
          <w:iCs w:val="1"/>
          <w:color w:val="auto"/>
        </w:rPr>
      </w:pPr>
    </w:p>
    <w:p>
      <w:pPr>
        <w:jc w:val="both"/>
        <w:ind w:left="520" w:right="40" w:hanging="316"/>
        <w:spacing w:after="0" w:line="260" w:lineRule="auto"/>
        <w:tabs>
          <w:tab w:leader="none" w:pos="5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The modifier for Global Market Share reduces the payout 25 points if Global Market Share is below 11.3%. The payout is increased 25 points if Global Market Share is at or above 11.8% not to exceed plan maximum of 200%. The Company achieved 11.3% Global Market Share for the performance period, thus no modifier was applied. Global Market Share excludes the impact of the Company’s decision to exit markets during the performance period.</w:t>
      </w:r>
    </w:p>
    <w:p>
      <w:pPr>
        <w:spacing w:after="0" w:line="150" w:lineRule="exact"/>
        <w:rPr>
          <w:sz w:val="20"/>
          <w:szCs w:val="20"/>
          <w:color w:val="auto"/>
        </w:rPr>
      </w:pPr>
    </w:p>
    <w:p>
      <w:pPr>
        <w:ind w:left="200" w:right="40"/>
        <w:spacing w:after="0" w:line="246" w:lineRule="auto"/>
        <w:rPr>
          <w:sz w:val="20"/>
          <w:szCs w:val="20"/>
          <w:color w:val="auto"/>
        </w:rPr>
      </w:pPr>
      <w:r>
        <w:rPr>
          <w:rFonts w:ascii="Arial" w:cs="Arial" w:eastAsia="Arial" w:hAnsi="Arial"/>
          <w:sz w:val="16"/>
          <w:szCs w:val="16"/>
          <w:color w:val="auto"/>
        </w:rPr>
        <w:t>Focusing our leaders on ROIC-adjusted has resulted in significant performance improvements since calendar year 2012, when ROIC-adjusted was 16.0% at which time we set an enduring target of 20% based on commitment to shareholders. We ended calendar year 2017 with a ROIC-adjusted of</w:t>
      </w:r>
    </w:p>
    <w:p>
      <w:pPr>
        <w:spacing w:after="0" w:line="1"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28.2%. The 2017–2019 PSUs focus leaders not only on delivering improved ROIC-adjusted results, but also on being the top automotive OEM for ROIC-adjusted results.</w:t>
      </w:r>
    </w:p>
    <w:p>
      <w:pPr>
        <w:spacing w:after="0" w:line="317"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25"/>
          <w:szCs w:val="25"/>
          <w:color w:val="0033A0"/>
        </w:rPr>
      </w:pPr>
      <w:r>
        <w:rPr>
          <w:rFonts w:ascii="Arial" w:cs="Arial" w:eastAsia="Arial" w:hAnsi="Arial"/>
          <w:sz w:val="25"/>
          <w:szCs w:val="25"/>
          <w:color w:val="auto"/>
        </w:rPr>
        <w:t>One-time 2015–2020 DSV Option Grant</w:t>
      </w:r>
    </w:p>
    <w:p>
      <w:pPr>
        <w:spacing w:after="0" w:line="186"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The DSV option grant was a one-time grant made on July 28, 2015 to senior leaders to secure non-compete and non-solicitation terms and to drive an increased focus on stock price appreciation. The DSV grant featured 40% time-based vesting and 60% performance-based vesting. The performance-based portion vests upon meeting or exceeding the median TSR relative to the OEM peer group in place on the date of grant. 20% of the DSV option grant vested based on relative TSR performance for the period July 28, 2015–December 31, 2017 and 40% of the overall award remains outstanding with performance periods ending on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164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DSV Measure</w:t>
            </w:r>
          </w:p>
        </w:tc>
        <w:tc>
          <w:tcPr>
            <w:tcW w:w="3160" w:type="dxa"/>
            <w:vAlign w:val="bottom"/>
            <w:tcBorders>
              <w:bottom w:val="single" w:sz="8" w:color="00A1DF"/>
            </w:tcBorders>
          </w:tcPr>
          <w:p>
            <w:pPr>
              <w:jc w:val="right"/>
              <w:ind w:right="171"/>
              <w:spacing w:after="0"/>
              <w:rPr>
                <w:sz w:val="20"/>
                <w:szCs w:val="20"/>
                <w:color w:val="auto"/>
              </w:rPr>
            </w:pPr>
            <w:r>
              <w:rPr>
                <w:rFonts w:ascii="Arial" w:cs="Arial" w:eastAsia="Arial" w:hAnsi="Arial"/>
                <w:sz w:val="15"/>
                <w:szCs w:val="15"/>
                <w:b w:val="1"/>
                <w:bCs w:val="1"/>
                <w:color w:val="00A1DF"/>
              </w:rPr>
              <w:t>Performance Period</w:t>
            </w:r>
          </w:p>
        </w:tc>
        <w:tc>
          <w:tcPr>
            <w:tcW w:w="1620" w:type="dxa"/>
            <w:vAlign w:val="bottom"/>
            <w:tcBorders>
              <w:bottom w:val="single" w:sz="8" w:color="00A1DF"/>
            </w:tcBorders>
          </w:tcPr>
          <w:p>
            <w:pPr>
              <w:jc w:val="right"/>
              <w:ind w:right="111"/>
              <w:spacing w:after="0"/>
              <w:rPr>
                <w:sz w:val="20"/>
                <w:szCs w:val="20"/>
                <w:color w:val="auto"/>
              </w:rPr>
            </w:pPr>
            <w:r>
              <w:rPr>
                <w:rFonts w:ascii="Arial" w:cs="Arial" w:eastAsia="Arial" w:hAnsi="Arial"/>
                <w:sz w:val="15"/>
                <w:szCs w:val="15"/>
                <w:b w:val="1"/>
                <w:bCs w:val="1"/>
                <w:color w:val="00A1DF"/>
              </w:rPr>
              <w:t>Vesting Date</w:t>
            </w:r>
          </w:p>
        </w:tc>
        <w:tc>
          <w:tcPr>
            <w:tcW w:w="1000" w:type="dxa"/>
            <w:vAlign w:val="bottom"/>
            <w:tcBorders>
              <w:bottom w:val="single" w:sz="8" w:color="00A1DF"/>
            </w:tcBorders>
          </w:tcPr>
          <w:p>
            <w:pPr>
              <w:jc w:val="right"/>
              <w:ind w:right="251"/>
              <w:spacing w:after="0"/>
              <w:rPr>
                <w:sz w:val="20"/>
                <w:szCs w:val="20"/>
                <w:color w:val="auto"/>
              </w:rPr>
            </w:pPr>
            <w:r>
              <w:rPr>
                <w:rFonts w:ascii="Arial" w:cs="Arial" w:eastAsia="Arial" w:hAnsi="Arial"/>
                <w:sz w:val="15"/>
                <w:szCs w:val="15"/>
                <w:b w:val="1"/>
                <w:bCs w:val="1"/>
                <w:color w:val="00A1DF"/>
              </w:rPr>
              <w:t>Weight</w:t>
            </w:r>
          </w:p>
        </w:tc>
        <w:tc>
          <w:tcPr>
            <w:tcW w:w="320" w:type="dxa"/>
            <w:vAlign w:val="bottom"/>
            <w:tcBorders>
              <w:bottom w:val="single" w:sz="8" w:color="00A1DF"/>
            </w:tcBorders>
          </w:tcPr>
          <w:p>
            <w:pPr>
              <w:spacing w:after="0"/>
              <w:rPr>
                <w:sz w:val="17"/>
                <w:szCs w:val="17"/>
                <w:color w:val="auto"/>
              </w:rPr>
            </w:pPr>
          </w:p>
        </w:tc>
        <w:tc>
          <w:tcPr>
            <w:tcW w:w="1040" w:type="dxa"/>
            <w:vAlign w:val="bottom"/>
            <w:tcBorders>
              <w:bottom w:val="single" w:sz="8" w:color="00A1DF"/>
            </w:tcBorders>
            <w:gridSpan w:val="2"/>
          </w:tcPr>
          <w:p>
            <w:pPr>
              <w:jc w:val="right"/>
              <w:ind w:right="178"/>
              <w:spacing w:after="0"/>
              <w:rPr>
                <w:sz w:val="20"/>
                <w:szCs w:val="20"/>
                <w:color w:val="auto"/>
              </w:rPr>
            </w:pPr>
            <w:r>
              <w:rPr>
                <w:rFonts w:ascii="Arial" w:cs="Arial" w:eastAsia="Arial" w:hAnsi="Arial"/>
                <w:sz w:val="15"/>
                <w:szCs w:val="15"/>
                <w:b w:val="1"/>
                <w:bCs w:val="1"/>
                <w:color w:val="00A1DF"/>
              </w:rPr>
              <w:t>Target TSR</w:t>
            </w:r>
          </w:p>
        </w:tc>
        <w:tc>
          <w:tcPr>
            <w:tcW w:w="1360" w:type="dxa"/>
            <w:vAlign w:val="bottom"/>
            <w:tcBorders>
              <w:bottom w:val="single" w:sz="8" w:color="00A1DF"/>
            </w:tcBorders>
          </w:tcPr>
          <w:p>
            <w:pPr>
              <w:jc w:val="right"/>
              <w:ind w:right="86"/>
              <w:spacing w:after="0"/>
              <w:rPr>
                <w:sz w:val="20"/>
                <w:szCs w:val="20"/>
                <w:color w:val="auto"/>
              </w:rPr>
            </w:pPr>
            <w:r>
              <w:rPr>
                <w:rFonts w:ascii="Arial" w:cs="Arial" w:eastAsia="Arial" w:hAnsi="Arial"/>
                <w:sz w:val="15"/>
                <w:szCs w:val="15"/>
                <w:b w:val="1"/>
                <w:bCs w:val="1"/>
                <w:color w:val="00A1DF"/>
              </w:rPr>
              <w:t>Result</w:t>
            </w:r>
          </w:p>
        </w:tc>
        <w:tc>
          <w:tcPr>
            <w:tcW w:w="880" w:type="dxa"/>
            <w:vAlign w:val="bottom"/>
            <w:tcBorders>
              <w:bottom w:val="single" w:sz="8" w:color="00A1DF"/>
            </w:tcBorders>
          </w:tcPr>
          <w:p>
            <w:pPr>
              <w:jc w:val="right"/>
              <w:ind w:right="151"/>
              <w:spacing w:after="0"/>
              <w:rPr>
                <w:sz w:val="20"/>
                <w:szCs w:val="20"/>
                <w:color w:val="auto"/>
              </w:rPr>
            </w:pPr>
            <w:r>
              <w:rPr>
                <w:rFonts w:ascii="Arial" w:cs="Arial" w:eastAsia="Arial" w:hAnsi="Arial"/>
                <w:sz w:val="15"/>
                <w:szCs w:val="15"/>
                <w:b w:val="1"/>
                <w:bCs w:val="1"/>
                <w:color w:val="00A1DF"/>
              </w:rPr>
              <w:t>Vesting</w:t>
            </w:r>
          </w:p>
        </w:tc>
        <w:tc>
          <w:tcPr>
            <w:tcW w:w="0" w:type="dxa"/>
            <w:vAlign w:val="bottom"/>
          </w:tcPr>
          <w:p>
            <w:pPr>
              <w:spacing w:after="0"/>
              <w:rPr>
                <w:sz w:val="1"/>
                <w:szCs w:val="1"/>
                <w:color w:val="auto"/>
              </w:rPr>
            </w:pPr>
          </w:p>
        </w:tc>
      </w:tr>
      <w:tr>
        <w:trPr>
          <w:trHeight w:val="42"/>
        </w:trPr>
        <w:tc>
          <w:tcPr>
            <w:tcW w:w="1640" w:type="dxa"/>
            <w:vAlign w:val="bottom"/>
          </w:tcPr>
          <w:p>
            <w:pPr>
              <w:ind w:left="60"/>
              <w:spacing w:after="0" w:line="42" w:lineRule="exact"/>
              <w:rPr>
                <w:sz w:val="20"/>
                <w:szCs w:val="20"/>
                <w:color w:val="auto"/>
              </w:rPr>
            </w:pPr>
            <w:r>
              <w:rPr>
                <w:rFonts w:ascii="Arial" w:cs="Arial" w:eastAsia="Arial" w:hAnsi="Arial"/>
                <w:sz w:val="4"/>
                <w:szCs w:val="4"/>
                <w:color w:val="auto"/>
              </w:rPr>
              <w:t>Relative TSR</w:t>
            </w:r>
          </w:p>
        </w:tc>
        <w:tc>
          <w:tcPr>
            <w:tcW w:w="3160" w:type="dxa"/>
            <w:vAlign w:val="bottom"/>
          </w:tcPr>
          <w:p>
            <w:pPr>
              <w:jc w:val="right"/>
              <w:ind w:right="171"/>
              <w:spacing w:after="0" w:line="42" w:lineRule="exact"/>
              <w:rPr>
                <w:sz w:val="20"/>
                <w:szCs w:val="20"/>
                <w:color w:val="auto"/>
              </w:rPr>
            </w:pPr>
            <w:r>
              <w:rPr>
                <w:rFonts w:ascii="Arial" w:cs="Arial" w:eastAsia="Arial" w:hAnsi="Arial"/>
                <w:sz w:val="4"/>
                <w:szCs w:val="4"/>
                <w:color w:val="auto"/>
              </w:rPr>
              <w:t>July 28, 2015–December 31, 2017</w:t>
            </w:r>
          </w:p>
        </w:tc>
        <w:tc>
          <w:tcPr>
            <w:tcW w:w="1620" w:type="dxa"/>
            <w:vAlign w:val="bottom"/>
          </w:tcPr>
          <w:p>
            <w:pPr>
              <w:jc w:val="right"/>
              <w:ind w:right="111"/>
              <w:spacing w:after="0" w:line="42" w:lineRule="exact"/>
              <w:rPr>
                <w:sz w:val="20"/>
                <w:szCs w:val="20"/>
                <w:color w:val="auto"/>
              </w:rPr>
            </w:pPr>
            <w:r>
              <w:rPr>
                <w:rFonts w:ascii="Arial" w:cs="Arial" w:eastAsia="Arial" w:hAnsi="Arial"/>
                <w:sz w:val="4"/>
                <w:szCs w:val="4"/>
                <w:color w:val="auto"/>
              </w:rPr>
              <w:t>February 15, 2018</w:t>
            </w:r>
          </w:p>
        </w:tc>
        <w:tc>
          <w:tcPr>
            <w:tcW w:w="1000" w:type="dxa"/>
            <w:vAlign w:val="bottom"/>
          </w:tcPr>
          <w:p>
            <w:pPr>
              <w:jc w:val="right"/>
              <w:ind w:right="111"/>
              <w:spacing w:after="0" w:line="42" w:lineRule="exact"/>
              <w:rPr>
                <w:sz w:val="20"/>
                <w:szCs w:val="20"/>
                <w:color w:val="auto"/>
              </w:rPr>
            </w:pPr>
            <w:r>
              <w:rPr>
                <w:rFonts w:ascii="Arial" w:cs="Arial" w:eastAsia="Arial" w:hAnsi="Arial"/>
                <w:sz w:val="4"/>
                <w:szCs w:val="4"/>
                <w:color w:val="auto"/>
              </w:rPr>
              <w:t>20%</w:t>
            </w:r>
          </w:p>
        </w:tc>
        <w:tc>
          <w:tcPr>
            <w:tcW w:w="320" w:type="dxa"/>
            <w:vAlign w:val="bottom"/>
          </w:tcPr>
          <w:p>
            <w:pPr>
              <w:jc w:val="right"/>
              <w:spacing w:after="0" w:line="42" w:lineRule="exact"/>
              <w:rPr>
                <w:sz w:val="20"/>
                <w:szCs w:val="20"/>
                <w:color w:val="auto"/>
              </w:rPr>
            </w:pPr>
            <w:r>
              <w:rPr>
                <w:rFonts w:ascii="Arial" w:cs="Arial" w:eastAsia="Arial" w:hAnsi="Arial"/>
                <w:sz w:val="4"/>
                <w:szCs w:val="4"/>
                <w:color w:val="auto"/>
              </w:rPr>
              <w:t>50</w:t>
            </w:r>
          </w:p>
        </w:tc>
        <w:tc>
          <w:tcPr>
            <w:tcW w:w="140" w:type="dxa"/>
            <w:vAlign w:val="bottom"/>
            <w:vMerge w:val="restart"/>
          </w:tcPr>
          <w:p>
            <w:pPr>
              <w:spacing w:after="0"/>
              <w:rPr>
                <w:sz w:val="20"/>
                <w:szCs w:val="20"/>
                <w:color w:val="auto"/>
              </w:rPr>
            </w:pPr>
            <w:r>
              <w:rPr>
                <w:rFonts w:ascii="Arial" w:cs="Arial" w:eastAsia="Arial" w:hAnsi="Arial"/>
                <w:sz w:val="13"/>
                <w:szCs w:val="13"/>
                <w:color w:val="auto"/>
              </w:rPr>
              <w:t>th</w:t>
            </w:r>
          </w:p>
        </w:tc>
        <w:tc>
          <w:tcPr>
            <w:tcW w:w="900" w:type="dxa"/>
            <w:vAlign w:val="bottom"/>
          </w:tcPr>
          <w:p>
            <w:pPr>
              <w:jc w:val="right"/>
              <w:ind w:right="178"/>
              <w:spacing w:after="0" w:line="42" w:lineRule="exact"/>
              <w:rPr>
                <w:sz w:val="20"/>
                <w:szCs w:val="20"/>
                <w:color w:val="auto"/>
              </w:rPr>
            </w:pPr>
            <w:r>
              <w:rPr>
                <w:rFonts w:ascii="Arial" w:cs="Arial" w:eastAsia="Arial" w:hAnsi="Arial"/>
                <w:sz w:val="4"/>
                <w:szCs w:val="4"/>
                <w:color w:val="auto"/>
              </w:rPr>
              <w:t>Percentile</w:t>
            </w:r>
          </w:p>
        </w:tc>
        <w:tc>
          <w:tcPr>
            <w:tcW w:w="1360" w:type="dxa"/>
            <w:vAlign w:val="bottom"/>
          </w:tcPr>
          <w:p>
            <w:pPr>
              <w:jc w:val="right"/>
              <w:ind w:right="86"/>
              <w:spacing w:after="0" w:line="42" w:lineRule="exact"/>
              <w:rPr>
                <w:sz w:val="20"/>
                <w:szCs w:val="20"/>
                <w:color w:val="auto"/>
              </w:rPr>
            </w:pPr>
            <w:r>
              <w:rPr>
                <w:rFonts w:ascii="Arial" w:cs="Arial" w:eastAsia="Arial" w:hAnsi="Arial"/>
                <w:sz w:val="4"/>
                <w:szCs w:val="4"/>
                <w:color w:val="auto"/>
              </w:rPr>
              <w:t>87  Percentile</w:t>
            </w:r>
          </w:p>
        </w:tc>
        <w:tc>
          <w:tcPr>
            <w:tcW w:w="880" w:type="dxa"/>
            <w:vAlign w:val="bottom"/>
          </w:tcPr>
          <w:p>
            <w:pPr>
              <w:jc w:val="right"/>
              <w:ind w:right="11"/>
              <w:spacing w:after="0" w:line="42" w:lineRule="exact"/>
              <w:rPr>
                <w:sz w:val="20"/>
                <w:szCs w:val="20"/>
                <w:color w:val="auto"/>
              </w:rPr>
            </w:pPr>
            <w:r>
              <w:rPr>
                <w:rFonts w:ascii="Arial" w:cs="Arial" w:eastAsia="Arial" w:hAnsi="Arial"/>
                <w:sz w:val="4"/>
                <w:szCs w:val="4"/>
                <w:color w:val="auto"/>
              </w:rPr>
              <w:t>100%</w:t>
            </w:r>
          </w:p>
        </w:tc>
        <w:tc>
          <w:tcPr>
            <w:tcW w:w="0" w:type="dxa"/>
            <w:vAlign w:val="bottom"/>
          </w:tcPr>
          <w:p>
            <w:pPr>
              <w:spacing w:after="0"/>
              <w:rPr>
                <w:sz w:val="1"/>
                <w:szCs w:val="1"/>
                <w:color w:val="auto"/>
              </w:rPr>
            </w:pPr>
          </w:p>
        </w:tc>
      </w:tr>
      <w:tr>
        <w:trPr>
          <w:trHeight w:val="165"/>
        </w:trPr>
        <w:tc>
          <w:tcPr>
            <w:tcW w:w="16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26"/>
              <w:spacing w:after="0"/>
              <w:rPr>
                <w:sz w:val="20"/>
                <w:szCs w:val="20"/>
                <w:color w:val="auto"/>
              </w:rPr>
            </w:pPr>
            <w:r>
              <w:rPr>
                <w:rFonts w:ascii="Arial" w:cs="Arial" w:eastAsia="Arial" w:hAnsi="Arial"/>
                <w:sz w:val="13"/>
                <w:szCs w:val="13"/>
                <w:color w:val="auto"/>
              </w:rPr>
              <w:t>th</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47</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26" w:lineRule="exact"/>
        <w:rPr>
          <w:sz w:val="20"/>
          <w:szCs w:val="20"/>
          <w:color w:val="auto"/>
        </w:rPr>
      </w:pPr>
    </w:p>
    <w:p>
      <w:pPr>
        <w:ind w:left="640" w:hanging="429"/>
        <w:spacing w:after="0"/>
        <w:tabs>
          <w:tab w:leader="none" w:pos="640" w:val="left"/>
        </w:tabs>
        <w:numPr>
          <w:ilvl w:val="0"/>
          <w:numId w:val="90"/>
        </w:numPr>
        <w:rPr>
          <w:rFonts w:ascii="Arial" w:cs="Arial" w:eastAsia="Arial" w:hAnsi="Arial"/>
          <w:sz w:val="25"/>
          <w:szCs w:val="25"/>
          <w:color w:val="0033A0"/>
        </w:rPr>
      </w:pPr>
      <w:r>
        <w:rPr>
          <w:rFonts w:ascii="Arial" w:cs="Arial" w:eastAsia="Arial" w:hAnsi="Arial"/>
          <w:sz w:val="25"/>
          <w:szCs w:val="25"/>
          <w:color w:val="auto"/>
        </w:rPr>
        <w:t>Compensation Decisions for Mary T. Barra</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Mary T. Barra, </w:t>
      </w:r>
      <w:r>
        <w:rPr>
          <w:rFonts w:ascii="Arial" w:cs="Arial" w:eastAsia="Arial" w:hAnsi="Arial"/>
          <w:sz w:val="16"/>
          <w:szCs w:val="16"/>
          <w:b w:val="1"/>
          <w:bCs w:val="1"/>
          <w:color w:val="000000"/>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4545330" cy="3867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45330" cy="3867785"/>
                    </a:xfrm>
                    <a:prstGeom prst="rect">
                      <a:avLst/>
                    </a:prstGeom>
                    <a:noFill/>
                  </pic:spPr>
                </pic:pic>
              </a:graphicData>
            </a:graphic>
          </wp:anchor>
        </w:drawing>
      </w:r>
    </w:p>
    <w:p>
      <w:pPr>
        <w:spacing w:after="0" w:line="127" w:lineRule="exact"/>
        <w:rPr>
          <w:sz w:val="20"/>
          <w:szCs w:val="20"/>
          <w:color w:val="auto"/>
        </w:rPr>
      </w:pPr>
    </w:p>
    <w:p>
      <w:pPr>
        <w:ind w:left="360" w:right="140"/>
        <w:spacing w:after="0" w:line="260" w:lineRule="auto"/>
        <w:rPr>
          <w:sz w:val="20"/>
          <w:szCs w:val="20"/>
          <w:color w:val="auto"/>
        </w:rPr>
      </w:pPr>
      <w:r>
        <w:rPr>
          <w:rFonts w:ascii="Arial" w:cs="Arial" w:eastAsia="Arial" w:hAnsi="Arial"/>
          <w:sz w:val="16"/>
          <w:szCs w:val="16"/>
          <w:color w:val="auto"/>
        </w:rPr>
        <w:t>Ms. Barra’s performance for 2017 was directly aligned with the Company’s 2017 strategic objectives:</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Core</w:t>
      </w:r>
    </w:p>
    <w:p>
      <w:pPr>
        <w:spacing w:after="0" w:line="94" w:lineRule="exact"/>
        <w:rPr>
          <w:sz w:val="20"/>
          <w:szCs w:val="20"/>
          <w:color w:val="auto"/>
        </w:rPr>
      </w:pPr>
    </w:p>
    <w:p>
      <w:pPr>
        <w:ind w:left="540" w:right="140" w:hanging="161"/>
        <w:spacing w:after="0" w:line="26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improvement in EBIT-adjusted margins and delivered record EBIT-adjusted</w:t>
      </w:r>
      <w:r>
        <w:rPr>
          <w:rFonts w:ascii="Arial" w:cs="Arial" w:eastAsia="Arial" w:hAnsi="Arial"/>
          <w:sz w:val="16"/>
          <w:szCs w:val="16"/>
          <w:color w:val="00A1DF"/>
        </w:rPr>
        <w:t xml:space="preserve"> </w:t>
      </w:r>
      <w:r>
        <w:rPr>
          <w:rFonts w:ascii="Arial" w:cs="Arial" w:eastAsia="Arial" w:hAnsi="Arial"/>
          <w:sz w:val="16"/>
          <w:szCs w:val="16"/>
          <w:color w:val="000000"/>
        </w:rPr>
        <w:t>margins, including the third straight year of 10% or higher margins in North America</w:t>
      </w: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Increased EPS-diluted-adjusted to record $6.62</w:t>
      </w:r>
    </w:p>
    <w:p>
      <w:pPr>
        <w:spacing w:after="0" w:line="11" w:lineRule="exact"/>
        <w:rPr>
          <w:sz w:val="20"/>
          <w:szCs w:val="20"/>
          <w:color w:val="auto"/>
        </w:rPr>
      </w:pPr>
    </w:p>
    <w:p>
      <w:pPr>
        <w:ind w:left="540" w:right="14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Achieved 13 top 3 models in the J.D. Power APEAL survey measuring performance,</w:t>
      </w:r>
      <w:r>
        <w:rPr>
          <w:rFonts w:ascii="Arial" w:cs="Arial" w:eastAsia="Arial" w:hAnsi="Arial"/>
          <w:sz w:val="16"/>
          <w:szCs w:val="16"/>
          <w:color w:val="00A1DF"/>
        </w:rPr>
        <w:t xml:space="preserve"> </w:t>
      </w:r>
      <w:r>
        <w:rPr>
          <w:rFonts w:ascii="Arial" w:cs="Arial" w:eastAsia="Arial" w:hAnsi="Arial"/>
          <w:sz w:val="16"/>
          <w:szCs w:val="16"/>
          <w:color w:val="000000"/>
        </w:rPr>
        <w:t>execution, and layout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Received the IHS Automotive Loyalty Award for the third straight year</w:t>
      </w:r>
    </w:p>
    <w:p>
      <w:pPr>
        <w:spacing w:after="0" w:line="11" w:lineRule="exact"/>
        <w:rPr>
          <w:sz w:val="20"/>
          <w:szCs w:val="20"/>
          <w:color w:val="auto"/>
        </w:rPr>
      </w:pPr>
    </w:p>
    <w:p>
      <w:pPr>
        <w:ind w:left="540" w:right="14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Chevrolet sold a record number of electric vehicles, including more than 43,600 Bolt EVs and</w:t>
      </w:r>
      <w:r>
        <w:rPr>
          <w:rFonts w:ascii="Arial" w:cs="Arial" w:eastAsia="Arial" w:hAnsi="Arial"/>
          <w:sz w:val="16"/>
          <w:szCs w:val="16"/>
          <w:color w:val="00A1DF"/>
        </w:rPr>
        <w:t xml:space="preserve"> </w:t>
      </w:r>
      <w:r>
        <w:rPr>
          <w:rFonts w:ascii="Arial" w:cs="Arial" w:eastAsia="Arial" w:hAnsi="Arial"/>
          <w:sz w:val="16"/>
          <w:szCs w:val="16"/>
          <w:color w:val="000000"/>
        </w:rPr>
        <w:t>Volts</w:t>
      </w:r>
    </w:p>
    <w:p>
      <w:pPr>
        <w:spacing w:after="0" w:line="1" w:lineRule="exact"/>
        <w:rPr>
          <w:sz w:val="20"/>
          <w:szCs w:val="20"/>
          <w:color w:val="auto"/>
        </w:rPr>
      </w:pPr>
    </w:p>
    <w:p>
      <w:pPr>
        <w:ind w:left="360" w:right="740"/>
        <w:spacing w:after="0" w:line="25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Completed the sales of Opel/Vauxhall and GM Financial European businesses to PSA</w:t>
      </w:r>
      <w:r>
        <w:rPr>
          <w:rFonts w:ascii="Arial" w:cs="Arial" w:eastAsia="Arial" w:hAnsi="Arial"/>
          <w:sz w:val="16"/>
          <w:szCs w:val="16"/>
          <w:color w:val="00A1DF"/>
        </w:rPr>
        <w:t xml:space="preserve"> u </w:t>
      </w:r>
      <w:r>
        <w:rPr>
          <w:rFonts w:ascii="Arial" w:cs="Arial" w:eastAsia="Arial" w:hAnsi="Arial"/>
          <w:sz w:val="16"/>
          <w:szCs w:val="16"/>
          <w:color w:val="000000"/>
        </w:rPr>
        <w:t>More than 150 facilities are operating landfill free</w:t>
      </w:r>
    </w:p>
    <w:p>
      <w:pPr>
        <w:ind w:left="360" w:right="400"/>
        <w:spacing w:after="0" w:line="385"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Global Cadillac experienced record sales in 2017 with significant increases from GM China</w:t>
      </w:r>
      <w:r>
        <w:rPr>
          <w:rFonts w:ascii="Arial" w:cs="Arial" w:eastAsia="Arial" w:hAnsi="Arial"/>
          <w:sz w:val="16"/>
          <w:szCs w:val="16"/>
          <w:color w:val="00A1DF"/>
        </w:rPr>
        <w:t xml:space="preserve"> </w:t>
      </w:r>
      <w:r>
        <w:rPr>
          <w:rFonts w:ascii="Arial" w:cs="Arial" w:eastAsia="Arial" w:hAnsi="Arial"/>
          <w:sz w:val="16"/>
          <w:szCs w:val="16"/>
          <w:b w:val="1"/>
          <w:bCs w:val="1"/>
          <w:color w:val="000000"/>
        </w:rPr>
        <w:t>Transformation</w:t>
      </w: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Introduced the vision of zero crashes, zero emissions, and zero congestion for the future of</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GM</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Expanded both Maven and Book by Cadillac to increase carsharing capabilities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Announced plans to deploy self-driving vehicles in a dense urban environment in 2019</w:t>
      </w:r>
    </w:p>
    <w:p>
      <w:pPr>
        <w:spacing w:after="0" w:line="19" w:lineRule="exact"/>
        <w:rPr>
          <w:sz w:val="20"/>
          <w:szCs w:val="20"/>
          <w:color w:val="auto"/>
        </w:rPr>
      </w:pPr>
    </w:p>
    <w:p>
      <w:pPr>
        <w:ind w:left="540" w:right="140" w:hanging="161"/>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Launched Super Cruise, the world’s first hands-free highway driving technology, on the</w:t>
      </w:r>
      <w:r>
        <w:rPr>
          <w:rFonts w:ascii="Arial" w:cs="Arial" w:eastAsia="Arial" w:hAnsi="Arial"/>
          <w:sz w:val="16"/>
          <w:szCs w:val="16"/>
          <w:color w:val="00A1DF"/>
        </w:rPr>
        <w:t xml:space="preserve"> </w:t>
      </w:r>
      <w:r>
        <w:rPr>
          <w:rFonts w:ascii="Arial" w:cs="Arial" w:eastAsia="Arial" w:hAnsi="Arial"/>
          <w:sz w:val="16"/>
          <w:szCs w:val="16"/>
          <w:color w:val="000000"/>
        </w:rPr>
        <w:t>Cadillac CT6</w:t>
      </w:r>
    </w:p>
    <w:p>
      <w:pPr>
        <w:spacing w:after="0" w:line="1" w:lineRule="exact"/>
        <w:rPr>
          <w:sz w:val="20"/>
          <w:szCs w:val="20"/>
          <w:color w:val="auto"/>
        </w:rPr>
      </w:pPr>
    </w:p>
    <w:p>
      <w:pPr>
        <w:ind w:left="540" w:right="140" w:hanging="161"/>
        <w:spacing w:after="0" w:line="255"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180 Cruise autonomous vehicles built with approximately 100 testing in Arizona, California,</w:t>
      </w:r>
      <w:r>
        <w:rPr>
          <w:rFonts w:ascii="Arial" w:cs="Arial" w:eastAsia="Arial" w:hAnsi="Arial"/>
          <w:sz w:val="16"/>
          <w:szCs w:val="16"/>
          <w:color w:val="00A1DF"/>
        </w:rPr>
        <w:t xml:space="preserve"> </w:t>
      </w:r>
      <w:r>
        <w:rPr>
          <w:rFonts w:ascii="Arial" w:cs="Arial" w:eastAsia="Arial" w:hAnsi="Arial"/>
          <w:sz w:val="16"/>
          <w:szCs w:val="16"/>
          <w:color w:val="000000"/>
        </w:rPr>
        <w:t>and Michigan</w:t>
      </w:r>
    </w:p>
    <w:p>
      <w:pPr>
        <w:spacing w:after="0" w:line="1" w:lineRule="exact"/>
        <w:rPr>
          <w:sz w:val="20"/>
          <w:szCs w:val="20"/>
          <w:color w:val="auto"/>
        </w:rPr>
      </w:pPr>
    </w:p>
    <w:p>
      <w:pPr>
        <w:ind w:left="540" w:right="140" w:hanging="161"/>
        <w:spacing w:after="0" w:line="255"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Acquired Strobe, Inc. to help develop next-generation LiDAR solutions for self-driving vehicles</w:t>
      </w:r>
      <w:r>
        <w:rPr>
          <w:rFonts w:ascii="Arial" w:cs="Arial" w:eastAsia="Arial" w:hAnsi="Arial"/>
          <w:sz w:val="16"/>
          <w:szCs w:val="16"/>
          <w:color w:val="00A1DF"/>
        </w:rPr>
        <w:t xml:space="preserve"> </w:t>
      </w:r>
      <w:r>
        <w:rPr>
          <w:rFonts w:ascii="Arial" w:cs="Arial" w:eastAsia="Arial" w:hAnsi="Arial"/>
          <w:sz w:val="16"/>
          <w:szCs w:val="16"/>
          <w:color w:val="000000"/>
        </w:rPr>
        <w:t>and reduce LiDAR costs by 99% over time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Announced plans for at least 20 new electric vehicles by 2023</w:t>
      </w:r>
    </w:p>
    <w:p>
      <w:pPr>
        <w:spacing w:after="0" w:line="11" w:lineRule="exact"/>
        <w:rPr>
          <w:sz w:val="20"/>
          <w:szCs w:val="20"/>
          <w:color w:val="auto"/>
        </w:rPr>
      </w:pPr>
    </w:p>
    <w:p>
      <w:pPr>
        <w:ind w:left="540" w:right="140" w:hanging="161"/>
        <w:spacing w:after="0" w:line="28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Became the first company to use mass-production methods to build autonomous electric test</w:t>
      </w:r>
      <w:r>
        <w:rPr>
          <w:rFonts w:ascii="Arial" w:cs="Arial" w:eastAsia="Arial" w:hAnsi="Arial"/>
          <w:sz w:val="16"/>
          <w:szCs w:val="16"/>
          <w:color w:val="00A1DF"/>
        </w:rPr>
        <w:t xml:space="preserve"> </w:t>
      </w:r>
      <w:r>
        <w:rPr>
          <w:rFonts w:ascii="Arial" w:cs="Arial" w:eastAsia="Arial" w:hAnsi="Arial"/>
          <w:sz w:val="16"/>
          <w:szCs w:val="16"/>
          <w:color w:val="000000"/>
        </w:rPr>
        <w:t>vehicles</w:t>
      </w:r>
    </w:p>
    <w:p>
      <w:pPr>
        <w:spacing w:after="0" w:line="17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Effective January 1, 2017, the Compensation Committee increased Ms. Barra’s base salary from $2,000,000 to $2,100,000 based on her performance, leadership, and the competitive market analysis provided by the Compensation Committee’s independent compensation consultant. For 2017, the Compensation Committee awarded Ms. Barra an annual equity grant of $13 million consisting of 75% PSUs and 25% Stock Options. These changes placed Ms. Barra in line with the compensation peer group, as her targeted total direct compensation remained competitive at the market median.</w:t>
      </w:r>
    </w:p>
    <w:p>
      <w:pPr>
        <w:spacing w:after="0" w:line="10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Compensation Committee awarded Ms. Barra 40 points based on her results, highlighted above, for the 2017 performance year. The total compensation for Ms. Barra in 2017, including salary, STIP and LTIP awards, is displayed below.</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0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40"/>
              <w:spacing w:after="0"/>
              <w:rPr>
                <w:sz w:val="20"/>
                <w:szCs w:val="20"/>
                <w:color w:val="auto"/>
              </w:rPr>
            </w:pPr>
            <w:r>
              <w:rPr>
                <w:rFonts w:ascii="Arial" w:cs="Arial" w:eastAsia="Arial" w:hAnsi="Arial"/>
                <w:sz w:val="15"/>
                <w:szCs w:val="15"/>
                <w:b w:val="1"/>
                <w:bCs w:val="1"/>
                <w:color w:val="00A1DF"/>
              </w:rPr>
              <w:t>Majority of Pay Is At-Risk</w:t>
            </w:r>
          </w:p>
        </w:tc>
        <w:tc>
          <w:tcPr>
            <w:tcW w:w="1860" w:type="dxa"/>
            <w:vAlign w:val="bottom"/>
            <w:tcBorders>
              <w:top w:val="single" w:sz="8" w:color="00A1DF"/>
              <w:bottom w:val="single" w:sz="8" w:color="00A1DF"/>
            </w:tcBorders>
            <w:gridSpan w:val="2"/>
          </w:tcPr>
          <w:p>
            <w:pPr>
              <w:jc w:val="right"/>
              <w:ind w:right="3"/>
              <w:spacing w:after="0"/>
              <w:rPr>
                <w:sz w:val="20"/>
                <w:szCs w:val="20"/>
                <w:color w:val="auto"/>
              </w:rPr>
            </w:pPr>
            <w:r>
              <w:rPr>
                <w:rFonts w:ascii="Arial" w:cs="Arial" w:eastAsia="Arial" w:hAnsi="Arial"/>
                <w:sz w:val="15"/>
                <w:szCs w:val="15"/>
                <w:b w:val="1"/>
                <w:bCs w:val="1"/>
                <w:color w:val="00A1DF"/>
              </w:rPr>
              <w:t>Awarded Value</w:t>
            </w:r>
          </w:p>
        </w:tc>
      </w:tr>
      <w:tr>
        <w:trPr>
          <w:trHeight w:val="22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Only Fixed Pay Element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2,100,000</w:t>
            </w:r>
          </w:p>
        </w:tc>
      </w:tr>
      <w:tr>
        <w:trPr>
          <w:trHeight w:val="22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Performance to Metrics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4,956,000</w:t>
            </w:r>
          </w:p>
        </w:tc>
      </w:tr>
      <w:tr>
        <w:trPr>
          <w:trHeight w:val="22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(1)</w:t>
            </w:r>
          </w:p>
        </w:tc>
        <w:tc>
          <w:tcPr>
            <w:tcW w:w="37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Performance to Metrics and Stock Price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10,737,570</w:t>
            </w:r>
          </w:p>
        </w:tc>
      </w:tr>
      <w:tr>
        <w:trPr>
          <w:trHeight w:val="223"/>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(2)</w:t>
            </w:r>
          </w:p>
        </w:tc>
        <w:tc>
          <w:tcPr>
            <w:tcW w:w="37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Performance to Stock Price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3,250,003</w:t>
            </w:r>
          </w:p>
        </w:tc>
      </w:tr>
      <w:tr>
        <w:trPr>
          <w:trHeight w:val="229"/>
        </w:trPr>
        <w:tc>
          <w:tcPr>
            <w:tcW w:w="1500" w:type="dxa"/>
            <w:vAlign w:val="bottom"/>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0033A0"/>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0033A0"/>
                <w:w w:val="98"/>
              </w:rPr>
              <w:t>21,043,573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wp:posOffset>
            </wp:positionV>
            <wp:extent cx="45021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jc w:val="both"/>
        <w:ind w:left="480" w:right="60" w:hanging="269"/>
        <w:spacing w:after="0" w:line="259" w:lineRule="auto"/>
        <w:tabs>
          <w:tab w:leader="none" w:pos="480" w:val="left"/>
        </w:tabs>
        <w:numPr>
          <w:ilvl w:val="0"/>
          <w:numId w:val="91"/>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1" w:lineRule="exact"/>
        <w:rPr>
          <w:rFonts w:ascii="Arial" w:cs="Arial" w:eastAsia="Arial" w:hAnsi="Arial"/>
          <w:sz w:val="14"/>
          <w:szCs w:val="14"/>
          <w:i w:val="1"/>
          <w:iCs w:val="1"/>
          <w:color w:val="auto"/>
        </w:rPr>
      </w:pPr>
    </w:p>
    <w:p>
      <w:pPr>
        <w:ind w:left="480" w:hanging="269"/>
        <w:spacing w:after="0"/>
        <w:tabs>
          <w:tab w:leader="none" w:pos="480" w:val="left"/>
        </w:tabs>
        <w:numPr>
          <w:ilvl w:val="0"/>
          <w:numId w:val="91"/>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 Realized compensation includes base salary, earned STIP, and all options exercised and stock vested during the year. 2017 realized compensation increased relative to the prior year reflecting 1) the vesting of the PSU award granted to Ms. Barra in 2014, the year she was promoted to her current role; and 2) an increase in stock price at the time of vesting versus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-6440170</wp:posOffset>
            </wp:positionV>
            <wp:extent cx="1749425" cy="5368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49425" cy="536829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7360" w:space="340"/>
            <w:col w:w="3520"/>
          </w:cols>
          <w:pgMar w:left="240" w:top="459" w:right="439" w:bottom="1440" w:gutter="0" w:footer="0" w:header="0"/>
          <w:type w:val="continuous"/>
        </w:sectPr>
      </w:pPr>
    </w:p>
    <w:p>
      <w:pPr>
        <w:spacing w:after="0" w:line="247"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p>
      <w:pPr>
        <w:ind w:left="640" w:hanging="429"/>
        <w:spacing w:after="0"/>
        <w:tabs>
          <w:tab w:leader="none" w:pos="640" w:val="left"/>
        </w:tabs>
        <w:numPr>
          <w:ilvl w:val="0"/>
          <w:numId w:val="92"/>
        </w:numPr>
        <w:rPr>
          <w:rFonts w:ascii="Arial" w:cs="Arial" w:eastAsia="Arial" w:hAnsi="Arial"/>
          <w:sz w:val="25"/>
          <w:szCs w:val="25"/>
          <w:color w:val="0033A0"/>
        </w:rPr>
      </w:pPr>
      <w:r>
        <w:rPr>
          <w:rFonts w:ascii="Arial" w:cs="Arial" w:eastAsia="Arial" w:hAnsi="Arial"/>
          <w:sz w:val="25"/>
          <w:szCs w:val="25"/>
          <w:color w:val="auto"/>
        </w:rPr>
        <w:t>Compensation Decisions for Charles K. Stevens, III</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Charles K. Stevens, III, </w:t>
      </w:r>
      <w:r>
        <w:rPr>
          <w:rFonts w:ascii="Arial" w:cs="Arial" w:eastAsia="Arial" w:hAnsi="Arial"/>
          <w:sz w:val="16"/>
          <w:szCs w:val="16"/>
          <w:b w:val="1"/>
          <w:bCs w:val="1"/>
          <w:color w:val="00000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4545330" cy="14751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45330" cy="1475105"/>
                    </a:xfrm>
                    <a:prstGeom prst="rect">
                      <a:avLst/>
                    </a:prstGeom>
                    <a:noFill/>
                  </pic:spPr>
                </pic:pic>
              </a:graphicData>
            </a:graphic>
          </wp:anchor>
        </w:drawing>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 performance highlights for Mr. Stevens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10795</wp:posOffset>
            </wp:positionV>
            <wp:extent cx="1637665" cy="2058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37665" cy="2058035"/>
                    </a:xfrm>
                    <a:prstGeom prst="rect">
                      <a:avLst/>
                    </a:prstGeom>
                    <a:noFill/>
                  </pic:spPr>
                </pic:pic>
              </a:graphicData>
            </a:graphic>
          </wp:anchor>
        </w:drawing>
      </w:r>
    </w:p>
    <w:p>
      <w:pPr>
        <w:spacing w:after="0" w:line="54" w:lineRule="exact"/>
        <w:rPr>
          <w:sz w:val="20"/>
          <w:szCs w:val="20"/>
          <w:color w:val="auto"/>
        </w:rPr>
      </w:pPr>
    </w:p>
    <w:p>
      <w:pPr>
        <w:ind w:left="560" w:right="3960" w:hanging="199"/>
        <w:spacing w:after="0" w:line="253" w:lineRule="auto"/>
        <w:tabs>
          <w:tab w:leader="none" w:pos="540"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Continued to drive improvement in EBIT-adjusted and delivered record EBIT-adjusted margins, including the third straight year of 10% or higher margins in North America</w:t>
      </w:r>
    </w:p>
    <w:p>
      <w:pPr>
        <w:spacing w:after="0" w:line="2" w:lineRule="exact"/>
        <w:rPr>
          <w:sz w:val="20"/>
          <w:szCs w:val="20"/>
          <w:color w:val="auto"/>
        </w:rPr>
      </w:pPr>
    </w:p>
    <w:p>
      <w:pPr>
        <w:ind w:left="560" w:hanging="194"/>
        <w:spacing w:after="0"/>
        <w:tabs>
          <w:tab w:leader="none" w:pos="5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Increased EPS-diluted-adjusted to record $6.62</w:t>
      </w:r>
    </w:p>
    <w:p>
      <w:pPr>
        <w:spacing w:after="0" w:line="18" w:lineRule="exact"/>
        <w:rPr>
          <w:rFonts w:ascii="Arial" w:cs="Arial" w:eastAsia="Arial" w:hAnsi="Arial"/>
          <w:sz w:val="16"/>
          <w:szCs w:val="16"/>
          <w:color w:val="00A1DF"/>
        </w:rPr>
      </w:pPr>
    </w:p>
    <w:p>
      <w:pPr>
        <w:jc w:val="both"/>
        <w:ind w:left="560" w:right="3960" w:hanging="194"/>
        <w:spacing w:after="0" w:line="246" w:lineRule="auto"/>
        <w:tabs>
          <w:tab w:leader="none" w:pos="5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Repurchased more than $6.7 billion and returned $25 billion to shareholders through dividends and share repurchases since 2012, representing more than 90% of available free cash flow generated over that time</w:t>
      </w:r>
    </w:p>
    <w:p>
      <w:pPr>
        <w:spacing w:after="0" w:line="1" w:lineRule="exact"/>
        <w:rPr>
          <w:rFonts w:ascii="Arial" w:cs="Arial" w:eastAsia="Arial" w:hAnsi="Arial"/>
          <w:sz w:val="16"/>
          <w:szCs w:val="16"/>
          <w:color w:val="00A1DF"/>
        </w:rPr>
      </w:pPr>
    </w:p>
    <w:p>
      <w:pPr>
        <w:ind w:left="560" w:hanging="194"/>
        <w:spacing w:after="0"/>
        <w:tabs>
          <w:tab w:leader="none" w:pos="5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Achieved ROIC-adjusted of 28.2%</w:t>
      </w:r>
    </w:p>
    <w:p>
      <w:pPr>
        <w:spacing w:after="0" w:line="18" w:lineRule="exact"/>
        <w:rPr>
          <w:rFonts w:ascii="Arial" w:cs="Arial" w:eastAsia="Arial" w:hAnsi="Arial"/>
          <w:sz w:val="16"/>
          <w:szCs w:val="16"/>
          <w:color w:val="00A1DF"/>
        </w:rPr>
      </w:pPr>
    </w:p>
    <w:p>
      <w:pPr>
        <w:ind w:left="560" w:right="3960" w:hanging="194"/>
        <w:spacing w:after="0" w:line="246" w:lineRule="auto"/>
        <w:tabs>
          <w:tab w:leader="none" w:pos="5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Delivered $5.5 billion in cost savings against $6.5 billion of targeted savings through the end of 2018</w:t>
      </w:r>
    </w:p>
    <w:p>
      <w:pPr>
        <w:ind w:left="560" w:hanging="194"/>
        <w:spacing w:after="0"/>
        <w:tabs>
          <w:tab w:leader="none" w:pos="56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Continued to make investments in future technology and innovation</w:t>
      </w:r>
    </w:p>
    <w:p>
      <w:pPr>
        <w:spacing w:after="0" w:line="181" w:lineRule="exact"/>
        <w:rPr>
          <w:sz w:val="20"/>
          <w:szCs w:val="20"/>
          <w:color w:val="auto"/>
        </w:rPr>
      </w:pPr>
    </w:p>
    <w:p>
      <w:pPr>
        <w:jc w:val="both"/>
        <w:ind w:left="220" w:right="3900"/>
        <w:spacing w:after="0" w:line="251" w:lineRule="auto"/>
        <w:rPr>
          <w:sz w:val="20"/>
          <w:szCs w:val="20"/>
          <w:color w:val="auto"/>
        </w:rPr>
      </w:pPr>
      <w:r>
        <w:rPr>
          <w:rFonts w:ascii="Arial" w:cs="Arial" w:eastAsia="Arial" w:hAnsi="Arial"/>
          <w:sz w:val="16"/>
          <w:szCs w:val="16"/>
          <w:color w:val="auto"/>
        </w:rPr>
        <w:t>The Compensation Committee kept Mr. Stevens’ base salary at $1,100,000 based on the competitive market analysis provided by the Compensation Committee’s independent compensation consultant. For 2017, the Compensation Committee awarded Mr. Stevens an annual equity grant of $3.725 million, consisting of 75% PSUs and 25% Stock Options.</w:t>
      </w:r>
    </w:p>
    <w:p>
      <w:pPr>
        <w:spacing w:after="0" w:line="95" w:lineRule="exact"/>
        <w:rPr>
          <w:sz w:val="20"/>
          <w:szCs w:val="20"/>
          <w:color w:val="auto"/>
        </w:rPr>
      </w:pPr>
    </w:p>
    <w:p>
      <w:pPr>
        <w:jc w:val="both"/>
        <w:ind w:left="220" w:right="3900"/>
        <w:spacing w:after="0" w:line="253" w:lineRule="auto"/>
        <w:rPr>
          <w:sz w:val="20"/>
          <w:szCs w:val="20"/>
          <w:color w:val="auto"/>
        </w:rPr>
      </w:pPr>
      <w:r>
        <w:rPr>
          <w:rFonts w:ascii="Arial" w:cs="Arial" w:eastAsia="Arial" w:hAnsi="Arial"/>
          <w:sz w:val="16"/>
          <w:szCs w:val="16"/>
          <w:color w:val="auto"/>
        </w:rPr>
        <w:t>The Compensation Committee awarded Mr. Stevens 40 points based on his results, highlighted above, for the 2017 performance year. The total compensation for Mr. Stevens in 2017,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83820</wp:posOffset>
            </wp:positionV>
            <wp:extent cx="1749425" cy="29159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49425" cy="2915920"/>
                    </a:xfrm>
                    <a:prstGeom prst="rect">
                      <a:avLst/>
                    </a:prstGeom>
                    <a:noFill/>
                  </pic:spPr>
                </pic:pic>
              </a:graphicData>
            </a:graphic>
          </wp:anchor>
        </w:drawing>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2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4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gridSpan w:val="2"/>
          </w:tcPr>
          <w:p>
            <w:pPr>
              <w:jc w:val="right"/>
              <w:ind w:right="3"/>
              <w:spacing w:after="0"/>
              <w:rPr>
                <w:sz w:val="20"/>
                <w:szCs w:val="20"/>
                <w:color w:val="auto"/>
              </w:rPr>
            </w:pPr>
            <w:r>
              <w:rPr>
                <w:rFonts w:ascii="Arial" w:cs="Arial" w:eastAsia="Arial" w:hAnsi="Arial"/>
                <w:sz w:val="15"/>
                <w:szCs w:val="15"/>
                <w:b w:val="1"/>
                <w:bCs w:val="1"/>
                <w:color w:val="00A1DF"/>
              </w:rPr>
              <w:t>Awarded Value</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Only Fixed Pay Element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1,100,000</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1,622,500</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(1)</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 and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3,076,744</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(2)</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931,251</w:t>
            </w:r>
          </w:p>
        </w:tc>
      </w:tr>
      <w:tr>
        <w:trPr>
          <w:trHeight w:val="233"/>
        </w:trPr>
        <w:tc>
          <w:tcPr>
            <w:tcW w:w="15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40" w:type="dxa"/>
            <w:vAlign w:val="bottom"/>
            <w:tcBorders>
              <w:bottom w:val="single" w:sz="8" w:color="0033A0"/>
            </w:tcBorders>
          </w:tcPr>
          <w:p>
            <w:pPr>
              <w:spacing w:after="0"/>
              <w:rPr>
                <w:sz w:val="20"/>
                <w:szCs w:val="20"/>
                <w:color w:val="auto"/>
              </w:rPr>
            </w:pPr>
          </w:p>
        </w:tc>
        <w:tc>
          <w:tcPr>
            <w:tcW w:w="106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w:t>
            </w:r>
          </w:p>
        </w:tc>
        <w:tc>
          <w:tcPr>
            <w:tcW w:w="76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b w:val="1"/>
                <w:bCs w:val="1"/>
                <w:color w:val="0033A0"/>
                <w:w w:val="98"/>
              </w:rPr>
              <w:t>6,730,495</w:t>
            </w:r>
          </w:p>
        </w:tc>
      </w:tr>
    </w:tbl>
    <w:p>
      <w:pPr>
        <w:spacing w:after="0" w:line="58" w:lineRule="exact"/>
        <w:rPr>
          <w:sz w:val="20"/>
          <w:szCs w:val="20"/>
          <w:color w:val="auto"/>
        </w:rPr>
      </w:pPr>
    </w:p>
    <w:p>
      <w:pPr>
        <w:jc w:val="both"/>
        <w:ind w:left="480" w:right="3960" w:hanging="269"/>
        <w:spacing w:after="0" w:line="260" w:lineRule="auto"/>
        <w:tabs>
          <w:tab w:leader="none" w:pos="48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0" w:lineRule="exact"/>
        <w:rPr>
          <w:rFonts w:ascii="Arial" w:cs="Arial" w:eastAsia="Arial" w:hAnsi="Arial"/>
          <w:sz w:val="14"/>
          <w:szCs w:val="14"/>
          <w:i w:val="1"/>
          <w:iCs w:val="1"/>
          <w:color w:val="auto"/>
        </w:rPr>
      </w:pPr>
    </w:p>
    <w:p>
      <w:pPr>
        <w:ind w:left="480" w:hanging="269"/>
        <w:spacing w:after="0"/>
        <w:tabs>
          <w:tab w:leader="none" w:pos="48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2017 realized compensation increased relative to the</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prior year reflecting 1) the vesting of the PSU award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granted to Mr. Stevens in 2014, the year he was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promoted to his current role; and 2) an increase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stock price at the time of vesting versus the prior year.</w:t>
      </w:r>
    </w:p>
    <w:p>
      <w:pPr>
        <w:spacing w:after="0" w:line="279"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49</w:t>
      </w:r>
    </w:p>
    <w:p>
      <w:pPr>
        <w:sectPr>
          <w:pgSz w:w="11900" w:h="16838" w:orient="portrait"/>
          <w:cols w:equalWidth="0" w:num="1">
            <w:col w:w="11260"/>
          </w:cols>
          <w:pgMar w:left="24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p>
      <w:pPr>
        <w:ind w:left="640" w:hanging="429"/>
        <w:spacing w:after="0"/>
        <w:tabs>
          <w:tab w:leader="none" w:pos="640" w:val="left"/>
        </w:tabs>
        <w:numPr>
          <w:ilvl w:val="0"/>
          <w:numId w:val="95"/>
        </w:numPr>
        <w:rPr>
          <w:rFonts w:ascii="Arial" w:cs="Arial" w:eastAsia="Arial" w:hAnsi="Arial"/>
          <w:sz w:val="25"/>
          <w:szCs w:val="25"/>
          <w:color w:val="0033A0"/>
        </w:rPr>
      </w:pPr>
      <w:r>
        <w:rPr>
          <w:rFonts w:ascii="Arial" w:cs="Arial" w:eastAsia="Arial" w:hAnsi="Arial"/>
          <w:sz w:val="25"/>
          <w:szCs w:val="25"/>
          <w:color w:val="auto"/>
        </w:rPr>
        <w:t>Compensation Decisions for Daniel Ammann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Daniel Ammann, </w:t>
      </w:r>
      <w:r>
        <w:rPr>
          <w:rFonts w:ascii="Arial" w:cs="Arial" w:eastAsia="Arial" w:hAnsi="Arial"/>
          <w:sz w:val="16"/>
          <w:szCs w:val="16"/>
          <w:b w:val="1"/>
          <w:bCs w:val="1"/>
          <w:color w:val="00000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4545330" cy="14833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45330" cy="1483360"/>
                    </a:xfrm>
                    <a:prstGeom prst="rect">
                      <a:avLst/>
                    </a:prstGeom>
                    <a:noFill/>
                  </pic:spPr>
                </pic:pic>
              </a:graphicData>
            </a:graphic>
          </wp:anchor>
        </w:drawing>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 performance highlights for Mr. Ammann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10795</wp:posOffset>
            </wp:positionV>
            <wp:extent cx="1612265" cy="2058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12265" cy="2058035"/>
                    </a:xfrm>
                    <a:prstGeom prst="rect">
                      <a:avLst/>
                    </a:prstGeom>
                    <a:noFill/>
                  </pic:spPr>
                </pic:pic>
              </a:graphicData>
            </a:graphic>
          </wp:anchor>
        </w:drawing>
      </w:r>
    </w:p>
    <w:p>
      <w:pPr>
        <w:spacing w:after="0" w:line="66" w:lineRule="exact"/>
        <w:rPr>
          <w:sz w:val="20"/>
          <w:szCs w:val="20"/>
          <w:color w:val="auto"/>
        </w:rPr>
      </w:pPr>
    </w:p>
    <w:p>
      <w:pPr>
        <w:ind w:left="560" w:hanging="194"/>
        <w:spacing w:after="0"/>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Led the successful sale of Opel/Vauxhall and GM Financial European businesses to PSA</w:t>
      </w:r>
    </w:p>
    <w:p>
      <w:pPr>
        <w:spacing w:after="0" w:line="18" w:lineRule="exact"/>
        <w:rPr>
          <w:rFonts w:ascii="Arial" w:cs="Arial" w:eastAsia="Arial" w:hAnsi="Arial"/>
          <w:sz w:val="16"/>
          <w:szCs w:val="16"/>
          <w:color w:val="00A1DF"/>
        </w:rPr>
      </w:pPr>
    </w:p>
    <w:p>
      <w:pPr>
        <w:ind w:left="560" w:hanging="194"/>
        <w:spacing w:after="0"/>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Successfully completed various restructuring activities in GM International</w:t>
      </w:r>
    </w:p>
    <w:p>
      <w:pPr>
        <w:spacing w:after="0" w:line="18" w:lineRule="exact"/>
        <w:rPr>
          <w:rFonts w:ascii="Arial" w:cs="Arial" w:eastAsia="Arial" w:hAnsi="Arial"/>
          <w:sz w:val="16"/>
          <w:szCs w:val="16"/>
          <w:color w:val="00A1DF"/>
        </w:rPr>
      </w:pPr>
    </w:p>
    <w:p>
      <w:pPr>
        <w:ind w:left="560" w:right="3920" w:hanging="194"/>
        <w:spacing w:after="0" w:line="246" w:lineRule="auto"/>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Defined strategy for commercialization of autonomous vehicles through Transportation as a Service</w:t>
      </w:r>
    </w:p>
    <w:p>
      <w:pPr>
        <w:ind w:left="560" w:right="3920" w:hanging="194"/>
        <w:spacing w:after="0" w:line="246" w:lineRule="auto"/>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Oversaw rapid autonomous vehicle technology development and successful scaling of the team at GM Cruise</w:t>
      </w:r>
    </w:p>
    <w:p>
      <w:pPr>
        <w:ind w:left="560" w:hanging="194"/>
        <w:spacing w:after="0"/>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Significant global sales growth at Cadillac in 2017, with strong increases in China</w:t>
      </w:r>
    </w:p>
    <w:p>
      <w:pPr>
        <w:spacing w:after="0" w:line="18" w:lineRule="exact"/>
        <w:rPr>
          <w:rFonts w:ascii="Arial" w:cs="Arial" w:eastAsia="Arial" w:hAnsi="Arial"/>
          <w:sz w:val="16"/>
          <w:szCs w:val="16"/>
          <w:color w:val="00A1DF"/>
        </w:rPr>
      </w:pPr>
    </w:p>
    <w:p>
      <w:pPr>
        <w:ind w:left="560" w:hanging="194"/>
        <w:spacing w:after="0"/>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Continued reshaping and reprioritization of overall GM business and product portfolio</w:t>
      </w:r>
    </w:p>
    <w:p>
      <w:pPr>
        <w:spacing w:after="0" w:line="18" w:lineRule="exact"/>
        <w:rPr>
          <w:rFonts w:ascii="Arial" w:cs="Arial" w:eastAsia="Arial" w:hAnsi="Arial"/>
          <w:sz w:val="16"/>
          <w:szCs w:val="16"/>
          <w:color w:val="00A1DF"/>
        </w:rPr>
      </w:pPr>
    </w:p>
    <w:p>
      <w:pPr>
        <w:ind w:left="560" w:right="3920" w:hanging="194"/>
        <w:spacing w:after="0" w:line="260" w:lineRule="auto"/>
        <w:tabs>
          <w:tab w:leader="none" w:pos="56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Drove ongoing continuous performance improvement through extensive focus on Operational Excellence</w:t>
      </w:r>
    </w:p>
    <w:p>
      <w:pPr>
        <w:spacing w:after="0" w:line="142" w:lineRule="exact"/>
        <w:rPr>
          <w:sz w:val="20"/>
          <w:szCs w:val="20"/>
          <w:color w:val="auto"/>
        </w:rPr>
      </w:pPr>
    </w:p>
    <w:p>
      <w:pPr>
        <w:jc w:val="both"/>
        <w:ind w:left="220" w:right="3860"/>
        <w:spacing w:after="0" w:line="251" w:lineRule="auto"/>
        <w:rPr>
          <w:sz w:val="20"/>
          <w:szCs w:val="20"/>
          <w:color w:val="auto"/>
        </w:rPr>
      </w:pPr>
      <w:r>
        <w:rPr>
          <w:rFonts w:ascii="Arial" w:cs="Arial" w:eastAsia="Arial" w:hAnsi="Arial"/>
          <w:sz w:val="16"/>
          <w:szCs w:val="16"/>
          <w:color w:val="auto"/>
        </w:rPr>
        <w:t>The Compensation Committee kept Mr. Ammann’s base salary at $1,450,000 based on the competitive market analysis provided by the Compensation Committee’s independent compensation consultant. For 2017, the Compensation Committee awarded Mr. Ammann an annual equity grant of $4.94 million, consisting of 75% PSUs and 25% Stock Options.</w:t>
      </w:r>
    </w:p>
    <w:p>
      <w:pPr>
        <w:spacing w:after="0" w:line="95" w:lineRule="exact"/>
        <w:rPr>
          <w:sz w:val="20"/>
          <w:szCs w:val="20"/>
          <w:color w:val="auto"/>
        </w:rPr>
      </w:pPr>
    </w:p>
    <w:p>
      <w:pPr>
        <w:jc w:val="both"/>
        <w:ind w:left="220" w:right="3860"/>
        <w:spacing w:after="0" w:line="253" w:lineRule="auto"/>
        <w:rPr>
          <w:sz w:val="20"/>
          <w:szCs w:val="20"/>
          <w:color w:val="auto"/>
        </w:rPr>
      </w:pPr>
      <w:r>
        <w:rPr>
          <w:rFonts w:ascii="Arial" w:cs="Arial" w:eastAsia="Arial" w:hAnsi="Arial"/>
          <w:sz w:val="16"/>
          <w:szCs w:val="16"/>
          <w:color w:val="auto"/>
        </w:rPr>
        <w:t>The Compensation Committee awarded Mr. Ammann 40 points based on his results, highlighted above, for the 2017 performance year. The total compensation for Mr. Ammann in 2017,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75565</wp:posOffset>
            </wp:positionV>
            <wp:extent cx="1749425" cy="30016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49425" cy="3001645"/>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2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4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tcPr>
          <w:p>
            <w:pPr>
              <w:jc w:val="right"/>
              <w:ind w:right="3"/>
              <w:spacing w:after="0"/>
              <w:rPr>
                <w:sz w:val="20"/>
                <w:szCs w:val="20"/>
                <w:color w:val="auto"/>
              </w:rPr>
            </w:pPr>
            <w:r>
              <w:rPr>
                <w:rFonts w:ascii="Arial" w:cs="Arial" w:eastAsia="Arial" w:hAnsi="Arial"/>
                <w:sz w:val="15"/>
                <w:szCs w:val="15"/>
                <w:b w:val="1"/>
                <w:bCs w:val="1"/>
                <w:color w:val="00A1DF"/>
              </w:rPr>
              <w:t>Awarded Value</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Base Salary</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Only Fixed Pay Element</w:t>
            </w: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$1,450,000</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w:t>
            </w: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$2,138,800</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(1)</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 and Stock Price</w:t>
            </w: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$4,078,222</w:t>
            </w: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(2)</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Stock Price</w:t>
            </w: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$1,234,378</w:t>
            </w:r>
          </w:p>
        </w:tc>
      </w:tr>
      <w:tr>
        <w:trPr>
          <w:trHeight w:val="233"/>
        </w:trPr>
        <w:tc>
          <w:tcPr>
            <w:tcW w:w="15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40" w:type="dxa"/>
            <w:vAlign w:val="bottom"/>
            <w:tcBorders>
              <w:bottom w:val="single" w:sz="8" w:color="0033A0"/>
            </w:tcBorders>
          </w:tcPr>
          <w:p>
            <w:pPr>
              <w:spacing w:after="0"/>
              <w:rPr>
                <w:sz w:val="20"/>
                <w:szCs w:val="20"/>
                <w:color w:val="auto"/>
              </w:rPr>
            </w:pPr>
          </w:p>
        </w:tc>
        <w:tc>
          <w:tcPr>
            <w:tcW w:w="182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b w:val="1"/>
                <w:bCs w:val="1"/>
                <w:color w:val="0033A0"/>
              </w:rPr>
              <w:t>$8,901,400</w:t>
            </w:r>
          </w:p>
        </w:tc>
      </w:tr>
    </w:tbl>
    <w:p>
      <w:pPr>
        <w:spacing w:after="0" w:line="58" w:lineRule="exact"/>
        <w:rPr>
          <w:sz w:val="20"/>
          <w:szCs w:val="20"/>
          <w:color w:val="auto"/>
        </w:rPr>
      </w:pPr>
    </w:p>
    <w:p>
      <w:pPr>
        <w:jc w:val="both"/>
        <w:ind w:left="480" w:right="3920" w:hanging="269"/>
        <w:spacing w:after="0" w:line="260" w:lineRule="auto"/>
        <w:tabs>
          <w:tab w:leader="none" w:pos="48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0" w:lineRule="exact"/>
        <w:rPr>
          <w:rFonts w:ascii="Arial" w:cs="Arial" w:eastAsia="Arial" w:hAnsi="Arial"/>
          <w:sz w:val="14"/>
          <w:szCs w:val="14"/>
          <w:i w:val="1"/>
          <w:iCs w:val="1"/>
          <w:color w:val="auto"/>
        </w:rPr>
      </w:pPr>
    </w:p>
    <w:p>
      <w:pPr>
        <w:ind w:left="480" w:hanging="269"/>
        <w:spacing w:after="0"/>
        <w:tabs>
          <w:tab w:leader="none" w:pos="48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2017 realized compensation increased relative to the</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prior year reflecting 1) the vesting of the PSU award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granted to Mr. Ammann in 2014, the year he was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promoted to his current role; and 2) an increase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stock price at the time of vesting versus the prior year.</w:t>
      </w:r>
    </w:p>
    <w:p>
      <w:pPr>
        <w:spacing w:after="0" w:line="298"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p>
      <w:pPr>
        <w:ind w:left="640" w:hanging="429"/>
        <w:spacing w:after="0"/>
        <w:tabs>
          <w:tab w:leader="none" w:pos="640" w:val="left"/>
        </w:tabs>
        <w:numPr>
          <w:ilvl w:val="0"/>
          <w:numId w:val="98"/>
        </w:numPr>
        <w:rPr>
          <w:rFonts w:ascii="Arial" w:cs="Arial" w:eastAsia="Arial" w:hAnsi="Arial"/>
          <w:sz w:val="25"/>
          <w:szCs w:val="25"/>
          <w:color w:val="0033A0"/>
        </w:rPr>
      </w:pPr>
      <w:r>
        <w:rPr>
          <w:rFonts w:ascii="Arial" w:cs="Arial" w:eastAsia="Arial" w:hAnsi="Arial"/>
          <w:sz w:val="25"/>
          <w:szCs w:val="25"/>
          <w:color w:val="auto"/>
        </w:rPr>
        <w:t>Compensation Decisions for Mark L. Reuss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Mark L. Reuss, </w:t>
      </w:r>
      <w:r>
        <w:rPr>
          <w:rFonts w:ascii="Arial" w:cs="Arial" w:eastAsia="Arial" w:hAnsi="Arial"/>
          <w:sz w:val="16"/>
          <w:szCs w:val="16"/>
          <w:b w:val="1"/>
          <w:bCs w:val="1"/>
          <w:color w:val="000000"/>
        </w:rPr>
        <w:t>Executive Vice President, Global Product Development,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4545330" cy="26670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45330" cy="2667000"/>
                    </a:xfrm>
                    <a:prstGeom prst="rect">
                      <a:avLst/>
                    </a:prstGeom>
                    <a:noFill/>
                  </pic:spPr>
                </pic:pic>
              </a:graphicData>
            </a:graphic>
          </wp:anchor>
        </w:drawing>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 performance highlights for Mr. Reuss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-108585</wp:posOffset>
            </wp:positionV>
            <wp:extent cx="1620520" cy="2058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20520" cy="2058035"/>
                    </a:xfrm>
                    <a:prstGeom prst="rect">
                      <a:avLst/>
                    </a:prstGeom>
                    <a:noFill/>
                  </pic:spPr>
                </pic:pic>
              </a:graphicData>
            </a:graphic>
          </wp:anchor>
        </w:drawing>
      </w:r>
    </w:p>
    <w:p>
      <w:pPr>
        <w:spacing w:after="0" w:line="66" w:lineRule="exact"/>
        <w:rPr>
          <w:sz w:val="20"/>
          <w:szCs w:val="20"/>
          <w:color w:val="auto"/>
        </w:rPr>
      </w:pPr>
    </w:p>
    <w:p>
      <w:pPr>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Launched Super Cruise, the world’s first hands-free highway driving technology, on the Cadillac CT6</w:t>
      </w:r>
    </w:p>
    <w:p>
      <w:pPr>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Led development of all-new EME 1.0 battery architecture, providing flexible pack configurations at more than 30% lower cost</w:t>
      </w:r>
    </w:p>
    <w:p>
      <w:pPr>
        <w:ind w:left="560" w:hanging="194"/>
        <w:spacing w:after="0"/>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Received the IHS Automotive Loyalty Award for the third straight year</w:t>
      </w:r>
    </w:p>
    <w:p>
      <w:pPr>
        <w:spacing w:after="0" w:line="18" w:lineRule="exact"/>
        <w:rPr>
          <w:rFonts w:ascii="Arial" w:cs="Arial" w:eastAsia="Arial" w:hAnsi="Arial"/>
          <w:sz w:val="16"/>
          <w:szCs w:val="16"/>
          <w:color w:val="00A1DF"/>
        </w:rPr>
      </w:pPr>
    </w:p>
    <w:p>
      <w:pPr>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Developed a global electrification plan to lead the industry and announced that at least 20 new electric vehicles will be introduced by 2023</w:t>
      </w:r>
    </w:p>
    <w:p>
      <w:pPr>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Received nearly 40 independent awards for the Bolt EV, making it the most awarded electric vehicle of the year</w:t>
      </w:r>
    </w:p>
    <w:p>
      <w:pPr>
        <w:jc w:val="both"/>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Developed the first fuel cell midsized truck for use by the U.S. military and delivered fuel cells for use in the first unmanned submarine powered by our fuel cells for validation for the U.S. military</w:t>
      </w:r>
    </w:p>
    <w:p>
      <w:pPr>
        <w:spacing w:after="0" w:line="1" w:lineRule="exact"/>
        <w:rPr>
          <w:rFonts w:ascii="Arial" w:cs="Arial" w:eastAsia="Arial" w:hAnsi="Arial"/>
          <w:sz w:val="16"/>
          <w:szCs w:val="16"/>
          <w:color w:val="00A1DF"/>
        </w:rPr>
      </w:pPr>
    </w:p>
    <w:p>
      <w:pPr>
        <w:jc w:val="both"/>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Awarded the Constructor Award for Chevrolet’s performance in motorsports winning manufacturers’ championships in Verizon IndyCar Series, NASCAR, NHRA Mello Yellow Series, IMSA, and Pirelli World Challenge</w:t>
      </w:r>
    </w:p>
    <w:p>
      <w:pPr>
        <w:spacing w:after="0" w:line="1" w:lineRule="exact"/>
        <w:rPr>
          <w:rFonts w:ascii="Arial" w:cs="Arial" w:eastAsia="Arial" w:hAnsi="Arial"/>
          <w:sz w:val="16"/>
          <w:szCs w:val="16"/>
          <w:color w:val="00A1DF"/>
        </w:rPr>
      </w:pPr>
    </w:p>
    <w:p>
      <w:pPr>
        <w:ind w:left="560" w:hanging="194"/>
        <w:spacing w:after="0"/>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Launched 25 vehicles globally</w:t>
      </w:r>
    </w:p>
    <w:p>
      <w:pPr>
        <w:spacing w:after="0" w:line="18" w:lineRule="exact"/>
        <w:rPr>
          <w:rFonts w:ascii="Arial" w:cs="Arial" w:eastAsia="Arial" w:hAnsi="Arial"/>
          <w:sz w:val="16"/>
          <w:szCs w:val="16"/>
          <w:color w:val="00A1DF"/>
        </w:rPr>
      </w:pPr>
    </w:p>
    <w:p>
      <w:pPr>
        <w:ind w:left="560" w:right="3960" w:hanging="194"/>
        <w:spacing w:after="0" w:line="246"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Became the first company to use mass-production methods to build autonomous electric test vehicles</w:t>
      </w:r>
    </w:p>
    <w:p>
      <w:pPr>
        <w:ind w:left="560" w:right="3960" w:hanging="194"/>
        <w:spacing w:after="0" w:line="260" w:lineRule="auto"/>
        <w:tabs>
          <w:tab w:leader="none" w:pos="56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Led development efforts to deliver a fully autonomous vehicle complete with no steering wheel, or gas or brake pedals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-219710</wp:posOffset>
            </wp:positionV>
            <wp:extent cx="1749425" cy="29159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49425" cy="2915920"/>
                    </a:xfrm>
                    <a:prstGeom prst="rect">
                      <a:avLst/>
                    </a:prstGeom>
                    <a:noFill/>
                  </pic:spPr>
                </pic:pic>
              </a:graphicData>
            </a:graphic>
          </wp:anchor>
        </w:drawing>
      </w:r>
    </w:p>
    <w:p>
      <w:pPr>
        <w:spacing w:after="0" w:line="122" w:lineRule="exact"/>
        <w:rPr>
          <w:sz w:val="20"/>
          <w:szCs w:val="20"/>
          <w:color w:val="auto"/>
        </w:rPr>
      </w:pPr>
    </w:p>
    <w:p>
      <w:pPr>
        <w:jc w:val="both"/>
        <w:ind w:left="220" w:right="3900"/>
        <w:spacing w:after="0" w:line="251" w:lineRule="auto"/>
        <w:rPr>
          <w:sz w:val="20"/>
          <w:szCs w:val="20"/>
          <w:color w:val="auto"/>
        </w:rPr>
      </w:pPr>
      <w:r>
        <w:rPr>
          <w:rFonts w:ascii="Arial" w:cs="Arial" w:eastAsia="Arial" w:hAnsi="Arial"/>
          <w:sz w:val="16"/>
          <w:szCs w:val="16"/>
          <w:color w:val="auto"/>
        </w:rPr>
        <w:t>The Compensation Committee kept Mr. Reuss’ base salary at $1,200,000 based on the competitive market analysis provided by the Compensation Committee’s independent compensation consultant. For 2017, the Compensation Committee awarded Mr. Reuss an annual equity grant of $4.05 million, consisting of 75% PSUs and 25% Stock Options.</w:t>
      </w:r>
    </w:p>
    <w:p>
      <w:pPr>
        <w:spacing w:after="0" w:line="95" w:lineRule="exact"/>
        <w:rPr>
          <w:sz w:val="20"/>
          <w:szCs w:val="20"/>
          <w:color w:val="auto"/>
        </w:rPr>
      </w:pPr>
    </w:p>
    <w:p>
      <w:pPr>
        <w:jc w:val="both"/>
        <w:ind w:left="220" w:right="3900"/>
        <w:spacing w:after="0" w:line="253" w:lineRule="auto"/>
        <w:rPr>
          <w:sz w:val="20"/>
          <w:szCs w:val="20"/>
          <w:color w:val="auto"/>
        </w:rPr>
      </w:pPr>
      <w:r>
        <w:rPr>
          <w:rFonts w:ascii="Arial" w:cs="Arial" w:eastAsia="Arial" w:hAnsi="Arial"/>
          <w:sz w:val="16"/>
          <w:szCs w:val="16"/>
          <w:color w:val="auto"/>
        </w:rPr>
        <w:t>The Compensation Committee awarded Mr. Reuss 40 points based on his results, highlighted above, for the 2017 performance year. The total compensation for Mr. Reuss in 2017, including salary, STIP and LTIP awards, is displayed below.</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2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4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tcPr>
          <w:p>
            <w:pPr>
              <w:jc w:val="right"/>
              <w:ind w:right="3"/>
              <w:spacing w:after="0"/>
              <w:rPr>
                <w:sz w:val="20"/>
                <w:szCs w:val="20"/>
                <w:color w:val="auto"/>
              </w:rPr>
            </w:pPr>
            <w:r>
              <w:rPr>
                <w:rFonts w:ascii="Arial" w:cs="Arial" w:eastAsia="Arial" w:hAnsi="Arial"/>
                <w:sz w:val="15"/>
                <w:szCs w:val="15"/>
                <w:b w:val="1"/>
                <w:bCs w:val="1"/>
                <w:color w:val="00A1DF"/>
              </w:rPr>
              <w:t>Awarded Value</w:t>
            </w:r>
          </w:p>
        </w:tc>
      </w:tr>
      <w:tr>
        <w:trPr>
          <w:trHeight w:val="169"/>
        </w:trPr>
        <w:tc>
          <w:tcPr>
            <w:tcW w:w="15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Base Salary</w:t>
            </w:r>
          </w:p>
        </w:tc>
        <w:tc>
          <w:tcPr>
            <w:tcW w:w="3740" w:type="dxa"/>
            <w:vAlign w:val="bottom"/>
            <w:tcBorders>
              <w:bottom w:val="single" w:sz="8" w:color="auto"/>
            </w:tcBorders>
          </w:tcPr>
          <w:p>
            <w:pPr>
              <w:ind w:left="380"/>
              <w:spacing w:after="0" w:line="169" w:lineRule="exact"/>
              <w:rPr>
                <w:sz w:val="20"/>
                <w:szCs w:val="20"/>
                <w:color w:val="auto"/>
              </w:rPr>
            </w:pPr>
            <w:r>
              <w:rPr>
                <w:rFonts w:ascii="Arial" w:cs="Arial" w:eastAsia="Arial" w:hAnsi="Arial"/>
                <w:sz w:val="15"/>
                <w:szCs w:val="15"/>
                <w:color w:val="auto"/>
              </w:rPr>
              <w:t>Only Fixed Pay Element</w:t>
            </w:r>
          </w:p>
        </w:tc>
        <w:tc>
          <w:tcPr>
            <w:tcW w:w="18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$1,200,000</w:t>
            </w:r>
          </w:p>
        </w:tc>
      </w:tr>
      <w:tr>
        <w:trPr>
          <w:trHeight w:val="169"/>
        </w:trPr>
        <w:tc>
          <w:tcPr>
            <w:tcW w:w="15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STIP</w:t>
            </w:r>
          </w:p>
        </w:tc>
        <w:tc>
          <w:tcPr>
            <w:tcW w:w="3740" w:type="dxa"/>
            <w:vAlign w:val="bottom"/>
            <w:tcBorders>
              <w:bottom w:val="single" w:sz="8" w:color="auto"/>
            </w:tcBorders>
          </w:tcPr>
          <w:p>
            <w:pPr>
              <w:ind w:left="380"/>
              <w:spacing w:after="0" w:line="169" w:lineRule="exact"/>
              <w:rPr>
                <w:sz w:val="20"/>
                <w:szCs w:val="20"/>
                <w:color w:val="auto"/>
              </w:rPr>
            </w:pPr>
            <w:r>
              <w:rPr>
                <w:rFonts w:ascii="Arial" w:cs="Arial" w:eastAsia="Arial" w:hAnsi="Arial"/>
                <w:sz w:val="15"/>
                <w:szCs w:val="15"/>
                <w:color w:val="auto"/>
              </w:rPr>
              <w:t>Performance to Metrics</w:t>
            </w:r>
          </w:p>
        </w:tc>
        <w:tc>
          <w:tcPr>
            <w:tcW w:w="18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$1,770,000</w:t>
            </w:r>
          </w:p>
        </w:tc>
      </w:tr>
      <w:tr>
        <w:trPr>
          <w:trHeight w:val="169"/>
        </w:trPr>
        <w:tc>
          <w:tcPr>
            <w:tcW w:w="15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(1)</w:t>
            </w:r>
          </w:p>
        </w:tc>
        <w:tc>
          <w:tcPr>
            <w:tcW w:w="3740" w:type="dxa"/>
            <w:vAlign w:val="bottom"/>
            <w:tcBorders>
              <w:bottom w:val="single" w:sz="8" w:color="auto"/>
            </w:tcBorders>
          </w:tcPr>
          <w:p>
            <w:pPr>
              <w:ind w:left="380"/>
              <w:spacing w:after="0" w:line="169" w:lineRule="exact"/>
              <w:rPr>
                <w:sz w:val="20"/>
                <w:szCs w:val="20"/>
                <w:color w:val="auto"/>
              </w:rPr>
            </w:pPr>
            <w:r>
              <w:rPr>
                <w:rFonts w:ascii="Arial" w:cs="Arial" w:eastAsia="Arial" w:hAnsi="Arial"/>
                <w:sz w:val="15"/>
                <w:szCs w:val="15"/>
                <w:color w:val="auto"/>
              </w:rPr>
              <w:t>Performance to Metrics and Stock Price</w:t>
            </w:r>
          </w:p>
        </w:tc>
        <w:tc>
          <w:tcPr>
            <w:tcW w:w="18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$3,345,168</w:t>
            </w:r>
          </w:p>
        </w:tc>
      </w:tr>
      <w:tr>
        <w:trPr>
          <w:trHeight w:val="169"/>
        </w:trPr>
        <w:tc>
          <w:tcPr>
            <w:tcW w:w="15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(2)</w:t>
            </w:r>
          </w:p>
        </w:tc>
        <w:tc>
          <w:tcPr>
            <w:tcW w:w="3740" w:type="dxa"/>
            <w:vAlign w:val="bottom"/>
            <w:tcBorders>
              <w:bottom w:val="single" w:sz="8" w:color="auto"/>
            </w:tcBorders>
          </w:tcPr>
          <w:p>
            <w:pPr>
              <w:ind w:left="380"/>
              <w:spacing w:after="0" w:line="169" w:lineRule="exact"/>
              <w:rPr>
                <w:sz w:val="20"/>
                <w:szCs w:val="20"/>
                <w:color w:val="auto"/>
              </w:rPr>
            </w:pPr>
            <w:r>
              <w:rPr>
                <w:rFonts w:ascii="Arial" w:cs="Arial" w:eastAsia="Arial" w:hAnsi="Arial"/>
                <w:sz w:val="15"/>
                <w:szCs w:val="15"/>
                <w:color w:val="auto"/>
              </w:rPr>
              <w:t>Performance to Stock Price</w:t>
            </w:r>
          </w:p>
        </w:tc>
        <w:tc>
          <w:tcPr>
            <w:tcW w:w="18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$1,012,504</w:t>
            </w:r>
          </w:p>
        </w:tc>
      </w:tr>
      <w:tr>
        <w:trPr>
          <w:trHeight w:val="183"/>
        </w:trPr>
        <w:tc>
          <w:tcPr>
            <w:tcW w:w="15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40" w:type="dxa"/>
            <w:vAlign w:val="bottom"/>
            <w:tcBorders>
              <w:bottom w:val="single" w:sz="8" w:color="0033A0"/>
            </w:tcBorders>
          </w:tcPr>
          <w:p>
            <w:pPr>
              <w:spacing w:after="0"/>
              <w:rPr>
                <w:sz w:val="15"/>
                <w:szCs w:val="15"/>
                <w:color w:val="auto"/>
              </w:rPr>
            </w:pPr>
          </w:p>
        </w:tc>
        <w:tc>
          <w:tcPr>
            <w:tcW w:w="182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b w:val="1"/>
                <w:bCs w:val="1"/>
                <w:color w:val="0033A0"/>
              </w:rPr>
              <w:t>$7,327,672</w:t>
            </w:r>
          </w:p>
        </w:tc>
      </w:tr>
    </w:tbl>
    <w:p>
      <w:pPr>
        <w:spacing w:after="0" w:line="58" w:lineRule="exact"/>
        <w:rPr>
          <w:sz w:val="20"/>
          <w:szCs w:val="20"/>
          <w:color w:val="auto"/>
        </w:rPr>
      </w:pPr>
    </w:p>
    <w:p>
      <w:pPr>
        <w:jc w:val="both"/>
        <w:ind w:left="480" w:right="3960" w:hanging="269"/>
        <w:spacing w:after="0" w:line="260" w:lineRule="auto"/>
        <w:tabs>
          <w:tab w:leader="none" w:pos="48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0" w:lineRule="exact"/>
        <w:rPr>
          <w:rFonts w:ascii="Arial" w:cs="Arial" w:eastAsia="Arial" w:hAnsi="Arial"/>
          <w:sz w:val="14"/>
          <w:szCs w:val="14"/>
          <w:i w:val="1"/>
          <w:iCs w:val="1"/>
          <w:color w:val="auto"/>
        </w:rPr>
      </w:pPr>
    </w:p>
    <w:p>
      <w:pPr>
        <w:ind w:left="480" w:hanging="269"/>
        <w:spacing w:after="0"/>
        <w:tabs>
          <w:tab w:leader="none" w:pos="48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35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2017 realized compensation increased relative to the</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prior year reflecting 1) the vesting of the PSU award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granted  to  Mr.  Reuss  in  2014,  the  year  he  was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promoted to his current role; and 2) an increase in</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stock price at the time of vesting versus the prior year.</w:t>
      </w:r>
    </w:p>
    <w:p>
      <w:pPr>
        <w:spacing w:after="0" w:line="279"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51</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p>
      <w:pPr>
        <w:ind w:left="640" w:hanging="429"/>
        <w:spacing w:after="0"/>
        <w:tabs>
          <w:tab w:leader="none" w:pos="640" w:val="left"/>
        </w:tabs>
        <w:numPr>
          <w:ilvl w:val="0"/>
          <w:numId w:val="101"/>
        </w:numPr>
        <w:rPr>
          <w:rFonts w:ascii="Arial" w:cs="Arial" w:eastAsia="Arial" w:hAnsi="Arial"/>
          <w:sz w:val="25"/>
          <w:szCs w:val="25"/>
          <w:color w:val="0033A0"/>
        </w:rPr>
      </w:pPr>
      <w:r>
        <w:rPr>
          <w:rFonts w:ascii="Arial" w:cs="Arial" w:eastAsia="Arial" w:hAnsi="Arial"/>
          <w:sz w:val="25"/>
          <w:szCs w:val="25"/>
          <w:color w:val="auto"/>
        </w:rPr>
        <w:t>Compensation Decisions for Alan S. Batey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Alan S. Batey, </w:t>
      </w:r>
      <w:r>
        <w:rPr>
          <w:rFonts w:ascii="Arial" w:cs="Arial" w:eastAsia="Arial" w:hAnsi="Arial"/>
          <w:sz w:val="16"/>
          <w:szCs w:val="16"/>
          <w:b w:val="1"/>
          <w:bCs w:val="1"/>
          <w:color w:val="000000"/>
        </w:rPr>
        <w:t>Executive Vice President &amp;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4545330" cy="1706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45330" cy="1706880"/>
                    </a:xfrm>
                    <a:prstGeom prst="rect">
                      <a:avLst/>
                    </a:prstGeom>
                    <a:noFill/>
                  </pic:spPr>
                </pic:pic>
              </a:graphicData>
            </a:graphic>
          </wp:anchor>
        </w:drawing>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 performance highlights for Mr. Batey include:</w:t>
      </w:r>
    </w:p>
    <w:p>
      <w:pPr>
        <w:spacing w:after="0" w:line="86" w:lineRule="exact"/>
        <w:rPr>
          <w:sz w:val="20"/>
          <w:szCs w:val="20"/>
          <w:color w:val="auto"/>
        </w:rPr>
      </w:pPr>
    </w:p>
    <w:p>
      <w:pPr>
        <w:ind w:left="560" w:right="3880" w:hanging="194"/>
        <w:spacing w:after="0" w:line="246" w:lineRule="auto"/>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Achieved record margins in North America and delivered EBIT-adjusted margins of greater than 10% for the third straight year</w:t>
      </w:r>
    </w:p>
    <w:p>
      <w:pPr>
        <w:ind w:left="560" w:right="3880" w:hanging="194"/>
        <w:spacing w:after="0" w:line="246" w:lineRule="auto"/>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Increased GM crossover retail sales in the United States by 21% over 2016 resulting in the best year in history</w:t>
      </w:r>
    </w:p>
    <w:p>
      <w:pPr>
        <w:ind w:left="560" w:right="3880" w:hanging="194"/>
        <w:spacing w:after="0" w:line="246" w:lineRule="auto"/>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Increased average transaction prices in the United States to $35,600, exceeding the industry by $3,800</w:t>
      </w:r>
    </w:p>
    <w:p>
      <w:pPr>
        <w:ind w:left="560" w:hanging="194"/>
        <w:spacing w:after="0"/>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Increased Denali sales in the United States where 29% of all GMC vehicles sold were Denali</w:t>
      </w:r>
    </w:p>
    <w:p>
      <w:pPr>
        <w:spacing w:after="0" w:line="18" w:lineRule="exact"/>
        <w:rPr>
          <w:rFonts w:ascii="Arial" w:cs="Arial" w:eastAsia="Arial" w:hAnsi="Arial"/>
          <w:sz w:val="16"/>
          <w:szCs w:val="16"/>
          <w:color w:val="00A1DF"/>
        </w:rPr>
      </w:pPr>
    </w:p>
    <w:p>
      <w:pPr>
        <w:ind w:left="560" w:hanging="194"/>
        <w:spacing w:after="0"/>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Awarded a third straight OEM IHS Customer Loyalty award for GM U.S.</w:t>
      </w:r>
    </w:p>
    <w:p>
      <w:pPr>
        <w:spacing w:after="0" w:line="18" w:lineRule="exact"/>
        <w:rPr>
          <w:rFonts w:ascii="Arial" w:cs="Arial" w:eastAsia="Arial" w:hAnsi="Arial"/>
          <w:sz w:val="16"/>
          <w:szCs w:val="16"/>
          <w:color w:val="00A1DF"/>
        </w:rPr>
      </w:pPr>
    </w:p>
    <w:p>
      <w:pPr>
        <w:ind w:left="560" w:right="3880" w:hanging="194"/>
        <w:spacing w:after="0" w:line="246" w:lineRule="auto"/>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Delivered the best retail sales since 2008 in Canada with all four brands, Chevrolet +13.6%, Buick +15.1%, GMC +18.7%, and Cadillac +10.9%, experiencing double digit increases</w:t>
      </w:r>
    </w:p>
    <w:p>
      <w:pPr>
        <w:ind w:left="560" w:right="3880" w:hanging="194"/>
        <w:spacing w:after="0" w:line="260" w:lineRule="auto"/>
        <w:tabs>
          <w:tab w:leader="none" w:pos="560" w:val="left"/>
        </w:tabs>
        <w:numPr>
          <w:ilvl w:val="0"/>
          <w:numId w:val="102"/>
        </w:numPr>
        <w:rPr>
          <w:rFonts w:ascii="Arial" w:cs="Arial" w:eastAsia="Arial" w:hAnsi="Arial"/>
          <w:sz w:val="16"/>
          <w:szCs w:val="16"/>
          <w:color w:val="00A1DF"/>
        </w:rPr>
      </w:pPr>
      <w:r>
        <w:rPr>
          <w:rFonts w:ascii="Arial" w:cs="Arial" w:eastAsia="Arial" w:hAnsi="Arial"/>
          <w:sz w:val="16"/>
          <w:szCs w:val="16"/>
          <w:color w:val="auto"/>
        </w:rPr>
        <w:t>Earned the J.D. Power CSI and SSI awards for Buick in the United States for the second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-1334135</wp:posOffset>
            </wp:positionV>
            <wp:extent cx="1569085" cy="2058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69085" cy="2058035"/>
                    </a:xfrm>
                    <a:prstGeom prst="rect">
                      <a:avLst/>
                    </a:prstGeom>
                    <a:noFill/>
                  </pic:spPr>
                </pic:pic>
              </a:graphicData>
            </a:graphic>
          </wp:anchor>
        </w:drawing>
      </w:r>
    </w:p>
    <w:p>
      <w:pPr>
        <w:spacing w:after="0" w:line="189" w:lineRule="exact"/>
        <w:rPr>
          <w:sz w:val="20"/>
          <w:szCs w:val="20"/>
          <w:color w:val="auto"/>
        </w:rPr>
      </w:pPr>
    </w:p>
    <w:p>
      <w:pPr>
        <w:jc w:val="both"/>
        <w:ind w:left="220" w:right="3820"/>
        <w:spacing w:after="0" w:line="250" w:lineRule="auto"/>
        <w:rPr>
          <w:sz w:val="20"/>
          <w:szCs w:val="20"/>
          <w:color w:val="auto"/>
        </w:rPr>
      </w:pPr>
      <w:r>
        <w:rPr>
          <w:rFonts w:ascii="Arial" w:cs="Arial" w:eastAsia="Arial" w:hAnsi="Arial"/>
          <w:sz w:val="16"/>
          <w:szCs w:val="16"/>
          <w:color w:val="auto"/>
        </w:rPr>
        <w:t>Effective January 1, 2017, Mr. Batey’s base salary was increased from $950,000 to $1,025,000. The increase was supported by the competitive market analysis provided by the Compensation Committee’s independent compensation consultant. For 2017, the Compensation Committee awarded Mr. Batey an annual equity grant of $2.69 million, consisting of 75% PSUs and 25% Stock Options.</w:t>
      </w:r>
    </w:p>
    <w:p>
      <w:pPr>
        <w:spacing w:after="0" w:line="95" w:lineRule="exact"/>
        <w:rPr>
          <w:sz w:val="20"/>
          <w:szCs w:val="20"/>
          <w:color w:val="auto"/>
        </w:rPr>
      </w:pPr>
    </w:p>
    <w:p>
      <w:pPr>
        <w:jc w:val="both"/>
        <w:ind w:left="220" w:right="3820"/>
        <w:spacing w:after="0" w:line="253" w:lineRule="auto"/>
        <w:rPr>
          <w:sz w:val="20"/>
          <w:szCs w:val="20"/>
          <w:color w:val="auto"/>
        </w:rPr>
      </w:pPr>
      <w:r>
        <w:rPr>
          <w:rFonts w:ascii="Arial" w:cs="Arial" w:eastAsia="Arial" w:hAnsi="Arial"/>
          <w:sz w:val="16"/>
          <w:szCs w:val="16"/>
          <w:color w:val="auto"/>
        </w:rPr>
        <w:t>The Compensation Committee awarded Mr. Batey 35 points based on his results, highlighted above, for the 2017 performance year. The total compensation for Mr. Batey in 2017,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-130175</wp:posOffset>
            </wp:positionV>
            <wp:extent cx="1663700" cy="30187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63700" cy="3018790"/>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0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20" w:type="dxa"/>
            <w:vAlign w:val="bottom"/>
            <w:tcBorders>
              <w:top w:val="single" w:sz="8" w:color="00A1DF"/>
              <w:bottom w:val="single" w:sz="8" w:color="00A1DF"/>
            </w:tcBorders>
          </w:tcPr>
          <w:p>
            <w:pPr>
              <w:ind w:left="320"/>
              <w:spacing w:after="0"/>
              <w:rPr>
                <w:sz w:val="20"/>
                <w:szCs w:val="20"/>
                <w:color w:val="auto"/>
              </w:rPr>
            </w:pPr>
            <w:r>
              <w:rPr>
                <w:rFonts w:ascii="Arial" w:cs="Arial" w:eastAsia="Arial" w:hAnsi="Arial"/>
                <w:sz w:val="15"/>
                <w:szCs w:val="15"/>
                <w:b w:val="1"/>
                <w:bCs w:val="1"/>
                <w:color w:val="00A1DF"/>
              </w:rPr>
              <w:t>Majority of Pay Is At-Risk</w:t>
            </w:r>
          </w:p>
        </w:tc>
        <w:tc>
          <w:tcPr>
            <w:tcW w:w="1860" w:type="dxa"/>
            <w:vAlign w:val="bottom"/>
            <w:tcBorders>
              <w:top w:val="single" w:sz="8" w:color="00A1DF"/>
              <w:bottom w:val="single" w:sz="8" w:color="00A1DF"/>
            </w:tcBorders>
            <w:gridSpan w:val="2"/>
          </w:tcPr>
          <w:p>
            <w:pPr>
              <w:jc w:val="right"/>
              <w:ind w:right="3"/>
              <w:spacing w:after="0"/>
              <w:rPr>
                <w:sz w:val="20"/>
                <w:szCs w:val="20"/>
                <w:color w:val="auto"/>
              </w:rPr>
            </w:pPr>
            <w:r>
              <w:rPr>
                <w:rFonts w:ascii="Arial" w:cs="Arial" w:eastAsia="Arial" w:hAnsi="Arial"/>
                <w:sz w:val="15"/>
                <w:szCs w:val="15"/>
                <w:b w:val="1"/>
                <w:bCs w:val="1"/>
                <w:color w:val="00A1DF"/>
              </w:rPr>
              <w:t>Awarded Value</w:t>
            </w:r>
          </w:p>
        </w:tc>
      </w:tr>
      <w:tr>
        <w:trPr>
          <w:trHeight w:val="169"/>
        </w:trPr>
        <w:tc>
          <w:tcPr>
            <w:tcW w:w="15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Base Salary</w:t>
            </w:r>
          </w:p>
        </w:tc>
        <w:tc>
          <w:tcPr>
            <w:tcW w:w="372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5"/>
                <w:szCs w:val="15"/>
                <w:color w:val="auto"/>
              </w:rPr>
              <w:t>Only Fixed Pay Element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w w:val="98"/>
              </w:rPr>
              <w:t>1,025,000</w:t>
            </w:r>
          </w:p>
        </w:tc>
      </w:tr>
      <w:tr>
        <w:trPr>
          <w:trHeight w:val="169"/>
        </w:trPr>
        <w:tc>
          <w:tcPr>
            <w:tcW w:w="15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STIP</w:t>
            </w:r>
          </w:p>
        </w:tc>
        <w:tc>
          <w:tcPr>
            <w:tcW w:w="372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5"/>
                <w:szCs w:val="15"/>
                <w:color w:val="auto"/>
              </w:rPr>
              <w:t>Performance to Metrics</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w w:val="98"/>
              </w:rPr>
              <w:t>1,447,800</w:t>
            </w:r>
          </w:p>
        </w:tc>
      </w:tr>
      <w:tr>
        <w:trPr>
          <w:trHeight w:val="169"/>
        </w:trPr>
        <w:tc>
          <w:tcPr>
            <w:tcW w:w="15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(1)</w:t>
            </w:r>
          </w:p>
        </w:tc>
        <w:tc>
          <w:tcPr>
            <w:tcW w:w="372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5"/>
                <w:szCs w:val="15"/>
                <w:color w:val="auto"/>
              </w:rPr>
              <w:t>Performance to Metrics and Stock Price</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w w:val="98"/>
              </w:rPr>
              <w:t>2,224,928</w:t>
            </w:r>
          </w:p>
        </w:tc>
      </w:tr>
      <w:tr>
        <w:trPr>
          <w:trHeight w:val="169"/>
        </w:trPr>
        <w:tc>
          <w:tcPr>
            <w:tcW w:w="15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(2)</w:t>
            </w:r>
          </w:p>
        </w:tc>
        <w:tc>
          <w:tcPr>
            <w:tcW w:w="3720" w:type="dxa"/>
            <w:vAlign w:val="bottom"/>
            <w:tcBorders>
              <w:bottom w:val="single" w:sz="8" w:color="auto"/>
            </w:tcBorders>
          </w:tcPr>
          <w:p>
            <w:pPr>
              <w:ind w:left="320"/>
              <w:spacing w:after="0" w:line="169" w:lineRule="exact"/>
              <w:rPr>
                <w:sz w:val="20"/>
                <w:szCs w:val="20"/>
                <w:color w:val="auto"/>
              </w:rPr>
            </w:pPr>
            <w:r>
              <w:rPr>
                <w:rFonts w:ascii="Arial" w:cs="Arial" w:eastAsia="Arial" w:hAnsi="Arial"/>
                <w:sz w:val="15"/>
                <w:szCs w:val="15"/>
                <w:color w:val="auto"/>
              </w:rPr>
              <w:t>Performance to Stock Price</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673,426</w:t>
            </w:r>
          </w:p>
        </w:tc>
      </w:tr>
      <w:tr>
        <w:trPr>
          <w:trHeight w:val="183"/>
        </w:trPr>
        <w:tc>
          <w:tcPr>
            <w:tcW w:w="150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20" w:type="dxa"/>
            <w:vAlign w:val="bottom"/>
            <w:tcBorders>
              <w:bottom w:val="single" w:sz="8" w:color="0033A0"/>
            </w:tcBorders>
          </w:tcPr>
          <w:p>
            <w:pPr>
              <w:spacing w:after="0"/>
              <w:rPr>
                <w:sz w:val="15"/>
                <w:szCs w:val="15"/>
                <w:color w:val="auto"/>
              </w:rPr>
            </w:pPr>
          </w:p>
        </w:tc>
        <w:tc>
          <w:tcPr>
            <w:tcW w:w="110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w:t>
            </w:r>
          </w:p>
        </w:tc>
        <w:tc>
          <w:tcPr>
            <w:tcW w:w="76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b w:val="1"/>
                <w:bCs w:val="1"/>
                <w:color w:val="0033A0"/>
                <w:w w:val="98"/>
              </w:rPr>
              <w:t>5,371,154</w:t>
            </w:r>
          </w:p>
        </w:tc>
      </w:tr>
    </w:tbl>
    <w:p>
      <w:pPr>
        <w:spacing w:after="0" w:line="58" w:lineRule="exact"/>
        <w:rPr>
          <w:sz w:val="20"/>
          <w:szCs w:val="20"/>
          <w:color w:val="auto"/>
        </w:rPr>
      </w:pPr>
    </w:p>
    <w:p>
      <w:pPr>
        <w:jc w:val="both"/>
        <w:ind w:left="480" w:right="3880" w:hanging="269"/>
        <w:spacing w:after="0" w:line="260" w:lineRule="auto"/>
        <w:tabs>
          <w:tab w:leader="none" w:pos="480" w:val="left"/>
        </w:tabs>
        <w:numPr>
          <w:ilvl w:val="0"/>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0" w:lineRule="exact"/>
        <w:rPr>
          <w:rFonts w:ascii="Arial" w:cs="Arial" w:eastAsia="Arial" w:hAnsi="Arial"/>
          <w:sz w:val="14"/>
          <w:szCs w:val="14"/>
          <w:i w:val="1"/>
          <w:iCs w:val="1"/>
          <w:color w:val="auto"/>
        </w:rPr>
      </w:pPr>
    </w:p>
    <w:p>
      <w:pPr>
        <w:ind w:left="480" w:hanging="269"/>
        <w:spacing w:after="0"/>
        <w:tabs>
          <w:tab w:leader="none" w:pos="480" w:val="left"/>
        </w:tabs>
        <w:numPr>
          <w:ilvl w:val="0"/>
          <w:numId w:val="103"/>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all options exercised and stock vested during the</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year. 2017 realized compensation increased relative</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to the prior year reflecting 1) the vesting of the PSU</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award granted to Mr. Batey in 2014, the year he was</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promoted to his current role; and 2) an increase in</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stock price at the time of vesting versus the prior</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year.</w:t>
      </w:r>
    </w:p>
    <w:p>
      <w:pPr>
        <w:spacing w:after="0" w:line="200" w:lineRule="exact"/>
        <w:rPr>
          <w:sz w:val="20"/>
          <w:szCs w:val="20"/>
          <w:color w:val="auto"/>
        </w:rPr>
      </w:pPr>
    </w:p>
    <w:p>
      <w:pPr>
        <w:spacing w:after="0" w:line="247" w:lineRule="exact"/>
        <w:rPr>
          <w:sz w:val="20"/>
          <w:szCs w:val="20"/>
          <w:color w:val="auto"/>
        </w:rPr>
      </w:pPr>
    </w:p>
    <w:p>
      <w:pPr>
        <w:jc w:val="center"/>
        <w:ind w:right="10620"/>
        <w:spacing w:after="0"/>
        <w:rPr>
          <w:sz w:val="20"/>
          <w:szCs w:val="20"/>
          <w:color w:val="auto"/>
        </w:rPr>
      </w:pPr>
      <w:r>
        <w:rPr>
          <w:rFonts w:ascii="Arial" w:cs="Arial" w:eastAsia="Arial" w:hAnsi="Arial"/>
          <w:sz w:val="14"/>
          <w:szCs w:val="14"/>
          <w:color w:val="0033A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p>
      <w:pPr>
        <w:ind w:left="640" w:hanging="429"/>
        <w:spacing w:after="0"/>
        <w:tabs>
          <w:tab w:leader="none" w:pos="640" w:val="left"/>
        </w:tabs>
        <w:numPr>
          <w:ilvl w:val="0"/>
          <w:numId w:val="104"/>
        </w:numPr>
        <w:rPr>
          <w:rFonts w:ascii="Arial" w:cs="Arial" w:eastAsia="Arial" w:hAnsi="Arial"/>
          <w:sz w:val="25"/>
          <w:szCs w:val="25"/>
          <w:color w:val="0033A0"/>
        </w:rPr>
      </w:pPr>
      <w:r>
        <w:rPr>
          <w:rFonts w:ascii="Arial" w:cs="Arial" w:eastAsia="Arial" w:hAnsi="Arial"/>
          <w:sz w:val="25"/>
          <w:szCs w:val="25"/>
          <w:color w:val="auto"/>
        </w:rPr>
        <w:t>Compensation Decisions for Karl-Thomas Neumann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A0"/>
        </w:rPr>
        <w:t xml:space="preserve">Karl-Thomas Neumann, </w:t>
      </w:r>
      <w:r>
        <w:rPr>
          <w:rFonts w:ascii="Arial" w:cs="Arial" w:eastAsia="Arial" w:hAnsi="Arial"/>
          <w:sz w:val="16"/>
          <w:szCs w:val="16"/>
          <w:b w:val="1"/>
          <w:bCs w:val="1"/>
          <w:color w:val="000000"/>
        </w:rPr>
        <w:t>Former Executive Vice President &amp; President,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4545330" cy="6000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45330" cy="600075"/>
                    </a:xfrm>
                    <a:prstGeom prst="rect">
                      <a:avLst/>
                    </a:prstGeom>
                    <a:noFill/>
                  </pic:spPr>
                </pic:pic>
              </a:graphicData>
            </a:graphic>
          </wp:anchor>
        </w:drawing>
      </w:r>
    </w:p>
    <w:p>
      <w:pPr>
        <w:spacing w:after="0" w:line="167" w:lineRule="exact"/>
        <w:rPr>
          <w:sz w:val="20"/>
          <w:szCs w:val="20"/>
          <w:color w:val="auto"/>
        </w:rPr>
      </w:pPr>
    </w:p>
    <w:p>
      <w:pPr>
        <w:jc w:val="both"/>
        <w:ind w:left="380" w:right="4000"/>
        <w:spacing w:after="0" w:line="251" w:lineRule="auto"/>
        <w:rPr>
          <w:sz w:val="20"/>
          <w:szCs w:val="20"/>
          <w:color w:val="auto"/>
        </w:rPr>
      </w:pPr>
      <w:r>
        <w:rPr>
          <w:rFonts w:ascii="Arial" w:cs="Arial" w:eastAsia="Arial" w:hAnsi="Arial"/>
          <w:sz w:val="16"/>
          <w:szCs w:val="16"/>
          <w:color w:val="auto"/>
        </w:rPr>
        <w:t>Dr. Neumann played a key role in leading the Opel/Vauxhall organizations through the sale to PSA while maximizing business results versus the plan and maintained the consistency of the workforce that transitioned to PSA. He continued to navigate the teams to achieve a successful closing and worked through issues with all stakeholders in a constructive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-360680</wp:posOffset>
            </wp:positionV>
            <wp:extent cx="1526540" cy="2058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26540" cy="2058035"/>
                    </a:xfrm>
                    <a:prstGeom prst="rect">
                      <a:avLst/>
                    </a:prstGeom>
                    <a:noFill/>
                  </pic:spPr>
                </pic:pic>
              </a:graphicData>
            </a:graphic>
          </wp:anchor>
        </w:drawing>
      </w:r>
    </w:p>
    <w:p>
      <w:pPr>
        <w:spacing w:after="0" w:line="225" w:lineRule="exact"/>
        <w:rPr>
          <w:sz w:val="20"/>
          <w:szCs w:val="20"/>
          <w:color w:val="auto"/>
        </w:rPr>
      </w:pPr>
    </w:p>
    <w:p>
      <w:pPr>
        <w:jc w:val="both"/>
        <w:ind w:left="220" w:right="3900"/>
        <w:spacing w:after="0" w:line="262" w:lineRule="auto"/>
        <w:rPr>
          <w:sz w:val="20"/>
          <w:szCs w:val="20"/>
          <w:color w:val="auto"/>
        </w:rPr>
      </w:pPr>
      <w:r>
        <w:rPr>
          <w:rFonts w:ascii="Arial" w:cs="Arial" w:eastAsia="Arial" w:hAnsi="Arial"/>
          <w:sz w:val="16"/>
          <w:szCs w:val="16"/>
          <w:color w:val="auto"/>
        </w:rPr>
        <w:t>Effective January 1, 2017, Dr. Neumann’s base salary was €811,864 supported by the competitive market analysis provided by the Compensation Committee’s independent compensation consultant. For 2017, the Compensation Committee awarded Dr. Neumann an annual equity grant of $2.37 million, consisting of 75% PSUs and 25% Stock Options.</w:t>
      </w:r>
    </w:p>
    <w:p>
      <w:pPr>
        <w:spacing w:after="0" w:line="86" w:lineRule="exact"/>
        <w:rPr>
          <w:sz w:val="20"/>
          <w:szCs w:val="20"/>
          <w:color w:val="auto"/>
        </w:rPr>
      </w:pPr>
    </w:p>
    <w:p>
      <w:pPr>
        <w:jc w:val="both"/>
        <w:ind w:left="220" w:right="3900"/>
        <w:spacing w:after="0" w:line="250" w:lineRule="auto"/>
        <w:rPr>
          <w:sz w:val="20"/>
          <w:szCs w:val="20"/>
          <w:color w:val="auto"/>
        </w:rPr>
      </w:pPr>
      <w:r>
        <w:rPr>
          <w:rFonts w:ascii="Arial" w:cs="Arial" w:eastAsia="Arial" w:hAnsi="Arial"/>
          <w:sz w:val="16"/>
          <w:szCs w:val="16"/>
          <w:color w:val="auto"/>
        </w:rPr>
        <w:t>Based on performance to goals for 2017, the Compensation Committee awarded Dr. Neumann 25 points for his performance assessment under the STIP. In addition, the Committee awarded Dr. Neumann a one-time transaction success incentive (“TSI”) award for his efforts in leading the Opel/Vauxhall organization through the close of the sale to PSA. The total compensation for Dr. Neumann in 2017, including salary, bonus, STIP and LTIP awards, is displayed below.</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20" w:type="dxa"/>
            <w:vAlign w:val="bottom"/>
            <w:tcBorders>
              <w:top w:val="single" w:sz="8" w:color="00A1DF"/>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Pay Element</w:t>
            </w:r>
          </w:p>
        </w:tc>
        <w:tc>
          <w:tcPr>
            <w:tcW w:w="374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Majority of Pay Is At-Risk</w:t>
            </w:r>
          </w:p>
        </w:tc>
        <w:tc>
          <w:tcPr>
            <w:tcW w:w="1820" w:type="dxa"/>
            <w:vAlign w:val="bottom"/>
            <w:tcBorders>
              <w:top w:val="single" w:sz="8" w:color="00A1DF"/>
              <w:bottom w:val="single" w:sz="8" w:color="00A1DF"/>
            </w:tcBorders>
            <w:gridSpan w:val="2"/>
          </w:tcPr>
          <w:p>
            <w:pPr>
              <w:jc w:val="right"/>
              <w:ind w:right="3"/>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20" w:type="dxa"/>
            <w:vAlign w:val="bottom"/>
          </w:tcPr>
          <w:p>
            <w:pPr>
              <w:ind w:left="880"/>
              <w:spacing w:after="0"/>
              <w:rPr>
                <w:sz w:val="20"/>
                <w:szCs w:val="20"/>
                <w:color w:val="auto"/>
              </w:rPr>
            </w:pPr>
            <w:r>
              <w:rPr>
                <w:rFonts w:ascii="Arial" w:cs="Arial" w:eastAsia="Arial" w:hAnsi="Arial"/>
                <w:sz w:val="13"/>
                <w:szCs w:val="13"/>
                <w:color w:val="auto"/>
              </w:rPr>
              <w:t>(1)</w:t>
            </w:r>
          </w:p>
        </w:tc>
        <w:tc>
          <w:tcPr>
            <w:tcW w:w="3740" w:type="dxa"/>
            <w:vAlign w:val="bottom"/>
            <w:vMerge w:val="restart"/>
          </w:tcPr>
          <w:p>
            <w:pPr>
              <w:ind w:left="380"/>
              <w:spacing w:after="0"/>
              <w:rPr>
                <w:sz w:val="20"/>
                <w:szCs w:val="20"/>
                <w:color w:val="auto"/>
              </w:rPr>
            </w:pPr>
            <w:r>
              <w:rPr>
                <w:rFonts w:ascii="Arial" w:cs="Arial" w:eastAsia="Arial" w:hAnsi="Arial"/>
                <w:sz w:val="15"/>
                <w:szCs w:val="15"/>
                <w:color w:val="auto"/>
              </w:rPr>
              <w:t>Only Fixed Pay Element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916,936</w:t>
            </w:r>
          </w:p>
        </w:tc>
        <w:tc>
          <w:tcPr>
            <w:tcW w:w="0" w:type="dxa"/>
            <w:vAlign w:val="bottom"/>
          </w:tcPr>
          <w:p>
            <w:pPr>
              <w:spacing w:after="0"/>
              <w:rPr>
                <w:sz w:val="1"/>
                <w:szCs w:val="1"/>
                <w:color w:val="auto"/>
              </w:rPr>
            </w:pPr>
          </w:p>
        </w:tc>
      </w:tr>
      <w:tr>
        <w:trPr>
          <w:trHeight w:val="54"/>
        </w:trPr>
        <w:tc>
          <w:tcPr>
            <w:tcW w:w="1520" w:type="dxa"/>
            <w:vAlign w:val="bottom"/>
            <w:tcBorders>
              <w:bottom w:val="single" w:sz="8" w:color="auto"/>
            </w:tcBorders>
          </w:tcPr>
          <w:p>
            <w:pPr>
              <w:ind w:left="60"/>
              <w:spacing w:after="0" w:line="54" w:lineRule="exact"/>
              <w:rPr>
                <w:sz w:val="20"/>
                <w:szCs w:val="20"/>
                <w:color w:val="auto"/>
              </w:rPr>
            </w:pPr>
            <w:r>
              <w:rPr>
                <w:rFonts w:ascii="Arial" w:cs="Arial" w:eastAsia="Arial" w:hAnsi="Arial"/>
                <w:sz w:val="5"/>
                <w:szCs w:val="5"/>
                <w:color w:val="auto"/>
              </w:rPr>
              <w:t>Base Salary</w:t>
            </w:r>
          </w:p>
        </w:tc>
        <w:tc>
          <w:tcPr>
            <w:tcW w:w="374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STIP</w:t>
            </w:r>
            <w:r>
              <w:rPr>
                <w:rFonts w:ascii="Arial" w:cs="Arial" w:eastAsia="Arial" w:hAnsi="Arial"/>
                <w:sz w:val="13"/>
                <w:szCs w:val="13"/>
                <w:color w:val="auto"/>
              </w:rPr>
              <w:t>(2)</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1,276,317</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r>
              <w:rPr>
                <w:rFonts w:ascii="Arial" w:cs="Arial" w:eastAsia="Arial" w:hAnsi="Arial"/>
                <w:sz w:val="13"/>
                <w:szCs w:val="13"/>
                <w:color w:val="auto"/>
              </w:rPr>
              <w:t>(3)</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Metrics and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1,961,676</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Stock Options</w:t>
            </w:r>
            <w:r>
              <w:rPr>
                <w:rFonts w:ascii="Arial" w:cs="Arial" w:eastAsia="Arial" w:hAnsi="Arial"/>
                <w:sz w:val="13"/>
                <w:szCs w:val="13"/>
                <w:color w:val="auto"/>
              </w:rPr>
              <w:t>(4)</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Stock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593,751</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Other</w:t>
            </w:r>
            <w:r>
              <w:rPr>
                <w:rFonts w:ascii="Arial" w:cs="Arial" w:eastAsia="Arial" w:hAnsi="Arial"/>
                <w:sz w:val="13"/>
                <w:szCs w:val="13"/>
                <w:color w:val="auto"/>
              </w:rPr>
              <w:t>(5)</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Performance to Transaction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8"/>
              </w:rPr>
              <w:t>2,000,000</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0033A0"/>
            </w:tcBorders>
          </w:tcPr>
          <w:p>
            <w:pPr>
              <w:ind w:left="60"/>
              <w:spacing w:after="0"/>
              <w:rPr>
                <w:sz w:val="20"/>
                <w:szCs w:val="20"/>
                <w:color w:val="auto"/>
              </w:rPr>
            </w:pPr>
            <w:r>
              <w:rPr>
                <w:rFonts w:ascii="Arial" w:cs="Arial" w:eastAsia="Arial" w:hAnsi="Arial"/>
                <w:sz w:val="15"/>
                <w:szCs w:val="15"/>
                <w:b w:val="1"/>
                <w:bCs w:val="1"/>
                <w:color w:val="0033A0"/>
              </w:rPr>
              <w:t>TOTAL</w:t>
            </w:r>
          </w:p>
        </w:tc>
        <w:tc>
          <w:tcPr>
            <w:tcW w:w="3740" w:type="dxa"/>
            <w:vAlign w:val="bottom"/>
            <w:tcBorders>
              <w:bottom w:val="single" w:sz="8" w:color="0033A0"/>
            </w:tcBorders>
          </w:tcPr>
          <w:p>
            <w:pPr>
              <w:spacing w:after="0"/>
              <w:rPr>
                <w:sz w:val="19"/>
                <w:szCs w:val="19"/>
                <w:color w:val="auto"/>
              </w:rPr>
            </w:pPr>
          </w:p>
        </w:tc>
        <w:tc>
          <w:tcPr>
            <w:tcW w:w="106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w:t>
            </w:r>
          </w:p>
        </w:tc>
        <w:tc>
          <w:tcPr>
            <w:tcW w:w="76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b w:val="1"/>
                <w:bCs w:val="1"/>
                <w:color w:val="0033A0"/>
                <w:w w:val="98"/>
              </w:rPr>
              <w:t>6,748,680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-513715</wp:posOffset>
            </wp:positionV>
            <wp:extent cx="1663700" cy="28644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63700" cy="2864485"/>
                    </a:xfrm>
                    <a:prstGeom prst="rect">
                      <a:avLst/>
                    </a:prstGeom>
                    <a:noFill/>
                  </pic:spPr>
                </pic:pic>
              </a:graphicData>
            </a:graphic>
          </wp:anchor>
        </w:drawing>
      </w:r>
    </w:p>
    <w:p>
      <w:pPr>
        <w:spacing w:after="0" w:line="38" w:lineRule="exact"/>
        <w:rPr>
          <w:sz w:val="20"/>
          <w:szCs w:val="20"/>
          <w:color w:val="auto"/>
        </w:rPr>
      </w:pPr>
    </w:p>
    <w:p>
      <w:pPr>
        <w:jc w:val="both"/>
        <w:ind w:left="480" w:right="3960" w:hanging="269"/>
        <w:spacing w:after="0" w:line="260" w:lineRule="auto"/>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The salary of €811,864 was paid in euros and converted to U.S. dollars, applying an average foreign exchange rate for the period from January 1, 2017 to December 31, 2017 during which compensation was earned €1 = $1.1294.</w:t>
      </w:r>
    </w:p>
    <w:p>
      <w:pPr>
        <w:spacing w:after="0" w:line="30" w:lineRule="exact"/>
        <w:rPr>
          <w:rFonts w:ascii="Arial" w:cs="Arial" w:eastAsia="Arial" w:hAnsi="Arial"/>
          <w:sz w:val="14"/>
          <w:szCs w:val="14"/>
          <w:i w:val="1"/>
          <w:iCs w:val="1"/>
          <w:color w:val="auto"/>
        </w:rPr>
      </w:pPr>
    </w:p>
    <w:p>
      <w:pPr>
        <w:ind w:left="480" w:right="3960" w:hanging="269"/>
        <w:spacing w:after="0" w:line="279" w:lineRule="auto"/>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The STIP award of €1,045,200, was paid in euros and converted using the exchange rate on date of payment. €1 = $1.221122</w:t>
      </w:r>
    </w:p>
    <w:p>
      <w:pPr>
        <w:spacing w:after="0" w:line="17" w:lineRule="exact"/>
        <w:rPr>
          <w:rFonts w:ascii="Arial" w:cs="Arial" w:eastAsia="Arial" w:hAnsi="Arial"/>
          <w:sz w:val="14"/>
          <w:szCs w:val="14"/>
          <w:i w:val="1"/>
          <w:iCs w:val="1"/>
          <w:color w:val="auto"/>
        </w:rPr>
      </w:pPr>
    </w:p>
    <w:p>
      <w:pPr>
        <w:jc w:val="both"/>
        <w:ind w:left="480" w:right="3960" w:hanging="269"/>
        <w:spacing w:after="0" w:line="260" w:lineRule="auto"/>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probable performance results from the Monte Carlo analysis to value Relative TSR awards.</w:t>
      </w:r>
    </w:p>
    <w:p>
      <w:pPr>
        <w:spacing w:after="0" w:line="30" w:lineRule="exact"/>
        <w:rPr>
          <w:rFonts w:ascii="Arial" w:cs="Arial" w:eastAsia="Arial" w:hAnsi="Arial"/>
          <w:sz w:val="14"/>
          <w:szCs w:val="14"/>
          <w:i w:val="1"/>
          <w:iCs w:val="1"/>
          <w:color w:val="auto"/>
        </w:rPr>
      </w:pPr>
    </w:p>
    <w:p>
      <w:pPr>
        <w:ind w:left="480" w:hanging="269"/>
        <w:spacing w:after="0"/>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68" w:lineRule="exact"/>
        <w:rPr>
          <w:rFonts w:ascii="Arial" w:cs="Arial" w:eastAsia="Arial" w:hAnsi="Arial"/>
          <w:sz w:val="14"/>
          <w:szCs w:val="14"/>
          <w:i w:val="1"/>
          <w:iCs w:val="1"/>
          <w:color w:val="auto"/>
        </w:rPr>
      </w:pPr>
    </w:p>
    <w:p>
      <w:pPr>
        <w:ind w:left="480" w:right="3960" w:hanging="269"/>
        <w:spacing w:after="0" w:line="279" w:lineRule="auto"/>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The TSI was paid based on a successful close of the Opel/Vauxhall sale to PSA. The TSI award was based in U.S. dollars and paid in euros.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compensation includes base salary, earned STIP, TSI</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award, and all options exercised and stock vested</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i w:val="1"/>
          <w:iCs w:val="1"/>
          <w:color w:val="auto"/>
        </w:rPr>
        <w:t>during the year.</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53</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0"/>
          <w:szCs w:val="30"/>
          <w:color w:val="00A1DF"/>
        </w:rPr>
        <w:t>Compensation Policies and Governance Practices</w:t>
      </w:r>
    </w:p>
    <w:p>
      <w:pPr>
        <w:sectPr>
          <w:pgSz w:w="11900" w:h="16838" w:orient="portrait"/>
          <w:cols w:equalWidth="0" w:num="1">
            <w:col w:w="11220"/>
          </w:cols>
          <w:pgMar w:left="240" w:top="459" w:right="439" w:bottom="1440" w:gutter="0" w:footer="0" w:header="0"/>
        </w:sectPr>
      </w:pPr>
    </w:p>
    <w:p>
      <w:pPr>
        <w:spacing w:after="0" w:line="360"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25"/>
          <w:szCs w:val="25"/>
          <w:color w:val="0033A0"/>
        </w:rPr>
      </w:pPr>
      <w:r>
        <w:rPr>
          <w:rFonts w:ascii="Arial" w:cs="Arial" w:eastAsia="Arial" w:hAnsi="Arial"/>
          <w:sz w:val="25"/>
          <w:szCs w:val="25"/>
          <w:color w:val="auto"/>
        </w:rPr>
        <w:t>Stock Ownership Requirements</w:t>
      </w:r>
    </w:p>
    <w:p>
      <w:pPr>
        <w:spacing w:after="0" w:line="28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Company requires our senior leaders to own stock in the Company to more closely align the interests of senior leaders with those of our shareholders. The requirements:</w:t>
      </w:r>
    </w:p>
    <w:p>
      <w:pPr>
        <w:spacing w:after="0" w:line="107" w:lineRule="exact"/>
        <w:rPr>
          <w:sz w:val="20"/>
          <w:szCs w:val="20"/>
          <w:color w:val="auto"/>
        </w:rPr>
      </w:pPr>
    </w:p>
    <w:p>
      <w:pPr>
        <w:ind w:left="400" w:hanging="196"/>
        <w:spacing w:after="0"/>
        <w:tabs>
          <w:tab w:leader="none" w:pos="400" w:val="left"/>
        </w:tabs>
        <w:numPr>
          <w:ilvl w:val="0"/>
          <w:numId w:val="107"/>
        </w:numPr>
        <w:rPr>
          <w:rFonts w:ascii="Arial" w:cs="Arial" w:eastAsia="Arial" w:hAnsi="Arial"/>
          <w:sz w:val="16"/>
          <w:szCs w:val="16"/>
          <w:color w:val="0033A0"/>
        </w:rPr>
      </w:pPr>
      <w:r>
        <w:rPr>
          <w:rFonts w:ascii="Arial" w:cs="Arial" w:eastAsia="Arial" w:hAnsi="Arial"/>
          <w:sz w:val="16"/>
          <w:szCs w:val="16"/>
          <w:color w:val="auto"/>
        </w:rPr>
        <w:t>cover all senior leaders;</w:t>
      </w:r>
    </w:p>
    <w:p>
      <w:pPr>
        <w:spacing w:after="0" w:line="126" w:lineRule="exact"/>
        <w:rPr>
          <w:rFonts w:ascii="Arial" w:cs="Arial" w:eastAsia="Arial" w:hAnsi="Arial"/>
          <w:sz w:val="16"/>
          <w:szCs w:val="16"/>
          <w:color w:val="0033A0"/>
        </w:rPr>
      </w:pPr>
    </w:p>
    <w:p>
      <w:pPr>
        <w:ind w:left="400" w:hanging="196"/>
        <w:spacing w:after="0"/>
        <w:tabs>
          <w:tab w:leader="none" w:pos="400" w:val="left"/>
        </w:tabs>
        <w:numPr>
          <w:ilvl w:val="0"/>
          <w:numId w:val="107"/>
        </w:numPr>
        <w:rPr>
          <w:rFonts w:ascii="Arial" w:cs="Arial" w:eastAsia="Arial" w:hAnsi="Arial"/>
          <w:sz w:val="16"/>
          <w:szCs w:val="16"/>
          <w:color w:val="0033A0"/>
        </w:rPr>
      </w:pPr>
      <w:r>
        <w:rPr>
          <w:rFonts w:ascii="Arial" w:cs="Arial" w:eastAsia="Arial" w:hAnsi="Arial"/>
          <w:sz w:val="16"/>
          <w:szCs w:val="16"/>
          <w:color w:val="auto"/>
        </w:rPr>
        <w:t>set five years as the time frame to meet ownership requirements;</w:t>
      </w:r>
    </w:p>
    <w:p>
      <w:pPr>
        <w:spacing w:after="0" w:line="126" w:lineRule="exact"/>
        <w:rPr>
          <w:rFonts w:ascii="Arial" w:cs="Arial" w:eastAsia="Arial" w:hAnsi="Arial"/>
          <w:sz w:val="16"/>
          <w:szCs w:val="16"/>
          <w:color w:val="0033A0"/>
        </w:rPr>
      </w:pPr>
    </w:p>
    <w:p>
      <w:pPr>
        <w:ind w:left="400" w:right="20" w:hanging="196"/>
        <w:spacing w:after="0" w:line="260" w:lineRule="auto"/>
        <w:tabs>
          <w:tab w:leader="none" w:pos="400" w:val="left"/>
        </w:tabs>
        <w:numPr>
          <w:ilvl w:val="0"/>
          <w:numId w:val="107"/>
        </w:numPr>
        <w:rPr>
          <w:rFonts w:ascii="Arial" w:cs="Arial" w:eastAsia="Arial" w:hAnsi="Arial"/>
          <w:sz w:val="16"/>
          <w:szCs w:val="16"/>
          <w:color w:val="0033A0"/>
        </w:rPr>
      </w:pPr>
      <w:r>
        <w:rPr>
          <w:rFonts w:ascii="Arial" w:cs="Arial" w:eastAsia="Arial" w:hAnsi="Arial"/>
          <w:sz w:val="16"/>
          <w:szCs w:val="16"/>
          <w:color w:val="auto"/>
        </w:rPr>
        <w:t>establish a multiple of each executive’s base salary on the date they are first covered;</w:t>
      </w:r>
    </w:p>
    <w:p>
      <w:pPr>
        <w:spacing w:after="0" w:line="101" w:lineRule="exact"/>
        <w:rPr>
          <w:rFonts w:ascii="Arial" w:cs="Arial" w:eastAsia="Arial" w:hAnsi="Arial"/>
          <w:sz w:val="16"/>
          <w:szCs w:val="16"/>
          <w:color w:val="0033A0"/>
        </w:rPr>
      </w:pPr>
    </w:p>
    <w:p>
      <w:pPr>
        <w:ind w:left="400" w:right="20" w:hanging="196"/>
        <w:spacing w:after="0" w:line="260" w:lineRule="auto"/>
        <w:tabs>
          <w:tab w:leader="none" w:pos="400" w:val="left"/>
        </w:tabs>
        <w:numPr>
          <w:ilvl w:val="0"/>
          <w:numId w:val="107"/>
        </w:numPr>
        <w:rPr>
          <w:rFonts w:ascii="Arial" w:cs="Arial" w:eastAsia="Arial" w:hAnsi="Arial"/>
          <w:sz w:val="16"/>
          <w:szCs w:val="16"/>
          <w:color w:val="0033A0"/>
        </w:rPr>
      </w:pPr>
      <w:r>
        <w:rPr>
          <w:rFonts w:ascii="Arial" w:cs="Arial" w:eastAsia="Arial" w:hAnsi="Arial"/>
          <w:sz w:val="16"/>
          <w:szCs w:val="16"/>
          <w:color w:val="auto"/>
        </w:rPr>
        <w:t>make it possible to meet ownership requirements by owning either a multiple of base salary or a required number of shares; and</w:t>
      </w:r>
    </w:p>
    <w:p>
      <w:pPr>
        <w:spacing w:after="0" w:line="101" w:lineRule="exact"/>
        <w:rPr>
          <w:rFonts w:ascii="Arial" w:cs="Arial" w:eastAsia="Arial" w:hAnsi="Arial"/>
          <w:sz w:val="16"/>
          <w:szCs w:val="16"/>
          <w:color w:val="0033A0"/>
        </w:rPr>
      </w:pPr>
    </w:p>
    <w:p>
      <w:pPr>
        <w:ind w:left="400" w:right="20" w:hanging="196"/>
        <w:spacing w:after="0" w:line="260" w:lineRule="auto"/>
        <w:tabs>
          <w:tab w:leader="none" w:pos="400" w:val="left"/>
        </w:tabs>
        <w:numPr>
          <w:ilvl w:val="0"/>
          <w:numId w:val="107"/>
        </w:numPr>
        <w:rPr>
          <w:rFonts w:ascii="Arial" w:cs="Arial" w:eastAsia="Arial" w:hAnsi="Arial"/>
          <w:sz w:val="16"/>
          <w:szCs w:val="16"/>
          <w:color w:val="0033A0"/>
        </w:rPr>
      </w:pPr>
      <w:r>
        <w:rPr>
          <w:rFonts w:ascii="Arial" w:cs="Arial" w:eastAsia="Arial" w:hAnsi="Arial"/>
          <w:sz w:val="16"/>
          <w:szCs w:val="16"/>
          <w:color w:val="auto"/>
        </w:rPr>
        <w:t>call for senior leaders to hold shares in order to meet the ongoing ownership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shows the stock ownership requirement by level in the Company as well as ownership requirements for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34220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00A1DF"/>
              </w:rPr>
              <w:t>Position</w:t>
            </w:r>
          </w:p>
        </w:tc>
        <w:tc>
          <w:tcPr>
            <w:tcW w:w="2680" w:type="dxa"/>
            <w:vAlign w:val="bottom"/>
          </w:tcPr>
          <w:p>
            <w:pPr>
              <w:jc w:val="right"/>
              <w:ind w:right="23"/>
              <w:spacing w:after="0"/>
              <w:rPr>
                <w:sz w:val="20"/>
                <w:szCs w:val="20"/>
                <w:color w:val="auto"/>
              </w:rPr>
            </w:pPr>
            <w:r>
              <w:rPr>
                <w:rFonts w:ascii="Arial" w:cs="Arial" w:eastAsia="Arial" w:hAnsi="Arial"/>
                <w:sz w:val="15"/>
                <w:szCs w:val="15"/>
                <w:b w:val="1"/>
                <w:bCs w:val="1"/>
                <w:color w:val="00A1DF"/>
              </w:rPr>
              <w:t>Ownership Requirement</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80" w:type="dxa"/>
            <w:vAlign w:val="bottom"/>
          </w:tcPr>
          <w:p>
            <w:pPr>
              <w:jc w:val="right"/>
              <w:ind w:right="23"/>
              <w:spacing w:after="0"/>
              <w:rPr>
                <w:sz w:val="20"/>
                <w:szCs w:val="20"/>
                <w:color w:val="auto"/>
              </w:rPr>
            </w:pPr>
            <w:r>
              <w:rPr>
                <w:rFonts w:ascii="Arial" w:cs="Arial" w:eastAsia="Arial" w:hAnsi="Arial"/>
                <w:sz w:val="15"/>
                <w:szCs w:val="15"/>
                <w:b w:val="1"/>
                <w:bCs w:val="1"/>
                <w:color w:val="00A1DF"/>
              </w:rPr>
              <w:t>as a Multiple of Salary</w:t>
            </w:r>
          </w:p>
        </w:tc>
        <w:tc>
          <w:tcPr>
            <w:tcW w:w="0" w:type="dxa"/>
            <w:vAlign w:val="bottom"/>
          </w:tcPr>
          <w:p>
            <w:pPr>
              <w:spacing w:after="0"/>
              <w:rPr>
                <w:sz w:val="1"/>
                <w:szCs w:val="1"/>
                <w:color w:val="auto"/>
              </w:rPr>
            </w:pPr>
          </w:p>
        </w:tc>
      </w:tr>
      <w:tr>
        <w:trPr>
          <w:trHeight w:val="41"/>
        </w:trPr>
        <w:tc>
          <w:tcPr>
            <w:tcW w:w="2720" w:type="dxa"/>
            <w:vAlign w:val="bottom"/>
            <w:tcBorders>
              <w:bottom w:val="single" w:sz="8" w:color="00A1DF"/>
            </w:tcBorders>
            <w:gridSpan w:val="2"/>
          </w:tcPr>
          <w:p>
            <w:pPr>
              <w:spacing w:after="0"/>
              <w:rPr>
                <w:sz w:val="3"/>
                <w:szCs w:val="3"/>
                <w:color w:val="auto"/>
              </w:rPr>
            </w:pPr>
          </w:p>
        </w:tc>
        <w:tc>
          <w:tcPr>
            <w:tcW w:w="268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7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rPr>
              <w:t>• CEO</w:t>
            </w:r>
          </w:p>
        </w:tc>
        <w:tc>
          <w:tcPr>
            <w:tcW w:w="2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6x</w:t>
            </w:r>
          </w:p>
        </w:tc>
        <w:tc>
          <w:tcPr>
            <w:tcW w:w="0" w:type="dxa"/>
            <w:vAlign w:val="bottom"/>
          </w:tcPr>
          <w:p>
            <w:pPr>
              <w:spacing w:after="0"/>
              <w:rPr>
                <w:sz w:val="1"/>
                <w:szCs w:val="1"/>
                <w:color w:val="auto"/>
              </w:rPr>
            </w:pPr>
          </w:p>
        </w:tc>
      </w:tr>
      <w:tr>
        <w:trPr>
          <w:trHeight w:val="237"/>
        </w:trPr>
        <w:tc>
          <w:tcPr>
            <w:tcW w:w="180" w:type="dxa"/>
            <w:vAlign w:val="bottom"/>
          </w:tcPr>
          <w:p>
            <w:pPr>
              <w:ind w:left="80"/>
              <w:spacing w:after="0"/>
              <w:rPr>
                <w:sz w:val="20"/>
                <w:szCs w:val="20"/>
                <w:color w:val="auto"/>
              </w:rPr>
            </w:pPr>
            <w:r>
              <w:rPr>
                <w:rFonts w:ascii="Arial" w:cs="Arial" w:eastAsia="Arial" w:hAnsi="Arial"/>
                <w:sz w:val="15"/>
                <w:szCs w:val="15"/>
                <w:color w:val="auto"/>
              </w:rPr>
              <w:t>•</w:t>
            </w:r>
          </w:p>
        </w:tc>
        <w:tc>
          <w:tcPr>
            <w:tcW w:w="2540" w:type="dxa"/>
            <w:vAlign w:val="bottom"/>
          </w:tcPr>
          <w:p>
            <w:pPr>
              <w:ind w:left="40"/>
              <w:spacing w:after="0"/>
              <w:rPr>
                <w:sz w:val="20"/>
                <w:szCs w:val="20"/>
                <w:color w:val="auto"/>
              </w:rPr>
            </w:pPr>
            <w:r>
              <w:rPr>
                <w:rFonts w:ascii="Arial" w:cs="Arial" w:eastAsia="Arial" w:hAnsi="Arial"/>
                <w:sz w:val="15"/>
                <w:szCs w:val="15"/>
                <w:color w:val="auto"/>
              </w:rPr>
              <w:t>President</w:t>
            </w:r>
          </w:p>
        </w:tc>
        <w:tc>
          <w:tcPr>
            <w:tcW w:w="2680" w:type="dxa"/>
            <w:vAlign w:val="bottom"/>
            <w:vMerge w:val="restart"/>
          </w:tcPr>
          <w:p>
            <w:pPr>
              <w:jc w:val="right"/>
              <w:ind w:right="23"/>
              <w:spacing w:after="0"/>
              <w:rPr>
                <w:sz w:val="20"/>
                <w:szCs w:val="20"/>
                <w:color w:val="auto"/>
              </w:rPr>
            </w:pPr>
            <w:r>
              <w:rPr>
                <w:rFonts w:ascii="Arial" w:cs="Arial" w:eastAsia="Arial" w:hAnsi="Arial"/>
                <w:sz w:val="15"/>
                <w:szCs w:val="15"/>
                <w:color w:val="auto"/>
              </w:rPr>
              <w:t>4x</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2540" w:type="dxa"/>
            <w:vAlign w:val="bottom"/>
            <w:vMerge w:val="restart"/>
          </w:tcPr>
          <w:p>
            <w:pPr>
              <w:ind w:left="40"/>
              <w:spacing w:after="0"/>
              <w:rPr>
                <w:sz w:val="20"/>
                <w:szCs w:val="20"/>
                <w:color w:val="auto"/>
              </w:rPr>
            </w:pPr>
            <w:r>
              <w:rPr>
                <w:rFonts w:ascii="Arial" w:cs="Arial" w:eastAsia="Arial" w:hAnsi="Arial"/>
                <w:sz w:val="15"/>
                <w:szCs w:val="15"/>
                <w:color w:val="auto"/>
              </w:rPr>
              <w:t>Executive Vice President</w:t>
            </w: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80" w:type="dxa"/>
            <w:vAlign w:val="bottom"/>
            <w:tcBorders>
              <w:bottom w:val="single" w:sz="8" w:color="auto"/>
            </w:tcBorders>
            <w:vMerge w:val="continue"/>
          </w:tcPr>
          <w:p>
            <w:pPr>
              <w:spacing w:after="0"/>
              <w:rPr>
                <w:sz w:val="9"/>
                <w:szCs w:val="9"/>
                <w:color w:val="auto"/>
              </w:rPr>
            </w:pPr>
          </w:p>
        </w:tc>
        <w:tc>
          <w:tcPr>
            <w:tcW w:w="2540" w:type="dxa"/>
            <w:vAlign w:val="bottom"/>
            <w:tcBorders>
              <w:bottom w:val="single" w:sz="8" w:color="auto"/>
            </w:tcBorders>
            <w:vMerge w:val="continue"/>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Senior Vice President</w:t>
            </w:r>
          </w:p>
        </w:tc>
        <w:tc>
          <w:tcPr>
            <w:tcW w:w="2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3x</w:t>
            </w:r>
          </w:p>
        </w:tc>
        <w:tc>
          <w:tcPr>
            <w:tcW w:w="0" w:type="dxa"/>
            <w:vAlign w:val="bottom"/>
          </w:tcPr>
          <w:p>
            <w:pPr>
              <w:spacing w:after="0"/>
              <w:rPr>
                <w:sz w:val="1"/>
                <w:szCs w:val="1"/>
                <w:color w:val="auto"/>
              </w:rPr>
            </w:pPr>
          </w:p>
        </w:tc>
      </w:tr>
      <w:tr>
        <w:trPr>
          <w:trHeight w:val="250"/>
        </w:trPr>
        <w:tc>
          <w:tcPr>
            <w:tcW w:w="18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w:t>
            </w:r>
          </w:p>
        </w:tc>
        <w:tc>
          <w:tcPr>
            <w:tcW w:w="2540" w:type="dxa"/>
            <w:vAlign w:val="bottom"/>
            <w:tcBorders>
              <w:bottom w:val="single" w:sz="8" w:color="0033A0"/>
            </w:tcBorders>
          </w:tcPr>
          <w:p>
            <w:pPr>
              <w:ind w:left="40"/>
              <w:spacing w:after="0"/>
              <w:rPr>
                <w:sz w:val="20"/>
                <w:szCs w:val="20"/>
                <w:color w:val="auto"/>
              </w:rPr>
            </w:pPr>
            <w:r>
              <w:rPr>
                <w:rFonts w:ascii="Arial" w:cs="Arial" w:eastAsia="Arial" w:hAnsi="Arial"/>
                <w:sz w:val="15"/>
                <w:szCs w:val="15"/>
                <w:color w:val="auto"/>
              </w:rPr>
              <w:t>Senior Executive</w:t>
            </w:r>
          </w:p>
        </w:tc>
        <w:tc>
          <w:tcPr>
            <w:tcW w:w="2680" w:type="dxa"/>
            <w:vAlign w:val="bottom"/>
            <w:tcBorders>
              <w:bottom w:val="single" w:sz="8" w:color="0033A0"/>
            </w:tcBorders>
          </w:tcPr>
          <w:p>
            <w:pPr>
              <w:jc w:val="right"/>
              <w:ind w:right="23"/>
              <w:spacing w:after="0"/>
              <w:rPr>
                <w:sz w:val="20"/>
                <w:szCs w:val="20"/>
                <w:color w:val="auto"/>
              </w:rPr>
            </w:pPr>
            <w:r>
              <w:rPr>
                <w:rFonts w:ascii="Arial" w:cs="Arial" w:eastAsia="Arial" w:hAnsi="Arial"/>
                <w:sz w:val="15"/>
                <w:szCs w:val="15"/>
                <w:color w:val="auto"/>
              </w:rPr>
              <w:t>1x</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2017, all NEOs have met or are on track to meet stock ownership requirements by their respective dates.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65"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25"/>
          <w:szCs w:val="25"/>
          <w:color w:val="0033A0"/>
        </w:rPr>
      </w:pPr>
      <w:r>
        <w:rPr>
          <w:rFonts w:ascii="Arial" w:cs="Arial" w:eastAsia="Arial" w:hAnsi="Arial"/>
          <w:sz w:val="25"/>
          <w:szCs w:val="25"/>
          <w:color w:val="auto"/>
        </w:rPr>
        <w:t>Policy on Recoupment of Incentive Compensation</w:t>
      </w:r>
    </w:p>
    <w:p>
      <w:pPr>
        <w:spacing w:after="0" w:line="118"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 xml:space="preserve">We have a corporate policy to recover incentive compensation paid to executive officers in cases where financial statements are restated because of employee fraud, negligence, or intentional misconduct. Under this clawback policy, posted on our website at </w:t>
      </w:r>
      <w:r>
        <w:rPr>
          <w:rFonts w:ascii="Arial" w:cs="Arial" w:eastAsia="Arial" w:hAnsi="Arial"/>
          <w:sz w:val="16"/>
          <w:szCs w:val="16"/>
          <w:i w:val="1"/>
          <w:iCs w:val="1"/>
          <w:color w:val="00A1DF"/>
        </w:rPr>
        <w:t>gm.com/investors/corporate-governance</w:t>
      </w:r>
      <w:r>
        <w:rPr>
          <w:rFonts w:ascii="Arial" w:cs="Arial" w:eastAsia="Arial" w:hAnsi="Arial"/>
          <w:sz w:val="16"/>
          <w:szCs w:val="16"/>
          <w:color w:val="auto"/>
        </w:rPr>
        <w:t>, if the Board or an appropriate Board Committee determines any bonus, retention award, or short or long-term incentive compensation has been paid to any executive officer based on materially inaccurate misstatement of earnings, revenues, gains, or other criteria, including reputational harm, the Board or Compensation Committee will take the action it deems necessary to recover the compensation paid, remedy the misconduct, and prevent its recurrence. For this purpose, a financial statement or performance metric will be treated as materially inaccurate when an employee knowingly engaged in providing inaccurate information or knowingly failed to timely correct information relating to those financial statements or performance metrics. We will continue to review our policy to ensure it is consistent with all legal requirements and in the best interests of the Company and its shareholders.</w:t>
      </w:r>
    </w:p>
    <w:p>
      <w:pPr>
        <w:spacing w:after="0" w:line="329"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25"/>
          <w:szCs w:val="25"/>
          <w:color w:val="0033A0"/>
        </w:rPr>
      </w:pPr>
      <w:r>
        <w:rPr>
          <w:rFonts w:ascii="Arial" w:cs="Arial" w:eastAsia="Arial" w:hAnsi="Arial"/>
          <w:sz w:val="25"/>
          <w:szCs w:val="25"/>
          <w:color w:val="auto"/>
        </w:rPr>
        <w:t>Securities Trading Policy</w:t>
      </w:r>
    </w:p>
    <w:p>
      <w:pPr>
        <w:spacing w:after="0" w:line="11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securities trading policy prohibits our employees from buying or selling GM securities when in possession of material nonpublic information. Any sale or purchase of common stock by directors, executive officers, and all other senior leaders must be made during pre-established periods after receiving preclearance by a member of the GM Legal Staff or according to preapproved Rule 10b5-1 plan.</w:t>
      </w:r>
    </w:p>
    <w:p>
      <w:pPr>
        <w:spacing w:after="0" w:line="77" w:lineRule="exact"/>
        <w:rPr>
          <w:sz w:val="20"/>
          <w:szCs w:val="20"/>
          <w:color w:val="auto"/>
        </w:rPr>
      </w:pPr>
    </w:p>
    <w:p>
      <w:pPr>
        <w:jc w:val="both"/>
        <w:ind w:left="200"/>
        <w:spacing w:after="0" w:line="281" w:lineRule="auto"/>
        <w:rPr>
          <w:sz w:val="20"/>
          <w:szCs w:val="20"/>
          <w:color w:val="auto"/>
        </w:rPr>
      </w:pPr>
      <w:r>
        <w:rPr>
          <w:rFonts w:ascii="Arial" w:cs="Arial" w:eastAsia="Arial" w:hAnsi="Arial"/>
          <w:sz w:val="16"/>
          <w:szCs w:val="16"/>
          <w:color w:val="auto"/>
        </w:rPr>
        <w:t>Trading in GM derivatives (</w:t>
      </w:r>
      <w:r>
        <w:rPr>
          <w:rFonts w:ascii="Arial" w:cs="Arial" w:eastAsia="Arial" w:hAnsi="Arial"/>
          <w:sz w:val="16"/>
          <w:szCs w:val="16"/>
          <w:i w:val="1"/>
          <w:iCs w:val="1"/>
          <w:color w:val="auto"/>
        </w:rPr>
        <w:t>i.e.</w:t>
      </w:r>
      <w:r>
        <w:rPr>
          <w:rFonts w:ascii="Arial" w:cs="Arial" w:eastAsia="Arial" w:hAnsi="Arial"/>
          <w:sz w:val="16"/>
          <w:szCs w:val="16"/>
          <w:color w:val="auto"/>
        </w:rPr>
        <w:t xml:space="preserve">, puts or calls), engaging in short sales, and pledging of GM securities is also prohibited. All GM executive officers are in compliance with the policy of not pledging any shares of common stock. This policy is posted on our website at </w:t>
      </w:r>
      <w:r>
        <w:rPr>
          <w:rFonts w:ascii="Arial" w:cs="Arial" w:eastAsia="Arial" w:hAnsi="Arial"/>
          <w:sz w:val="16"/>
          <w:szCs w:val="16"/>
          <w:i w:val="1"/>
          <w:iCs w:val="1"/>
          <w:color w:val="00A1DF"/>
        </w:rPr>
        <w:t>gm.com/investors/corporate-governance.</w:t>
      </w:r>
    </w:p>
    <w:p>
      <w:pPr>
        <w:spacing w:after="0" w:line="301"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25"/>
          <w:szCs w:val="25"/>
          <w:color w:val="0033A0"/>
        </w:rPr>
      </w:pPr>
      <w:r>
        <w:rPr>
          <w:rFonts w:ascii="Arial" w:cs="Arial" w:eastAsia="Arial" w:hAnsi="Arial"/>
          <w:sz w:val="25"/>
          <w:szCs w:val="25"/>
          <w:color w:val="auto"/>
        </w:rPr>
        <w:t>Tax Considerations</w:t>
      </w:r>
    </w:p>
    <w:p>
      <w:pPr>
        <w:spacing w:after="0" w:line="18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IRC Section 162(m) generally disallows federal tax deductions for compensation in excess of $1 million paid to the CEO and the next three of our highest-paid officers (other than the CFO) whose compensation is required to be reported in the Summary Compensation Table in this Proxy Statement (‘‘Covered Executives’’). Certain performance-based compensation is not subject to this deduction limitation as applicable for fiscal year 2017. Generally, we strive to maximize the tax deductibility of compensation arrangements. The Compensation Committee, however, may award compensation that is not fully tax deductible if it deems it appropriate as compensation designed to attract and retain talented executives in the highly competitive market for talent.</w:t>
      </w:r>
    </w:p>
    <w:p>
      <w:pPr>
        <w:spacing w:after="0" w:line="9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STIP awards for performance during 2017 are paid based on the achievement of performance measures approved by shareholders in 2014 as part of the 2014 STIP. Because the STIP awards for performance during 2017 are intended to be deductible as performance-based compensation under 162(m), the Compensation Committee set the maximum award for each Covered Executive at $7.5 million. Incentive amounts equal to the maximum will be funded for each Covered Executive once a threshold level of positive EBIT-adjusted has been achieved. The Compensation Committee then exercises negative discretion, as needed, to determine actual incentive awards based on other business and individual performance, as described in “Executive Compensation—Performance Results and Compensation Decisions—2017 Short-Term Incentive Plan” on page 47.</w:t>
      </w:r>
    </w:p>
    <w:p>
      <w:pPr>
        <w:spacing w:after="0" w:line="141"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both"/>
        <w:ind w:left="200" w:right="40"/>
        <w:spacing w:after="0" w:line="249" w:lineRule="auto"/>
        <w:rPr>
          <w:sz w:val="20"/>
          <w:szCs w:val="20"/>
          <w:color w:val="auto"/>
        </w:rPr>
      </w:pPr>
      <w:r>
        <w:rPr>
          <w:rFonts w:ascii="Arial" w:cs="Arial" w:eastAsia="Arial" w:hAnsi="Arial"/>
          <w:sz w:val="16"/>
          <w:szCs w:val="16"/>
          <w:color w:val="auto"/>
        </w:rPr>
        <w:t>The Tax Cuts and Jobs Act, enacted on December 22, 2017, substantially modifies IRC Section 162(m) and, among other things, eliminates the performance-based compensation exception to the $1 million deduction limit effective as of January 1, 2018. As a result, beginning in 2018, compensation paid to Covered Executives in excess of $1 million will generally be nondeductible, whether or not it is performance-based. In addition, beginning in 2018, the Covered Executives will include any individual who served as the CEO or CFO at any time during the taxable year and the next three of our highest paid officers (other than the CEO and CFO) for the taxable year, and once an individual becomes a Covered Executive for any taxable year beginning after December 31, 2016, that individual will remain a Covered Executive for all future years, including following any termination of employment.</w:t>
      </w:r>
    </w:p>
    <w:p>
      <w:pPr>
        <w:spacing w:after="0" w:line="286"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The Tax Cuts and Jobs Act includes a transition relief rule pursuant to which the changes to IRC Section 162(m) described above will not apply to compensation payable pursuant to a written binding contract that was in effect on November 2, 2017 and is not materially modified after that date. To the extent applicable to our existing arrangements, the Compensation Committee may avail itself of this transition relief rule. However, because of uncertainties as to the application and interpretation of the transition relief rule, no assurances can be given at this time that our existing arrangements, even if in place on November 2, 2017, will meet the requirements of the transition relief rule. Moreover, to maintain flexibility in attracting and retaining talented executives, the Compensation Committee does not limit its actions with respect to executive compensation to preserve deductibility under IRC Section 162(m) if the Compensation Committee determines that doing so is in the best interests of our shareholders.</w:t>
      </w:r>
    </w:p>
    <w:p>
      <w:pPr>
        <w:spacing w:after="0" w:line="330"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25"/>
          <w:szCs w:val="25"/>
          <w:color w:val="0033A0"/>
        </w:rPr>
      </w:pPr>
      <w:r>
        <w:rPr>
          <w:rFonts w:ascii="Arial" w:cs="Arial" w:eastAsia="Arial" w:hAnsi="Arial"/>
          <w:sz w:val="25"/>
          <w:szCs w:val="25"/>
          <w:color w:val="auto"/>
        </w:rPr>
        <w:t>Compensation Committee and Consultant Independence</w:t>
      </w:r>
    </w:p>
    <w:p>
      <w:pPr>
        <w:sectPr>
          <w:pgSz w:w="11900" w:h="16838" w:orient="portrait"/>
          <w:cols w:equalWidth="0" w:num="1">
            <w:col w:w="11260"/>
          </w:cols>
          <w:pgMar w:left="240" w:top="459" w:right="399" w:bottom="1440" w:gutter="0" w:footer="0" w:header="0"/>
        </w:sectPr>
      </w:pPr>
    </w:p>
    <w:p>
      <w:pPr>
        <w:spacing w:after="0" w:line="28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standards and as defined for various regulatory purposes. Farient Advisors assisted the Compensation Committee in 2017. Farient Advisors is an independent compensation consulting firm that takes direction from and is solely responsible to the Compensation Committee. The Compensation Committee is also aided in its deliberations by in-house legal counsel.</w:t>
      </w:r>
    </w:p>
    <w:p>
      <w:pPr>
        <w:spacing w:after="0" w:line="10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Under its charter, the Compensation Committee has the authority to hire outside consultants and advisors at the Company’s expense. The Compensation Committee retains the services of Farient Advisors for advice on issues related to the compensation of NEOs and other executive compensation-related matters. A representative of Farient Advisors attended all Compensation Committee meetings, either in person or via telephone, consulted with and advised the Compensation Committee members on executive compensation, including the structure and amounts of various pay elements, and developed executive benchmarking data for the Compensation Committee. Farient Advisors provided no services to the Company’s management.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Compensation Committee annually reviews the performance of the compensation consultant and considers the following factors when assessing consultant independence in accordance with NYSE standards:</w:t>
      </w:r>
    </w:p>
    <w:p>
      <w:pPr>
        <w:spacing w:after="0" w:line="66" w:lineRule="exact"/>
        <w:rPr>
          <w:sz w:val="20"/>
          <w:szCs w:val="20"/>
          <w:color w:val="auto"/>
        </w:rPr>
      </w:pPr>
    </w:p>
    <w:p>
      <w:pPr>
        <w:ind w:left="200" w:right="40" w:hanging="191"/>
        <w:spacing w:after="0" w:line="260" w:lineRule="auto"/>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Services provided to GM management outside of the services provided to the Compensation Committee;</w:t>
      </w:r>
    </w:p>
    <w:p>
      <w:pPr>
        <w:spacing w:after="0" w:line="60" w:lineRule="exact"/>
        <w:rPr>
          <w:rFonts w:ascii="Arial" w:cs="Arial" w:eastAsia="Arial" w:hAnsi="Arial"/>
          <w:sz w:val="16"/>
          <w:szCs w:val="16"/>
          <w:color w:val="0033A0"/>
        </w:rPr>
      </w:pPr>
    </w:p>
    <w:p>
      <w:pPr>
        <w:ind w:left="200" w:hanging="191"/>
        <w:spacing w:after="0"/>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Fees paid as a percentage of Farient Advisors’ total revenue;</w:t>
      </w:r>
    </w:p>
    <w:p>
      <w:pPr>
        <w:spacing w:after="0" w:line="86" w:lineRule="exact"/>
        <w:rPr>
          <w:rFonts w:ascii="Arial" w:cs="Arial" w:eastAsia="Arial" w:hAnsi="Arial"/>
          <w:sz w:val="16"/>
          <w:szCs w:val="16"/>
          <w:color w:val="0033A0"/>
        </w:rPr>
      </w:pPr>
    </w:p>
    <w:p>
      <w:pPr>
        <w:ind w:left="200" w:right="60" w:hanging="191"/>
        <w:spacing w:after="0" w:line="260" w:lineRule="auto"/>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Policies and procedures of Farient Advisors designed to prevent conflicts of interest;</w:t>
      </w:r>
    </w:p>
    <w:p>
      <w:pPr>
        <w:spacing w:after="0" w:line="60" w:lineRule="exact"/>
        <w:rPr>
          <w:rFonts w:ascii="Arial" w:cs="Arial" w:eastAsia="Arial" w:hAnsi="Arial"/>
          <w:sz w:val="16"/>
          <w:szCs w:val="16"/>
          <w:color w:val="0033A0"/>
        </w:rPr>
      </w:pPr>
    </w:p>
    <w:p>
      <w:pPr>
        <w:ind w:left="200" w:right="40" w:hanging="191"/>
        <w:spacing w:after="0" w:line="260" w:lineRule="auto"/>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Any business or personal relationships between members of the Compensation Committee and Farient Advisors;</w:t>
      </w:r>
    </w:p>
    <w:p>
      <w:pPr>
        <w:spacing w:after="0" w:line="60" w:lineRule="exact"/>
        <w:rPr>
          <w:rFonts w:ascii="Arial" w:cs="Arial" w:eastAsia="Arial" w:hAnsi="Arial"/>
          <w:sz w:val="16"/>
          <w:szCs w:val="16"/>
          <w:color w:val="0033A0"/>
        </w:rPr>
      </w:pPr>
    </w:p>
    <w:p>
      <w:pPr>
        <w:ind w:left="200" w:hanging="191"/>
        <w:spacing w:after="0"/>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Stock ownership by employees of Farient Advisors; and</w:t>
      </w:r>
    </w:p>
    <w:p>
      <w:pPr>
        <w:spacing w:after="0" w:line="86" w:lineRule="exact"/>
        <w:rPr>
          <w:rFonts w:ascii="Arial" w:cs="Arial" w:eastAsia="Arial" w:hAnsi="Arial"/>
          <w:sz w:val="16"/>
          <w:szCs w:val="16"/>
          <w:color w:val="0033A0"/>
        </w:rPr>
      </w:pPr>
    </w:p>
    <w:p>
      <w:pPr>
        <w:ind w:left="200" w:right="40" w:hanging="191"/>
        <w:spacing w:after="0" w:line="260" w:lineRule="auto"/>
        <w:tabs>
          <w:tab w:leader="none" w:pos="200" w:val="left"/>
        </w:tabs>
        <w:numPr>
          <w:ilvl w:val="0"/>
          <w:numId w:val="112"/>
        </w:numPr>
        <w:rPr>
          <w:rFonts w:ascii="Arial" w:cs="Arial" w:eastAsia="Arial" w:hAnsi="Arial"/>
          <w:sz w:val="16"/>
          <w:szCs w:val="16"/>
          <w:color w:val="0033A0"/>
        </w:rPr>
      </w:pPr>
      <w:r>
        <w:rPr>
          <w:rFonts w:ascii="Arial" w:cs="Arial" w:eastAsia="Arial" w:hAnsi="Arial"/>
          <w:sz w:val="16"/>
          <w:szCs w:val="16"/>
          <w:color w:val="auto"/>
        </w:rPr>
        <w:t>Any business or personal relationships between GM and Farient Advisors.</w:t>
      </w:r>
    </w:p>
    <w:p>
      <w:pPr>
        <w:spacing w:after="0" w:line="8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Compensation Committee reviewed the performance and independence of Farient Advisors and determined that Farient Advisors was independent based on the standards above.</w:t>
      </w:r>
    </w:p>
    <w:p>
      <w:pPr>
        <w:spacing w:after="0" w:line="200"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8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25"/>
          <w:szCs w:val="25"/>
          <w:color w:val="0033A0"/>
        </w:rPr>
      </w:pPr>
      <w:r>
        <w:rPr>
          <w:rFonts w:ascii="Arial" w:cs="Arial" w:eastAsia="Arial" w:hAnsi="Arial"/>
          <w:sz w:val="25"/>
          <w:szCs w:val="25"/>
          <w:color w:val="auto"/>
        </w:rPr>
        <w:t>Compensation Risk Assessment</w:t>
      </w:r>
    </w:p>
    <w:p>
      <w:pPr>
        <w:spacing w:after="0" w:line="186"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During 2017, the Compensation Committee reviewed and discussed the impact of executive compensation programs on organizational risk. The Compensation Committee discussed plans and reviewed risk mitigation features in each of the plans to evaluate, with the assistance of our audit, legal and risk management organizations, the overall impact that compensation programs have on organizational risk. The Compensation Committee determined compensation programs have sufficient risk mitigation features and do not encourage or reward employees for taking excessive or unnecessary risk. The mix of our short-term and long-term compensation programs appropriately rewards employees while balancing risk through the delayed payment of long-term awards. As a result of the compensation risk review completed on December 12, 2017, the Compensation Committee determined the overall risk of compensation programs exposing the organization to unnecessary or excessive risks is low.</w:t>
      </w:r>
    </w:p>
    <w:p>
      <w:pPr>
        <w:spacing w:after="0" w:line="330"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25"/>
          <w:szCs w:val="25"/>
          <w:color w:val="0033A0"/>
        </w:rPr>
      </w:pPr>
      <w:r>
        <w:rPr>
          <w:rFonts w:ascii="Arial" w:cs="Arial" w:eastAsia="Arial" w:hAnsi="Arial"/>
          <w:sz w:val="25"/>
          <w:szCs w:val="25"/>
          <w:color w:val="auto"/>
        </w:rPr>
        <w:t>Employment and Termination Agreements</w:t>
      </w:r>
    </w:p>
    <w:p>
      <w:pPr>
        <w:spacing w:after="0" w:line="186"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The Company has no employment or termination agreements with any of our 2017 NEOs. All NEOs participate in the same Executive Severance Program available to other executive employees.</w:t>
      </w:r>
    </w:p>
    <w:p>
      <w:pPr>
        <w:spacing w:after="0" w:line="111"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55</w:t>
      </w:r>
    </w:p>
    <w:p>
      <w:pPr>
        <w:sectPr>
          <w:pgSz w:w="11900" w:h="16838" w:orient="portrait"/>
          <w:cols w:equalWidth="0" w:num="1">
            <w:col w:w="11260"/>
          </w:cols>
          <w:pgMar w:left="240" w:top="459" w:right="3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Compensation Committee Report</w:t>
      </w:r>
    </w:p>
    <w:p>
      <w:pPr>
        <w:spacing w:after="0" w:line="284"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2017 Annual Report on Form 10-K.</w:t>
      </w:r>
    </w:p>
    <w:p>
      <w:pPr>
        <w:spacing w:after="0" w:line="149"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Compensation Committee</w:t>
      </w:r>
    </w:p>
    <w:p>
      <w:pPr>
        <w:spacing w:after="0" w:line="133"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Carol M. Stephenson (Chair)</w:t>
      </w:r>
    </w:p>
    <w:p>
      <w:pPr>
        <w:spacing w:after="0" w:line="5"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Joseph Jimenez</w:t>
      </w:r>
    </w:p>
    <w:p>
      <w:pPr>
        <w:spacing w:after="0" w:line="5"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James J. Mulva</w:t>
      </w:r>
    </w:p>
    <w:p>
      <w:pPr>
        <w:spacing w:after="0" w:line="5"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Patricia F. Russo</w:t>
      </w:r>
    </w:p>
    <w:p>
      <w:pPr>
        <w:spacing w:after="0" w:line="157"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Executive Compensation Tables</w:t>
      </w:r>
    </w:p>
    <w:p>
      <w:pPr>
        <w:spacing w:after="0" w:line="337"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25"/>
          <w:szCs w:val="25"/>
          <w:color w:val="0033A0"/>
        </w:rPr>
      </w:pPr>
      <w:r>
        <w:rPr>
          <w:rFonts w:ascii="Arial" w:cs="Arial" w:eastAsia="Arial" w:hAnsi="Arial"/>
          <w:sz w:val="25"/>
          <w:szCs w:val="25"/>
          <w:color w:val="auto"/>
        </w:rPr>
        <w:t>Summary Compensation Table</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8"/>
        </w:trPr>
        <w:tc>
          <w:tcPr>
            <w:tcW w:w="2060" w:type="dxa"/>
            <w:vAlign w:val="bottom"/>
            <w:tcBorders>
              <w:top w:val="single" w:sz="8" w:color="00A1DF"/>
            </w:tcBorders>
          </w:tcPr>
          <w:p>
            <w:pPr>
              <w:spacing w:after="0"/>
              <w:rPr>
                <w:sz w:val="14"/>
                <w:szCs w:val="14"/>
                <w:color w:val="auto"/>
              </w:rPr>
            </w:pPr>
          </w:p>
        </w:tc>
        <w:tc>
          <w:tcPr>
            <w:tcW w:w="560" w:type="dxa"/>
            <w:vAlign w:val="bottom"/>
            <w:tcBorders>
              <w:top w:val="single" w:sz="8" w:color="00A1DF"/>
            </w:tcBorders>
          </w:tcPr>
          <w:p>
            <w:pPr>
              <w:spacing w:after="0"/>
              <w:rPr>
                <w:sz w:val="14"/>
                <w:szCs w:val="14"/>
                <w:color w:val="auto"/>
              </w:rPr>
            </w:pPr>
          </w:p>
        </w:tc>
        <w:tc>
          <w:tcPr>
            <w:tcW w:w="840" w:type="dxa"/>
            <w:vAlign w:val="bottom"/>
            <w:tcBorders>
              <w:top w:val="single" w:sz="8" w:color="00A1DF"/>
            </w:tcBorders>
          </w:tcPr>
          <w:p>
            <w:pPr>
              <w:spacing w:after="0"/>
              <w:rPr>
                <w:sz w:val="14"/>
                <w:szCs w:val="14"/>
                <w:color w:val="auto"/>
              </w:rPr>
            </w:pPr>
          </w:p>
        </w:tc>
        <w:tc>
          <w:tcPr>
            <w:tcW w:w="600" w:type="dxa"/>
            <w:vAlign w:val="bottom"/>
            <w:tcBorders>
              <w:top w:val="single" w:sz="8" w:color="00A1DF"/>
            </w:tcBorders>
          </w:tcPr>
          <w:p>
            <w:pPr>
              <w:spacing w:after="0"/>
              <w:rPr>
                <w:sz w:val="14"/>
                <w:szCs w:val="14"/>
                <w:color w:val="auto"/>
              </w:rPr>
            </w:pPr>
          </w:p>
        </w:tc>
        <w:tc>
          <w:tcPr>
            <w:tcW w:w="260" w:type="dxa"/>
            <w:vAlign w:val="bottom"/>
            <w:tcBorders>
              <w:top w:val="single" w:sz="8" w:color="00A1DF"/>
            </w:tcBorders>
          </w:tcPr>
          <w:p>
            <w:pPr>
              <w:spacing w:after="0"/>
              <w:rPr>
                <w:sz w:val="14"/>
                <w:szCs w:val="14"/>
                <w:color w:val="auto"/>
              </w:rPr>
            </w:pPr>
          </w:p>
        </w:tc>
        <w:tc>
          <w:tcPr>
            <w:tcW w:w="920" w:type="dxa"/>
            <w:vAlign w:val="bottom"/>
            <w:tcBorders>
              <w:top w:val="single" w:sz="8" w:color="00A1DF"/>
            </w:tcBorders>
          </w:tcPr>
          <w:p>
            <w:pPr>
              <w:spacing w:after="0"/>
              <w:rPr>
                <w:sz w:val="14"/>
                <w:szCs w:val="14"/>
                <w:color w:val="auto"/>
              </w:rPr>
            </w:pPr>
          </w:p>
        </w:tc>
        <w:tc>
          <w:tcPr>
            <w:tcW w:w="900" w:type="dxa"/>
            <w:vAlign w:val="bottom"/>
            <w:tcBorders>
              <w:top w:val="single" w:sz="8" w:color="00A1DF"/>
            </w:tcBorders>
          </w:tcPr>
          <w:p>
            <w:pPr>
              <w:spacing w:after="0"/>
              <w:rPr>
                <w:sz w:val="14"/>
                <w:szCs w:val="14"/>
                <w:color w:val="auto"/>
              </w:rPr>
            </w:pPr>
          </w:p>
        </w:tc>
        <w:tc>
          <w:tcPr>
            <w:tcW w:w="1360" w:type="dxa"/>
            <w:vAlign w:val="bottom"/>
            <w:tcBorders>
              <w:top w:val="single" w:sz="8" w:color="00A1DF"/>
            </w:tcBorders>
          </w:tcPr>
          <w:p>
            <w:pPr>
              <w:spacing w:after="0"/>
              <w:rPr>
                <w:sz w:val="14"/>
                <w:szCs w:val="14"/>
                <w:color w:val="auto"/>
              </w:rPr>
            </w:pPr>
          </w:p>
        </w:tc>
        <w:tc>
          <w:tcPr>
            <w:tcW w:w="1220" w:type="dxa"/>
            <w:vAlign w:val="bottom"/>
            <w:tcBorders>
              <w:top w:val="single" w:sz="8" w:color="00A1DF"/>
            </w:tcBorders>
            <w:gridSpan w:val="2"/>
          </w:tcPr>
          <w:p>
            <w:pPr>
              <w:jc w:val="right"/>
              <w:ind w:right="9"/>
              <w:spacing w:after="0" w:line="168" w:lineRule="exact"/>
              <w:rPr>
                <w:sz w:val="20"/>
                <w:szCs w:val="20"/>
                <w:color w:val="auto"/>
              </w:rPr>
            </w:pPr>
            <w:r>
              <w:rPr>
                <w:rFonts w:ascii="Arial" w:cs="Arial" w:eastAsia="Arial" w:hAnsi="Arial"/>
                <w:sz w:val="15"/>
                <w:szCs w:val="15"/>
                <w:b w:val="1"/>
                <w:bCs w:val="1"/>
                <w:color w:val="00A1DF"/>
              </w:rPr>
              <w:t>Change in</w:t>
            </w:r>
          </w:p>
        </w:tc>
        <w:tc>
          <w:tcPr>
            <w:tcW w:w="1120" w:type="dxa"/>
            <w:vAlign w:val="bottom"/>
            <w:tcBorders>
              <w:top w:val="single" w:sz="8" w:color="00A1DF"/>
            </w:tcBorders>
          </w:tcPr>
          <w:p>
            <w:pPr>
              <w:spacing w:after="0"/>
              <w:rPr>
                <w:sz w:val="14"/>
                <w:szCs w:val="14"/>
                <w:color w:val="auto"/>
              </w:rPr>
            </w:pPr>
          </w:p>
        </w:tc>
        <w:tc>
          <w:tcPr>
            <w:tcW w:w="260" w:type="dxa"/>
            <w:vAlign w:val="bottom"/>
            <w:tcBorders>
              <w:top w:val="single" w:sz="8" w:color="00A1DF"/>
            </w:tcBorders>
          </w:tcPr>
          <w:p>
            <w:pPr>
              <w:spacing w:after="0"/>
              <w:rPr>
                <w:sz w:val="14"/>
                <w:szCs w:val="14"/>
                <w:color w:val="auto"/>
              </w:rPr>
            </w:pPr>
          </w:p>
        </w:tc>
        <w:tc>
          <w:tcPr>
            <w:tcW w:w="92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tcPr>
          <w:p>
            <w:pPr>
              <w:jc w:val="right"/>
              <w:ind w:right="9"/>
              <w:spacing w:after="0" w:line="162" w:lineRule="exact"/>
              <w:rPr>
                <w:sz w:val="20"/>
                <w:szCs w:val="20"/>
                <w:color w:val="auto"/>
              </w:rPr>
            </w:pPr>
            <w:r>
              <w:rPr>
                <w:rFonts w:ascii="Arial" w:cs="Arial" w:eastAsia="Arial" w:hAnsi="Arial"/>
                <w:sz w:val="15"/>
                <w:szCs w:val="15"/>
                <w:b w:val="1"/>
                <w:bCs w:val="1"/>
                <w:color w:val="00A1DF"/>
              </w:rPr>
              <w:t>Pension</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gridSpan w:val="2"/>
          </w:tcPr>
          <w:p>
            <w:pPr>
              <w:jc w:val="right"/>
              <w:ind w:right="9"/>
              <w:spacing w:after="0" w:line="162" w:lineRule="exact"/>
              <w:rPr>
                <w:sz w:val="20"/>
                <w:szCs w:val="20"/>
                <w:color w:val="auto"/>
              </w:rPr>
            </w:pPr>
            <w:r>
              <w:rPr>
                <w:rFonts w:ascii="Arial" w:cs="Arial" w:eastAsia="Arial" w:hAnsi="Arial"/>
                <w:sz w:val="15"/>
                <w:szCs w:val="15"/>
                <w:b w:val="1"/>
                <w:bCs w:val="1"/>
                <w:color w:val="00A1DF"/>
              </w:rPr>
              <w:t>Value and</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Nonequity</w:t>
            </w:r>
          </w:p>
        </w:tc>
        <w:tc>
          <w:tcPr>
            <w:tcW w:w="1220" w:type="dxa"/>
            <w:vAlign w:val="bottom"/>
            <w:gridSpan w:val="2"/>
          </w:tcPr>
          <w:p>
            <w:pPr>
              <w:jc w:val="right"/>
              <w:ind w:right="9"/>
              <w:spacing w:after="0" w:line="162" w:lineRule="exact"/>
              <w:rPr>
                <w:sz w:val="20"/>
                <w:szCs w:val="20"/>
                <w:color w:val="auto"/>
              </w:rPr>
            </w:pPr>
            <w:r>
              <w:rPr>
                <w:rFonts w:ascii="Arial" w:cs="Arial" w:eastAsia="Arial" w:hAnsi="Arial"/>
                <w:sz w:val="15"/>
                <w:szCs w:val="15"/>
                <w:b w:val="1"/>
                <w:bCs w:val="1"/>
                <w:color w:val="00A1DF"/>
              </w:rPr>
              <w:t>NQ Deferred</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b w:val="1"/>
                <w:bCs w:val="1"/>
                <w:color w:val="00A1DF"/>
              </w:rPr>
              <w:t>Name and</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3"/>
              <w:spacing w:after="0" w:line="162" w:lineRule="exact"/>
              <w:rPr>
                <w:sz w:val="20"/>
                <w:szCs w:val="20"/>
                <w:color w:val="auto"/>
              </w:rPr>
            </w:pPr>
            <w:r>
              <w:rPr>
                <w:rFonts w:ascii="Arial" w:cs="Arial" w:eastAsia="Arial" w:hAnsi="Arial"/>
                <w:sz w:val="15"/>
                <w:szCs w:val="15"/>
                <w:b w:val="1"/>
                <w:bCs w:val="1"/>
                <w:color w:val="00A1DF"/>
              </w:rPr>
              <w:t>Stock</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Option</w:t>
            </w: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Incentive Plan</w:t>
            </w:r>
          </w:p>
        </w:tc>
        <w:tc>
          <w:tcPr>
            <w:tcW w:w="1220" w:type="dxa"/>
            <w:vAlign w:val="bottom"/>
            <w:gridSpan w:val="2"/>
          </w:tcPr>
          <w:p>
            <w:pPr>
              <w:jc w:val="right"/>
              <w:ind w:right="9"/>
              <w:spacing w:after="0" w:line="162" w:lineRule="exact"/>
              <w:rPr>
                <w:sz w:val="20"/>
                <w:szCs w:val="20"/>
                <w:color w:val="auto"/>
              </w:rPr>
            </w:pPr>
            <w:r>
              <w:rPr>
                <w:rFonts w:ascii="Arial" w:cs="Arial" w:eastAsia="Arial" w:hAnsi="Arial"/>
                <w:sz w:val="15"/>
                <w:szCs w:val="15"/>
                <w:b w:val="1"/>
                <w:bCs w:val="1"/>
                <w:color w:val="00A1DF"/>
              </w:rPr>
              <w:t>Compensation</w:t>
            </w:r>
          </w:p>
        </w:tc>
        <w:tc>
          <w:tcPr>
            <w:tcW w:w="1380" w:type="dxa"/>
            <w:vAlign w:val="bottom"/>
            <w:gridSpan w:val="2"/>
          </w:tcPr>
          <w:p>
            <w:pPr>
              <w:jc w:val="right"/>
              <w:ind w:right="35"/>
              <w:spacing w:after="0" w:line="162" w:lineRule="exact"/>
              <w:rPr>
                <w:sz w:val="20"/>
                <w:szCs w:val="20"/>
                <w:color w:val="auto"/>
              </w:rPr>
            </w:pPr>
            <w:r>
              <w:rPr>
                <w:rFonts w:ascii="Arial" w:cs="Arial" w:eastAsia="Arial" w:hAnsi="Arial"/>
                <w:sz w:val="15"/>
                <w:szCs w:val="15"/>
                <w:b w:val="1"/>
                <w:bCs w:val="1"/>
                <w:color w:val="00A1DF"/>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60" w:type="dxa"/>
            <w:vAlign w:val="bottom"/>
            <w:vMerge w:val="restart"/>
          </w:tcPr>
          <w:p>
            <w:pPr>
              <w:ind w:left="60"/>
              <w:spacing w:after="0" w:line="162" w:lineRule="exact"/>
              <w:rPr>
                <w:sz w:val="20"/>
                <w:szCs w:val="20"/>
                <w:color w:val="auto"/>
              </w:rPr>
            </w:pPr>
            <w:r>
              <w:rPr>
                <w:rFonts w:ascii="Arial" w:cs="Arial" w:eastAsia="Arial" w:hAnsi="Arial"/>
                <w:sz w:val="15"/>
                <w:szCs w:val="15"/>
                <w:b w:val="1"/>
                <w:bCs w:val="1"/>
                <w:color w:val="00A1DF"/>
              </w:rPr>
              <w:t>Principal</w:t>
            </w:r>
          </w:p>
        </w:tc>
        <w:tc>
          <w:tcPr>
            <w:tcW w:w="560" w:type="dxa"/>
            <w:vAlign w:val="bottom"/>
          </w:tcPr>
          <w:p>
            <w:pPr>
              <w:spacing w:after="0"/>
              <w:rPr>
                <w:sz w:val="12"/>
                <w:szCs w:val="12"/>
                <w:color w:val="auto"/>
              </w:rPr>
            </w:pPr>
          </w:p>
        </w:tc>
        <w:tc>
          <w:tcPr>
            <w:tcW w:w="840" w:type="dxa"/>
            <w:vAlign w:val="bottom"/>
          </w:tcPr>
          <w:p>
            <w:pPr>
              <w:jc w:val="right"/>
              <w:ind w:right="33"/>
              <w:spacing w:after="0" w:line="143" w:lineRule="exact"/>
              <w:rPr>
                <w:sz w:val="20"/>
                <w:szCs w:val="20"/>
                <w:color w:val="auto"/>
              </w:rPr>
            </w:pPr>
            <w:r>
              <w:rPr>
                <w:rFonts w:ascii="Arial" w:cs="Arial" w:eastAsia="Arial" w:hAnsi="Arial"/>
                <w:sz w:val="13"/>
                <w:szCs w:val="13"/>
                <w:b w:val="1"/>
                <w:bCs w:val="1"/>
                <w:color w:val="00A1DF"/>
              </w:rPr>
              <w:t>(2)</w:t>
            </w:r>
          </w:p>
        </w:tc>
        <w:tc>
          <w:tcPr>
            <w:tcW w:w="600" w:type="dxa"/>
            <w:vAlign w:val="bottom"/>
            <w:vMerge w:val="restart"/>
          </w:tcPr>
          <w:p>
            <w:pPr>
              <w:ind w:left="120"/>
              <w:spacing w:after="0" w:line="162" w:lineRule="exact"/>
              <w:rPr>
                <w:sz w:val="20"/>
                <w:szCs w:val="20"/>
                <w:color w:val="auto"/>
              </w:rPr>
            </w:pPr>
            <w:r>
              <w:rPr>
                <w:rFonts w:ascii="Arial" w:cs="Arial" w:eastAsia="Arial" w:hAnsi="Arial"/>
                <w:sz w:val="15"/>
                <w:szCs w:val="15"/>
                <w:b w:val="1"/>
                <w:bCs w:val="1"/>
                <w:color w:val="00A1DF"/>
                <w:w w:val="98"/>
              </w:rPr>
              <w:t>Bonus</w:t>
            </w:r>
          </w:p>
        </w:tc>
        <w:tc>
          <w:tcPr>
            <w:tcW w:w="260" w:type="dxa"/>
            <w:vAlign w:val="bottom"/>
          </w:tcPr>
          <w:p>
            <w:pPr>
              <w:jc w:val="right"/>
              <w:ind w:right="28"/>
              <w:spacing w:after="0" w:line="143" w:lineRule="exact"/>
              <w:rPr>
                <w:sz w:val="20"/>
                <w:szCs w:val="20"/>
                <w:color w:val="auto"/>
              </w:rPr>
            </w:pPr>
            <w:r>
              <w:rPr>
                <w:rFonts w:ascii="Arial" w:cs="Arial" w:eastAsia="Arial" w:hAnsi="Arial"/>
                <w:sz w:val="13"/>
                <w:szCs w:val="13"/>
                <w:b w:val="1"/>
                <w:bCs w:val="1"/>
                <w:color w:val="00A1DF"/>
                <w:w w:val="87"/>
              </w:rPr>
              <w:t>(3)</w:t>
            </w:r>
          </w:p>
        </w:tc>
        <w:tc>
          <w:tcPr>
            <w:tcW w:w="920" w:type="dxa"/>
            <w:vAlign w:val="bottom"/>
          </w:tcPr>
          <w:p>
            <w:pPr>
              <w:jc w:val="right"/>
              <w:ind w:right="33"/>
              <w:spacing w:after="0" w:line="143" w:lineRule="exact"/>
              <w:rPr>
                <w:sz w:val="20"/>
                <w:szCs w:val="20"/>
                <w:color w:val="auto"/>
              </w:rPr>
            </w:pPr>
            <w:r>
              <w:rPr>
                <w:rFonts w:ascii="Arial" w:cs="Arial" w:eastAsia="Arial" w:hAnsi="Arial"/>
                <w:sz w:val="13"/>
                <w:szCs w:val="13"/>
                <w:b w:val="1"/>
                <w:bCs w:val="1"/>
                <w:color w:val="00A1DF"/>
              </w:rPr>
              <w:t>(4)</w:t>
            </w:r>
          </w:p>
        </w:tc>
        <w:tc>
          <w:tcPr>
            <w:tcW w:w="900" w:type="dxa"/>
            <w:vAlign w:val="bottom"/>
          </w:tcPr>
          <w:p>
            <w:pPr>
              <w:jc w:val="right"/>
              <w:spacing w:after="0" w:line="143" w:lineRule="exact"/>
              <w:rPr>
                <w:sz w:val="20"/>
                <w:szCs w:val="20"/>
                <w:color w:val="auto"/>
              </w:rPr>
            </w:pPr>
            <w:r>
              <w:rPr>
                <w:rFonts w:ascii="Arial" w:cs="Arial" w:eastAsia="Arial" w:hAnsi="Arial"/>
                <w:sz w:val="13"/>
                <w:szCs w:val="13"/>
                <w:b w:val="1"/>
                <w:bCs w:val="1"/>
                <w:color w:val="00A1DF"/>
              </w:rPr>
              <w:t>(5)</w:t>
            </w:r>
          </w:p>
        </w:tc>
        <w:tc>
          <w:tcPr>
            <w:tcW w:w="1360" w:type="dxa"/>
            <w:vAlign w:val="bottom"/>
          </w:tcPr>
          <w:p>
            <w:pPr>
              <w:jc w:val="right"/>
              <w:spacing w:after="0" w:line="143" w:lineRule="exact"/>
              <w:rPr>
                <w:sz w:val="20"/>
                <w:szCs w:val="20"/>
                <w:color w:val="auto"/>
              </w:rPr>
            </w:pPr>
            <w:r>
              <w:rPr>
                <w:rFonts w:ascii="Arial" w:cs="Arial" w:eastAsia="Arial" w:hAnsi="Arial"/>
                <w:sz w:val="13"/>
                <w:szCs w:val="13"/>
                <w:b w:val="1"/>
                <w:bCs w:val="1"/>
                <w:color w:val="00A1DF"/>
              </w:rPr>
              <w:t>(6)</w:t>
            </w:r>
          </w:p>
        </w:tc>
        <w:tc>
          <w:tcPr>
            <w:tcW w:w="980" w:type="dxa"/>
            <w:vAlign w:val="bottom"/>
            <w:vMerge w:val="restart"/>
          </w:tcPr>
          <w:p>
            <w:pPr>
              <w:ind w:left="320"/>
              <w:spacing w:after="0" w:line="162" w:lineRule="exact"/>
              <w:rPr>
                <w:sz w:val="20"/>
                <w:szCs w:val="20"/>
                <w:color w:val="auto"/>
              </w:rPr>
            </w:pPr>
            <w:r>
              <w:rPr>
                <w:rFonts w:ascii="Arial" w:cs="Arial" w:eastAsia="Arial" w:hAnsi="Arial"/>
                <w:sz w:val="15"/>
                <w:szCs w:val="15"/>
                <w:b w:val="1"/>
                <w:bCs w:val="1"/>
                <w:color w:val="00A1DF"/>
                <w:w w:val="99"/>
              </w:rPr>
              <w:t>Earnings</w:t>
            </w:r>
          </w:p>
        </w:tc>
        <w:tc>
          <w:tcPr>
            <w:tcW w:w="240" w:type="dxa"/>
            <w:vAlign w:val="bottom"/>
          </w:tcPr>
          <w:p>
            <w:pPr>
              <w:jc w:val="right"/>
              <w:ind w:right="9"/>
              <w:spacing w:after="0" w:line="143" w:lineRule="exact"/>
              <w:rPr>
                <w:sz w:val="20"/>
                <w:szCs w:val="20"/>
                <w:color w:val="auto"/>
              </w:rPr>
            </w:pPr>
            <w:r>
              <w:rPr>
                <w:rFonts w:ascii="Arial" w:cs="Arial" w:eastAsia="Arial" w:hAnsi="Arial"/>
                <w:sz w:val="13"/>
                <w:szCs w:val="13"/>
                <w:b w:val="1"/>
                <w:bCs w:val="1"/>
                <w:color w:val="00A1DF"/>
                <w:w w:val="87"/>
              </w:rPr>
              <w:t>(7)</w:t>
            </w:r>
          </w:p>
        </w:tc>
        <w:tc>
          <w:tcPr>
            <w:tcW w:w="1120" w:type="dxa"/>
            <w:vAlign w:val="bottom"/>
            <w:vMerge w:val="restart"/>
          </w:tcPr>
          <w:p>
            <w:pPr>
              <w:ind w:left="60"/>
              <w:spacing w:after="0" w:line="162" w:lineRule="exact"/>
              <w:rPr>
                <w:sz w:val="20"/>
                <w:szCs w:val="20"/>
                <w:color w:val="auto"/>
              </w:rPr>
            </w:pPr>
            <w:r>
              <w:rPr>
                <w:rFonts w:ascii="Arial" w:cs="Arial" w:eastAsia="Arial" w:hAnsi="Arial"/>
                <w:sz w:val="15"/>
                <w:szCs w:val="15"/>
                <w:b w:val="1"/>
                <w:bCs w:val="1"/>
                <w:color w:val="00A1DF"/>
                <w:w w:val="99"/>
              </w:rPr>
              <w:t>Compensation</w:t>
            </w:r>
          </w:p>
        </w:tc>
        <w:tc>
          <w:tcPr>
            <w:tcW w:w="260" w:type="dxa"/>
            <w:vAlign w:val="bottom"/>
          </w:tcPr>
          <w:p>
            <w:pPr>
              <w:jc w:val="right"/>
              <w:ind w:right="35"/>
              <w:spacing w:after="0" w:line="143" w:lineRule="exact"/>
              <w:rPr>
                <w:sz w:val="20"/>
                <w:szCs w:val="20"/>
                <w:color w:val="auto"/>
              </w:rPr>
            </w:pPr>
            <w:r>
              <w:rPr>
                <w:rFonts w:ascii="Arial" w:cs="Arial" w:eastAsia="Arial" w:hAnsi="Arial"/>
                <w:sz w:val="13"/>
                <w:szCs w:val="13"/>
                <w:b w:val="1"/>
                <w:bCs w:val="1"/>
                <w:color w:val="00A1DF"/>
                <w:w w:val="87"/>
              </w:rPr>
              <w:t>(8)</w:t>
            </w:r>
          </w:p>
        </w:tc>
        <w:tc>
          <w:tcPr>
            <w:tcW w:w="920" w:type="dxa"/>
            <w:vAlign w:val="bottom"/>
            <w:vMerge w:val="restart"/>
          </w:tcPr>
          <w:p>
            <w:pPr>
              <w:jc w:val="right"/>
              <w:ind w:right="29"/>
              <w:spacing w:after="0" w:line="162" w:lineRule="exact"/>
              <w:rPr>
                <w:sz w:val="20"/>
                <w:szCs w:val="20"/>
                <w:color w:val="auto"/>
              </w:rPr>
            </w:pPr>
            <w:r>
              <w:rPr>
                <w:rFonts w:ascii="Arial" w:cs="Arial" w:eastAsia="Arial" w:hAnsi="Arial"/>
                <w:sz w:val="15"/>
                <w:szCs w:val="15"/>
                <w:b w:val="1"/>
                <w:bCs w:val="1"/>
                <w:color w:val="00A1DF"/>
              </w:rPr>
              <w:t>Total</w:t>
            </w:r>
          </w:p>
        </w:tc>
        <w:tc>
          <w:tcPr>
            <w:tcW w:w="0" w:type="dxa"/>
            <w:vAlign w:val="bottom"/>
          </w:tcPr>
          <w:p>
            <w:pPr>
              <w:spacing w:after="0"/>
              <w:rPr>
                <w:sz w:val="1"/>
                <w:szCs w:val="1"/>
                <w:color w:val="auto"/>
              </w:rPr>
            </w:pPr>
          </w:p>
        </w:tc>
      </w:tr>
      <w:tr>
        <w:trPr>
          <w:trHeight w:val="19"/>
        </w:trPr>
        <w:tc>
          <w:tcPr>
            <w:tcW w:w="20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jc w:val="right"/>
              <w:ind w:right="193"/>
              <w:spacing w:after="0" w:line="20" w:lineRule="exact"/>
              <w:rPr>
                <w:sz w:val="20"/>
                <w:szCs w:val="20"/>
                <w:color w:val="auto"/>
              </w:rPr>
            </w:pPr>
            <w:r>
              <w:rPr>
                <w:rFonts w:ascii="Arial" w:cs="Arial" w:eastAsia="Arial" w:hAnsi="Arial"/>
                <w:sz w:val="2"/>
                <w:szCs w:val="2"/>
                <w:b w:val="1"/>
                <w:bCs w:val="1"/>
                <w:color w:val="00A1DF"/>
              </w:rPr>
              <w:t>Salary</w:t>
            </w:r>
          </w:p>
        </w:tc>
        <w:tc>
          <w:tcPr>
            <w:tcW w:w="6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jc w:val="right"/>
              <w:ind w:right="193"/>
              <w:spacing w:after="0" w:line="20" w:lineRule="exact"/>
              <w:rPr>
                <w:sz w:val="20"/>
                <w:szCs w:val="20"/>
                <w:color w:val="auto"/>
              </w:rPr>
            </w:pPr>
            <w:r>
              <w:rPr>
                <w:rFonts w:ascii="Arial" w:cs="Arial" w:eastAsia="Arial" w:hAnsi="Arial"/>
                <w:sz w:val="2"/>
                <w:szCs w:val="2"/>
                <w:b w:val="1"/>
                <w:bCs w:val="1"/>
                <w:color w:val="00A1DF"/>
              </w:rPr>
              <w:t>Awards</w:t>
            </w:r>
          </w:p>
        </w:tc>
        <w:tc>
          <w:tcPr>
            <w:tcW w:w="900" w:type="dxa"/>
            <w:vAlign w:val="bottom"/>
          </w:tcPr>
          <w:p>
            <w:pPr>
              <w:jc w:val="right"/>
              <w:ind w:right="153"/>
              <w:spacing w:after="0" w:line="20" w:lineRule="exact"/>
              <w:rPr>
                <w:sz w:val="20"/>
                <w:szCs w:val="20"/>
                <w:color w:val="auto"/>
              </w:rPr>
            </w:pPr>
            <w:r>
              <w:rPr>
                <w:rFonts w:ascii="Arial" w:cs="Arial" w:eastAsia="Arial" w:hAnsi="Arial"/>
                <w:sz w:val="2"/>
                <w:szCs w:val="2"/>
                <w:b w:val="1"/>
                <w:bCs w:val="1"/>
                <w:color w:val="00A1DF"/>
              </w:rPr>
              <w:t>Awards</w:t>
            </w:r>
          </w:p>
        </w:tc>
        <w:tc>
          <w:tcPr>
            <w:tcW w:w="1360" w:type="dxa"/>
            <w:vAlign w:val="bottom"/>
          </w:tcPr>
          <w:p>
            <w:pPr>
              <w:jc w:val="right"/>
              <w:ind w:right="152"/>
              <w:spacing w:after="0" w:line="20" w:lineRule="exact"/>
              <w:rPr>
                <w:sz w:val="20"/>
                <w:szCs w:val="20"/>
                <w:color w:val="auto"/>
              </w:rPr>
            </w:pPr>
            <w:r>
              <w:rPr>
                <w:rFonts w:ascii="Arial" w:cs="Arial" w:eastAsia="Arial" w:hAnsi="Arial"/>
                <w:sz w:val="2"/>
                <w:szCs w:val="2"/>
                <w:b w:val="1"/>
                <w:bCs w:val="1"/>
                <w:color w:val="00A1DF"/>
              </w:rPr>
              <w:t>Compensation</w:t>
            </w:r>
          </w:p>
        </w:tc>
        <w:tc>
          <w:tcPr>
            <w:tcW w:w="9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ind w:left="680"/>
              <w:spacing w:after="0" w:line="143" w:lineRule="exact"/>
              <w:rPr>
                <w:sz w:val="20"/>
                <w:szCs w:val="20"/>
                <w:color w:val="auto"/>
              </w:rPr>
            </w:pPr>
            <w:r>
              <w:rPr>
                <w:rFonts w:ascii="Arial" w:cs="Arial" w:eastAsia="Arial" w:hAnsi="Arial"/>
                <w:sz w:val="13"/>
                <w:szCs w:val="13"/>
                <w:b w:val="1"/>
                <w:bCs w:val="1"/>
                <w:color w:val="00A1DF"/>
              </w:rPr>
              <w:t>(1)</w:t>
            </w:r>
          </w:p>
        </w:tc>
        <w:tc>
          <w:tcPr>
            <w:tcW w:w="560" w:type="dxa"/>
            <w:vAlign w:val="bottom"/>
            <w:vMerge w:val="restart"/>
          </w:tcPr>
          <w:p>
            <w:pPr>
              <w:ind w:left="120"/>
              <w:spacing w:after="0"/>
              <w:rPr>
                <w:sz w:val="20"/>
                <w:szCs w:val="20"/>
                <w:color w:val="auto"/>
              </w:rPr>
            </w:pPr>
            <w:r>
              <w:rPr>
                <w:rFonts w:ascii="Arial" w:cs="Arial" w:eastAsia="Arial" w:hAnsi="Arial"/>
                <w:sz w:val="15"/>
                <w:szCs w:val="15"/>
                <w:b w:val="1"/>
                <w:bCs w:val="1"/>
                <w:color w:val="00A1DF"/>
              </w:rPr>
              <w:t>Year</w:t>
            </w:r>
          </w:p>
        </w:tc>
        <w:tc>
          <w:tcPr>
            <w:tcW w:w="840" w:type="dxa"/>
            <w:vAlign w:val="bottom"/>
            <w:vMerge w:val="restart"/>
          </w:tcPr>
          <w:p>
            <w:pPr>
              <w:jc w:val="right"/>
              <w:ind w:right="33"/>
              <w:spacing w:after="0"/>
              <w:rPr>
                <w:sz w:val="20"/>
                <w:szCs w:val="20"/>
                <w:color w:val="auto"/>
              </w:rPr>
            </w:pPr>
            <w:r>
              <w:rPr>
                <w:rFonts w:ascii="Arial" w:cs="Arial" w:eastAsia="Arial" w:hAnsi="Arial"/>
                <w:sz w:val="15"/>
                <w:szCs w:val="15"/>
                <w:b w:val="1"/>
                <w:bCs w:val="1"/>
                <w:color w:val="00A1DF"/>
              </w:rPr>
              <w:t>($)</w:t>
            </w:r>
          </w:p>
        </w:tc>
        <w:tc>
          <w:tcPr>
            <w:tcW w:w="860" w:type="dxa"/>
            <w:vAlign w:val="bottom"/>
            <w:gridSpan w:val="2"/>
            <w:vMerge w:val="restart"/>
          </w:tcPr>
          <w:p>
            <w:pPr>
              <w:jc w:val="right"/>
              <w:ind w:right="28"/>
              <w:spacing w:after="0"/>
              <w:rPr>
                <w:sz w:val="20"/>
                <w:szCs w:val="20"/>
                <w:color w:val="auto"/>
              </w:rPr>
            </w:pPr>
            <w:r>
              <w:rPr>
                <w:rFonts w:ascii="Arial" w:cs="Arial" w:eastAsia="Arial" w:hAnsi="Arial"/>
                <w:sz w:val="15"/>
                <w:szCs w:val="15"/>
                <w:b w:val="1"/>
                <w:bCs w:val="1"/>
                <w:color w:val="00A1DF"/>
              </w:rPr>
              <w:t>($)</w:t>
            </w:r>
          </w:p>
        </w:tc>
        <w:tc>
          <w:tcPr>
            <w:tcW w:w="920" w:type="dxa"/>
            <w:vAlign w:val="bottom"/>
            <w:vMerge w:val="restart"/>
          </w:tcPr>
          <w:p>
            <w:pPr>
              <w:jc w:val="right"/>
              <w:ind w:right="33"/>
              <w:spacing w:after="0"/>
              <w:rPr>
                <w:sz w:val="20"/>
                <w:szCs w:val="20"/>
                <w:color w:val="auto"/>
              </w:rPr>
            </w:pPr>
            <w:r>
              <w:rPr>
                <w:rFonts w:ascii="Arial" w:cs="Arial" w:eastAsia="Arial" w:hAnsi="Arial"/>
                <w:sz w:val="15"/>
                <w:szCs w:val="15"/>
                <w:b w:val="1"/>
                <w:bCs w:val="1"/>
                <w:color w:val="00A1DF"/>
              </w:rPr>
              <w:t>($)</w:t>
            </w: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00A1DF"/>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b w:val="1"/>
                <w:bCs w:val="1"/>
                <w:color w:val="00A1DF"/>
              </w:rPr>
              <w:t>($)</w:t>
            </w:r>
          </w:p>
        </w:tc>
        <w:tc>
          <w:tcPr>
            <w:tcW w:w="1220" w:type="dxa"/>
            <w:vAlign w:val="bottom"/>
            <w:gridSpan w:val="2"/>
            <w:vMerge w:val="restart"/>
          </w:tcPr>
          <w:p>
            <w:pPr>
              <w:jc w:val="right"/>
              <w:ind w:right="9"/>
              <w:spacing w:after="0"/>
              <w:rPr>
                <w:sz w:val="20"/>
                <w:szCs w:val="20"/>
                <w:color w:val="auto"/>
              </w:rPr>
            </w:pPr>
            <w:r>
              <w:rPr>
                <w:rFonts w:ascii="Arial" w:cs="Arial" w:eastAsia="Arial" w:hAnsi="Arial"/>
                <w:sz w:val="15"/>
                <w:szCs w:val="15"/>
                <w:b w:val="1"/>
                <w:bCs w:val="1"/>
                <w:color w:val="00A1DF"/>
              </w:rPr>
              <w:t>($)</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5"/>
                <w:szCs w:val="15"/>
                <w:b w:val="1"/>
                <w:bCs w:val="1"/>
                <w:color w:val="00A1DF"/>
              </w:rPr>
              <w:t>($)</w:t>
            </w:r>
          </w:p>
        </w:tc>
        <w:tc>
          <w:tcPr>
            <w:tcW w:w="920" w:type="dxa"/>
            <w:vAlign w:val="bottom"/>
            <w:vMerge w:val="restart"/>
          </w:tcPr>
          <w:p>
            <w:pPr>
              <w:jc w:val="right"/>
              <w:ind w:right="29"/>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68"/>
        </w:trPr>
        <w:tc>
          <w:tcPr>
            <w:tcW w:w="2060" w:type="dxa"/>
            <w:vAlign w:val="bottom"/>
            <w:tcBorders>
              <w:bottom w:val="single" w:sz="8" w:color="00A1DF"/>
            </w:tcBorders>
          </w:tcPr>
          <w:p>
            <w:pPr>
              <w:ind w:left="60"/>
              <w:spacing w:after="0" w:line="68" w:lineRule="exact"/>
              <w:rPr>
                <w:sz w:val="20"/>
                <w:szCs w:val="20"/>
                <w:color w:val="auto"/>
              </w:rPr>
            </w:pPr>
            <w:r>
              <w:rPr>
                <w:rFonts w:ascii="Arial" w:cs="Arial" w:eastAsia="Arial" w:hAnsi="Arial"/>
                <w:sz w:val="7"/>
                <w:szCs w:val="7"/>
                <w:b w:val="1"/>
                <w:bCs w:val="1"/>
                <w:color w:val="00A1DF"/>
              </w:rPr>
              <w:t>Position</w:t>
            </w:r>
          </w:p>
        </w:tc>
        <w:tc>
          <w:tcPr>
            <w:tcW w:w="560" w:type="dxa"/>
            <w:vAlign w:val="bottom"/>
            <w:tcBorders>
              <w:bottom w:val="single" w:sz="8" w:color="00A1DF"/>
            </w:tcBorders>
            <w:vMerge w:val="continue"/>
          </w:tcPr>
          <w:p>
            <w:pPr>
              <w:spacing w:after="0"/>
              <w:rPr>
                <w:sz w:val="5"/>
                <w:szCs w:val="5"/>
                <w:color w:val="auto"/>
              </w:rPr>
            </w:pPr>
          </w:p>
        </w:tc>
        <w:tc>
          <w:tcPr>
            <w:tcW w:w="840" w:type="dxa"/>
            <w:vAlign w:val="bottom"/>
            <w:tcBorders>
              <w:bottom w:val="single" w:sz="8" w:color="00A1DF"/>
            </w:tcBorders>
            <w:vMerge w:val="continue"/>
          </w:tcPr>
          <w:p>
            <w:pPr>
              <w:spacing w:after="0"/>
              <w:rPr>
                <w:sz w:val="5"/>
                <w:szCs w:val="5"/>
                <w:color w:val="auto"/>
              </w:rPr>
            </w:pPr>
          </w:p>
        </w:tc>
        <w:tc>
          <w:tcPr>
            <w:tcW w:w="860" w:type="dxa"/>
            <w:vAlign w:val="bottom"/>
            <w:tcBorders>
              <w:bottom w:val="single" w:sz="8" w:color="00A1DF"/>
            </w:tcBorders>
            <w:gridSpan w:val="2"/>
            <w:vMerge w:val="continue"/>
          </w:tcPr>
          <w:p>
            <w:pPr>
              <w:spacing w:after="0"/>
              <w:rPr>
                <w:sz w:val="5"/>
                <w:szCs w:val="5"/>
                <w:color w:val="auto"/>
              </w:rPr>
            </w:pPr>
          </w:p>
        </w:tc>
        <w:tc>
          <w:tcPr>
            <w:tcW w:w="920" w:type="dxa"/>
            <w:vAlign w:val="bottom"/>
            <w:tcBorders>
              <w:bottom w:val="single" w:sz="8" w:color="00A1DF"/>
            </w:tcBorders>
            <w:vMerge w:val="continue"/>
          </w:tcPr>
          <w:p>
            <w:pPr>
              <w:spacing w:after="0"/>
              <w:rPr>
                <w:sz w:val="5"/>
                <w:szCs w:val="5"/>
                <w:color w:val="auto"/>
              </w:rPr>
            </w:pPr>
          </w:p>
        </w:tc>
        <w:tc>
          <w:tcPr>
            <w:tcW w:w="900" w:type="dxa"/>
            <w:vAlign w:val="bottom"/>
            <w:tcBorders>
              <w:bottom w:val="single" w:sz="8" w:color="00A1DF"/>
            </w:tcBorders>
            <w:vMerge w:val="continue"/>
          </w:tcPr>
          <w:p>
            <w:pPr>
              <w:spacing w:after="0"/>
              <w:rPr>
                <w:sz w:val="5"/>
                <w:szCs w:val="5"/>
                <w:color w:val="auto"/>
              </w:rPr>
            </w:pPr>
          </w:p>
        </w:tc>
        <w:tc>
          <w:tcPr>
            <w:tcW w:w="1360" w:type="dxa"/>
            <w:vAlign w:val="bottom"/>
            <w:tcBorders>
              <w:bottom w:val="single" w:sz="8" w:color="00A1DF"/>
            </w:tcBorders>
            <w:vMerge w:val="continue"/>
          </w:tcPr>
          <w:p>
            <w:pPr>
              <w:spacing w:after="0"/>
              <w:rPr>
                <w:sz w:val="5"/>
                <w:szCs w:val="5"/>
                <w:color w:val="auto"/>
              </w:rPr>
            </w:pPr>
          </w:p>
        </w:tc>
        <w:tc>
          <w:tcPr>
            <w:tcW w:w="1220" w:type="dxa"/>
            <w:vAlign w:val="bottom"/>
            <w:tcBorders>
              <w:bottom w:val="single" w:sz="8" w:color="00A1DF"/>
            </w:tcBorders>
            <w:gridSpan w:val="2"/>
            <w:vMerge w:val="continue"/>
          </w:tcPr>
          <w:p>
            <w:pPr>
              <w:spacing w:after="0"/>
              <w:rPr>
                <w:sz w:val="5"/>
                <w:szCs w:val="5"/>
                <w:color w:val="auto"/>
              </w:rPr>
            </w:pPr>
          </w:p>
        </w:tc>
        <w:tc>
          <w:tcPr>
            <w:tcW w:w="1380" w:type="dxa"/>
            <w:vAlign w:val="bottom"/>
            <w:tcBorders>
              <w:bottom w:val="single" w:sz="8" w:color="00A1DF"/>
            </w:tcBorders>
            <w:gridSpan w:val="2"/>
            <w:vMerge w:val="continue"/>
          </w:tcPr>
          <w:p>
            <w:pPr>
              <w:spacing w:after="0"/>
              <w:rPr>
                <w:sz w:val="5"/>
                <w:szCs w:val="5"/>
                <w:color w:val="auto"/>
              </w:rPr>
            </w:pPr>
          </w:p>
        </w:tc>
        <w:tc>
          <w:tcPr>
            <w:tcW w:w="920" w:type="dxa"/>
            <w:vAlign w:val="bottom"/>
            <w:tcBorders>
              <w:bottom w:val="single" w:sz="8" w:color="00A1D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Mary T. Barra</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2,100,000</w:t>
            </w:r>
          </w:p>
        </w:tc>
        <w:tc>
          <w:tcPr>
            <w:tcW w:w="600" w:type="dxa"/>
            <w:vAlign w:val="bottom"/>
          </w:tcPr>
          <w:p>
            <w:pPr>
              <w:spacing w:after="0"/>
              <w:rPr>
                <w:sz w:val="13"/>
                <w:szCs w:val="13"/>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10,737,570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3,250,003</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4,956,000</w:t>
            </w:r>
          </w:p>
        </w:tc>
        <w:tc>
          <w:tcPr>
            <w:tcW w:w="122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52,792</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861,683</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21,958,048</w:t>
            </w:r>
          </w:p>
        </w:tc>
        <w:tc>
          <w:tcPr>
            <w:tcW w:w="0" w:type="dxa"/>
            <w:vAlign w:val="bottom"/>
          </w:tcPr>
          <w:p>
            <w:pPr>
              <w:spacing w:after="0"/>
              <w:rPr>
                <w:sz w:val="1"/>
                <w:szCs w:val="1"/>
                <w:color w:val="auto"/>
              </w:rPr>
            </w:pPr>
          </w:p>
        </w:tc>
      </w:tr>
      <w:tr>
        <w:trPr>
          <w:trHeight w:val="84"/>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Chairman and Chief</w:t>
            </w:r>
          </w:p>
        </w:tc>
        <w:tc>
          <w:tcPr>
            <w:tcW w:w="5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gridSpan w:val="2"/>
            <w:vMerge w:val="continue"/>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6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2,000,000</w:t>
            </w: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13,000,036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6,760,000</w:t>
            </w: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181,777</w:t>
            </w:r>
          </w:p>
        </w:tc>
        <w:tc>
          <w:tcPr>
            <w:tcW w:w="13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640,246</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22,582,059</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1,750,000</w:t>
            </w: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12,000,004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11,167,029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3,062,500</w:t>
            </w: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12,012</w:t>
            </w:r>
          </w:p>
        </w:tc>
        <w:tc>
          <w:tcPr>
            <w:tcW w:w="13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597,118</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28,588,663</w:t>
            </w:r>
          </w:p>
        </w:tc>
        <w:tc>
          <w:tcPr>
            <w:tcW w:w="0" w:type="dxa"/>
            <w:vAlign w:val="bottom"/>
          </w:tcPr>
          <w:p>
            <w:pPr>
              <w:spacing w:after="0"/>
              <w:rPr>
                <w:sz w:val="1"/>
                <w:szCs w:val="1"/>
                <w:color w:val="auto"/>
              </w:rPr>
            </w:pPr>
          </w:p>
        </w:tc>
      </w:tr>
      <w:tr>
        <w:trPr>
          <w:trHeight w:val="166"/>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Charles K. Stevens, III</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1,100,000</w:t>
            </w:r>
          </w:p>
        </w:tc>
        <w:tc>
          <w:tcPr>
            <w:tcW w:w="600" w:type="dxa"/>
            <w:vAlign w:val="bottom"/>
          </w:tcPr>
          <w:p>
            <w:pPr>
              <w:spacing w:after="0"/>
              <w:rPr>
                <w:sz w:val="14"/>
                <w:szCs w:val="14"/>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3,076,744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931,251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1,622,500</w:t>
            </w:r>
          </w:p>
        </w:tc>
        <w:tc>
          <w:tcPr>
            <w:tcW w:w="122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54,114</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316,430</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7,101,039</w:t>
            </w:r>
          </w:p>
        </w:tc>
        <w:tc>
          <w:tcPr>
            <w:tcW w:w="0" w:type="dxa"/>
            <w:vAlign w:val="bottom"/>
          </w:tcPr>
          <w:p>
            <w:pPr>
              <w:spacing w:after="0"/>
              <w:rPr>
                <w:sz w:val="1"/>
                <w:szCs w:val="1"/>
                <w:color w:val="auto"/>
              </w:rPr>
            </w:pPr>
          </w:p>
        </w:tc>
      </w:tr>
      <w:tr>
        <w:trPr>
          <w:trHeight w:val="84"/>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Vice</w:t>
            </w:r>
          </w:p>
        </w:tc>
        <w:tc>
          <w:tcPr>
            <w:tcW w:w="5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gridSpan w:val="2"/>
            <w:vMerge w:val="continue"/>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560" w:type="dxa"/>
            <w:vAlign w:val="bottom"/>
          </w:tcPr>
          <w:p>
            <w:pPr>
              <w:ind w:left="120"/>
              <w:spacing w:after="0"/>
              <w:rPr>
                <w:sz w:val="20"/>
                <w:szCs w:val="20"/>
                <w:color w:val="auto"/>
              </w:rPr>
            </w:pPr>
            <w:r>
              <w:rPr>
                <w:rFonts w:ascii="Arial" w:cs="Arial" w:eastAsia="Arial" w:hAnsi="Arial"/>
                <w:sz w:val="14"/>
                <w:szCs w:val="14"/>
                <w:color w:val="auto"/>
              </w:rPr>
              <w:t>2016</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1,100,000</w:t>
            </w:r>
          </w:p>
        </w:tc>
        <w:tc>
          <w:tcPr>
            <w:tcW w:w="60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3,450,007</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2,673,800</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color w:val="auto"/>
              </w:rPr>
              <w:t>135,146</w:t>
            </w:r>
          </w:p>
        </w:tc>
        <w:tc>
          <w:tcPr>
            <w:tcW w:w="1380" w:type="dxa"/>
            <w:vAlign w:val="bottom"/>
            <w:gridSpan w:val="2"/>
          </w:tcPr>
          <w:p>
            <w:pPr>
              <w:jc w:val="right"/>
              <w:ind w:right="35"/>
              <w:spacing w:after="0"/>
              <w:rPr>
                <w:sz w:val="20"/>
                <w:szCs w:val="20"/>
                <w:color w:val="auto"/>
              </w:rPr>
            </w:pPr>
            <w:r>
              <w:rPr>
                <w:rFonts w:ascii="Arial" w:cs="Arial" w:eastAsia="Arial" w:hAnsi="Arial"/>
                <w:sz w:val="14"/>
                <w:szCs w:val="14"/>
                <w:color w:val="auto"/>
              </w:rPr>
              <w:t>244,132</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7,603,085</w:t>
            </w:r>
          </w:p>
        </w:tc>
        <w:tc>
          <w:tcPr>
            <w:tcW w:w="0" w:type="dxa"/>
            <w:vAlign w:val="bottom"/>
          </w:tcPr>
          <w:p>
            <w:pPr>
              <w:spacing w:after="0"/>
              <w:rPr>
                <w:sz w:val="1"/>
                <w:szCs w:val="1"/>
                <w:color w:val="auto"/>
              </w:rPr>
            </w:pPr>
          </w:p>
        </w:tc>
      </w:tr>
      <w:tr>
        <w:trPr>
          <w:trHeight w:val="36"/>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Financial Officer</w:t>
            </w: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60" w:type="dxa"/>
            <w:vAlign w:val="bottom"/>
            <w:vMerge w:val="continue"/>
          </w:tcPr>
          <w:p>
            <w:pPr>
              <w:spacing w:after="0"/>
              <w:rPr>
                <w:sz w:val="10"/>
                <w:szCs w:val="10"/>
                <w:color w:val="auto"/>
              </w:rPr>
            </w:pP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2015</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1,000,000</w:t>
            </w:r>
          </w:p>
        </w:tc>
        <w:tc>
          <w:tcPr>
            <w:tcW w:w="600" w:type="dxa"/>
            <w:vAlign w:val="bottom"/>
          </w:tcPr>
          <w:p>
            <w:pPr>
              <w:spacing w:after="0"/>
              <w:rPr>
                <w:sz w:val="10"/>
                <w:szCs w:val="10"/>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2,875,049</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2,675,437</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1,375,000</w:t>
            </w:r>
          </w:p>
        </w:tc>
        <w:tc>
          <w:tcPr>
            <w:tcW w:w="980" w:type="dxa"/>
            <w:vAlign w:val="bottom"/>
          </w:tcPr>
          <w:p>
            <w:pPr>
              <w:spacing w:after="0"/>
              <w:rPr>
                <w:sz w:val="10"/>
                <w:szCs w:val="10"/>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176,738</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8,102,224</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380" w:type="dxa"/>
            <w:vAlign w:val="bottom"/>
            <w:tcBorders>
              <w:bottom w:val="single" w:sz="8" w:color="auto"/>
            </w:tcBorders>
            <w:gridSpan w:val="2"/>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Daniel Ammann</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1,450,000</w:t>
            </w:r>
          </w:p>
        </w:tc>
        <w:tc>
          <w:tcPr>
            <w:tcW w:w="600" w:type="dxa"/>
            <w:vAlign w:val="bottom"/>
          </w:tcPr>
          <w:p>
            <w:pPr>
              <w:spacing w:after="0"/>
              <w:rPr>
                <w:sz w:val="14"/>
                <w:szCs w:val="14"/>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4,078,222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1,234,378</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2,138,800</w:t>
            </w:r>
          </w:p>
        </w:tc>
        <w:tc>
          <w:tcPr>
            <w:tcW w:w="980" w:type="dxa"/>
            <w:vAlign w:val="bottom"/>
          </w:tcPr>
          <w:p>
            <w:pPr>
              <w:spacing w:after="0"/>
              <w:rPr>
                <w:sz w:val="14"/>
                <w:szCs w:val="14"/>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356,918</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9,258,318</w:t>
            </w:r>
          </w:p>
        </w:tc>
        <w:tc>
          <w:tcPr>
            <w:tcW w:w="0" w:type="dxa"/>
            <w:vAlign w:val="bottom"/>
          </w:tcPr>
          <w:p>
            <w:pPr>
              <w:spacing w:after="0"/>
              <w:rPr>
                <w:sz w:val="1"/>
                <w:szCs w:val="1"/>
                <w:color w:val="auto"/>
              </w:rPr>
            </w:pPr>
          </w:p>
        </w:tc>
      </w:tr>
      <w:tr>
        <w:trPr>
          <w:trHeight w:val="84"/>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President</w:t>
            </w:r>
          </w:p>
        </w:tc>
        <w:tc>
          <w:tcPr>
            <w:tcW w:w="5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60" w:type="dxa"/>
            <w:vAlign w:val="bottom"/>
            <w:vMerge w:val="continue"/>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2016</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1,450,000</w:t>
            </w:r>
          </w:p>
        </w:tc>
        <w:tc>
          <w:tcPr>
            <w:tcW w:w="600" w:type="dxa"/>
            <w:vAlign w:val="bottom"/>
          </w:tcPr>
          <w:p>
            <w:pPr>
              <w:spacing w:after="0"/>
              <w:rPr>
                <w:sz w:val="5"/>
                <w:szCs w:val="5"/>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4,700,032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3,513,100</w:t>
            </w:r>
          </w:p>
        </w:tc>
        <w:tc>
          <w:tcPr>
            <w:tcW w:w="980" w:type="dxa"/>
            <w:vAlign w:val="bottom"/>
          </w:tcPr>
          <w:p>
            <w:pPr>
              <w:spacing w:after="0"/>
              <w:rPr>
                <w:sz w:val="5"/>
                <w:szCs w:val="5"/>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560,852</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10,223,984</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1,200,000</w:t>
            </w: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4,500,021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4,187,636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1,650,000</w:t>
            </w: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262,420</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11,800,077</w:t>
            </w:r>
          </w:p>
        </w:tc>
        <w:tc>
          <w:tcPr>
            <w:tcW w:w="0" w:type="dxa"/>
            <w:vAlign w:val="bottom"/>
          </w:tcPr>
          <w:p>
            <w:pPr>
              <w:spacing w:after="0"/>
              <w:rPr>
                <w:sz w:val="1"/>
                <w:szCs w:val="1"/>
                <w:color w:val="auto"/>
              </w:rPr>
            </w:pPr>
          </w:p>
        </w:tc>
      </w:tr>
      <w:tr>
        <w:trPr>
          <w:trHeight w:val="166"/>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Mark L. Reuss</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1,200,000</w:t>
            </w:r>
          </w:p>
        </w:tc>
        <w:tc>
          <w:tcPr>
            <w:tcW w:w="600" w:type="dxa"/>
            <w:vAlign w:val="bottom"/>
          </w:tcPr>
          <w:p>
            <w:pPr>
              <w:spacing w:after="0"/>
              <w:rPr>
                <w:sz w:val="14"/>
                <w:szCs w:val="14"/>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3,345,168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1,012,504</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1,770,000</w:t>
            </w:r>
          </w:p>
        </w:tc>
        <w:tc>
          <w:tcPr>
            <w:tcW w:w="122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54,390</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344,446</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7,726,508</w:t>
            </w:r>
          </w:p>
        </w:tc>
        <w:tc>
          <w:tcPr>
            <w:tcW w:w="0" w:type="dxa"/>
            <w:vAlign w:val="bottom"/>
          </w:tcPr>
          <w:p>
            <w:pPr>
              <w:spacing w:after="0"/>
              <w:rPr>
                <w:sz w:val="1"/>
                <w:szCs w:val="1"/>
                <w:color w:val="auto"/>
              </w:rPr>
            </w:pPr>
          </w:p>
        </w:tc>
      </w:tr>
      <w:tr>
        <w:trPr>
          <w:trHeight w:val="84"/>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Vice</w:t>
            </w:r>
          </w:p>
        </w:tc>
        <w:tc>
          <w:tcPr>
            <w:tcW w:w="5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gridSpan w:val="2"/>
            <w:vMerge w:val="continue"/>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rPr>
                <w:sz w:val="20"/>
                <w:szCs w:val="20"/>
                <w:color w:val="auto"/>
              </w:rPr>
            </w:pPr>
            <w:r>
              <w:rPr>
                <w:rFonts w:ascii="Arial" w:cs="Arial" w:eastAsia="Arial" w:hAnsi="Arial"/>
                <w:sz w:val="14"/>
                <w:szCs w:val="14"/>
                <w:color w:val="auto"/>
              </w:rPr>
              <w:t>President, Global</w:t>
            </w:r>
          </w:p>
        </w:tc>
        <w:tc>
          <w:tcPr>
            <w:tcW w:w="560" w:type="dxa"/>
            <w:vAlign w:val="bottom"/>
          </w:tcPr>
          <w:p>
            <w:pPr>
              <w:ind w:left="120"/>
              <w:spacing w:after="0"/>
              <w:rPr>
                <w:sz w:val="20"/>
                <w:szCs w:val="20"/>
                <w:color w:val="auto"/>
              </w:rPr>
            </w:pPr>
            <w:r>
              <w:rPr>
                <w:rFonts w:ascii="Arial" w:cs="Arial" w:eastAsia="Arial" w:hAnsi="Arial"/>
                <w:sz w:val="14"/>
                <w:szCs w:val="14"/>
                <w:color w:val="auto"/>
              </w:rPr>
              <w:t>2016</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1,200,000</w:t>
            </w:r>
          </w:p>
        </w:tc>
        <w:tc>
          <w:tcPr>
            <w:tcW w:w="60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3,900,018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2,905,000</w:t>
            </w:r>
          </w:p>
        </w:tc>
        <w:tc>
          <w:tcPr>
            <w:tcW w:w="1220" w:type="dxa"/>
            <w:vAlign w:val="bottom"/>
            <w:gridSpan w:val="2"/>
          </w:tcPr>
          <w:p>
            <w:pPr>
              <w:jc w:val="right"/>
              <w:ind w:right="9"/>
              <w:spacing w:after="0"/>
              <w:rPr>
                <w:sz w:val="20"/>
                <w:szCs w:val="20"/>
                <w:color w:val="auto"/>
              </w:rPr>
            </w:pPr>
            <w:r>
              <w:rPr>
                <w:rFonts w:ascii="Arial" w:cs="Arial" w:eastAsia="Arial" w:hAnsi="Arial"/>
                <w:sz w:val="14"/>
                <w:szCs w:val="14"/>
                <w:color w:val="auto"/>
              </w:rPr>
              <w:t>134,777</w:t>
            </w:r>
          </w:p>
        </w:tc>
        <w:tc>
          <w:tcPr>
            <w:tcW w:w="1380" w:type="dxa"/>
            <w:vAlign w:val="bottom"/>
            <w:gridSpan w:val="2"/>
          </w:tcPr>
          <w:p>
            <w:pPr>
              <w:jc w:val="right"/>
              <w:ind w:right="35"/>
              <w:spacing w:after="0"/>
              <w:rPr>
                <w:sz w:val="20"/>
                <w:szCs w:val="20"/>
                <w:color w:val="auto"/>
              </w:rPr>
            </w:pPr>
            <w:r>
              <w:rPr>
                <w:rFonts w:ascii="Arial" w:cs="Arial" w:eastAsia="Arial" w:hAnsi="Arial"/>
                <w:sz w:val="14"/>
                <w:szCs w:val="14"/>
                <w:color w:val="auto"/>
              </w:rPr>
              <w:t>272,866</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8,412,661</w:t>
            </w:r>
          </w:p>
        </w:tc>
        <w:tc>
          <w:tcPr>
            <w:tcW w:w="0" w:type="dxa"/>
            <w:vAlign w:val="bottom"/>
          </w:tcPr>
          <w:p>
            <w:pPr>
              <w:spacing w:after="0"/>
              <w:rPr>
                <w:sz w:val="1"/>
                <w:szCs w:val="1"/>
                <w:color w:val="auto"/>
              </w:rPr>
            </w:pPr>
          </w:p>
        </w:tc>
      </w:tr>
      <w:tr>
        <w:trPr>
          <w:trHeight w:val="36"/>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Product Development,</w:t>
            </w: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2015</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1,100,000</w:t>
            </w:r>
          </w:p>
        </w:tc>
        <w:tc>
          <w:tcPr>
            <w:tcW w:w="600" w:type="dxa"/>
            <w:vAlign w:val="bottom"/>
          </w:tcPr>
          <w:p>
            <w:pPr>
              <w:spacing w:after="0"/>
              <w:rPr>
                <w:sz w:val="9"/>
                <w:szCs w:val="9"/>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3,825,012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3,559,495</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1,515,000</w:t>
            </w:r>
          </w:p>
        </w:tc>
        <w:tc>
          <w:tcPr>
            <w:tcW w:w="980" w:type="dxa"/>
            <w:vAlign w:val="bottom"/>
          </w:tcPr>
          <w:p>
            <w:pPr>
              <w:spacing w:after="0"/>
              <w:rPr>
                <w:sz w:val="9"/>
                <w:szCs w:val="9"/>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w w:val="99"/>
              </w:rPr>
              <w:t>—</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199,629</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10,199,136</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rPr>
                <w:sz w:val="20"/>
                <w:szCs w:val="20"/>
                <w:color w:val="auto"/>
              </w:rPr>
            </w:pPr>
            <w:r>
              <w:rPr>
                <w:rFonts w:ascii="Arial" w:cs="Arial" w:eastAsia="Arial" w:hAnsi="Arial"/>
                <w:sz w:val="14"/>
                <w:szCs w:val="14"/>
                <w:color w:val="auto"/>
              </w:rPr>
              <w:t>Purchasing</w:t>
            </w:r>
          </w:p>
        </w:tc>
        <w:tc>
          <w:tcPr>
            <w:tcW w:w="5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60" w:type="dxa"/>
            <w:vAlign w:val="bottom"/>
          </w:tcPr>
          <w:p>
            <w:pPr>
              <w:ind w:left="60"/>
              <w:spacing w:after="0"/>
              <w:rPr>
                <w:sz w:val="20"/>
                <w:szCs w:val="20"/>
                <w:color w:val="auto"/>
              </w:rPr>
            </w:pPr>
            <w:r>
              <w:rPr>
                <w:rFonts w:ascii="Arial" w:cs="Arial" w:eastAsia="Arial" w:hAnsi="Arial"/>
                <w:sz w:val="14"/>
                <w:szCs w:val="14"/>
                <w:color w:val="auto"/>
              </w:rPr>
              <w:t>and Supply Chain</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Alan S. Batey</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840" w:type="dxa"/>
            <w:vAlign w:val="bottom"/>
            <w:vMerge w:val="restart"/>
          </w:tcPr>
          <w:p>
            <w:pPr>
              <w:jc w:val="right"/>
              <w:ind w:right="33"/>
              <w:spacing w:after="0"/>
              <w:rPr>
                <w:sz w:val="20"/>
                <w:szCs w:val="20"/>
                <w:color w:val="auto"/>
              </w:rPr>
            </w:pPr>
            <w:r>
              <w:rPr>
                <w:rFonts w:ascii="Arial" w:cs="Arial" w:eastAsia="Arial" w:hAnsi="Arial"/>
                <w:sz w:val="14"/>
                <w:szCs w:val="14"/>
                <w:color w:val="auto"/>
              </w:rPr>
              <w:t>1,025,000</w:t>
            </w:r>
          </w:p>
        </w:tc>
        <w:tc>
          <w:tcPr>
            <w:tcW w:w="600" w:type="dxa"/>
            <w:vAlign w:val="bottom"/>
          </w:tcPr>
          <w:p>
            <w:pPr>
              <w:spacing w:after="0"/>
              <w:rPr>
                <w:sz w:val="13"/>
                <w:szCs w:val="13"/>
                <w:color w:val="auto"/>
              </w:rPr>
            </w:pP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color w:val="auto"/>
              </w:rPr>
              <w:t>2,224,928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673,426</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1,447,800</w:t>
            </w:r>
          </w:p>
        </w:tc>
        <w:tc>
          <w:tcPr>
            <w:tcW w:w="122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316,601</w:t>
            </w:r>
          </w:p>
        </w:tc>
        <w:tc>
          <w:tcPr>
            <w:tcW w:w="13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287,373</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5,975,128</w:t>
            </w:r>
          </w:p>
        </w:tc>
        <w:tc>
          <w:tcPr>
            <w:tcW w:w="0" w:type="dxa"/>
            <w:vAlign w:val="bottom"/>
          </w:tcPr>
          <w:p>
            <w:pPr>
              <w:spacing w:after="0"/>
              <w:rPr>
                <w:sz w:val="1"/>
                <w:szCs w:val="1"/>
                <w:color w:val="auto"/>
              </w:rPr>
            </w:pPr>
          </w:p>
        </w:tc>
      </w:tr>
      <w:tr>
        <w:trPr>
          <w:trHeight w:val="84"/>
        </w:trPr>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 &amp;</w:t>
            </w:r>
          </w:p>
        </w:tc>
        <w:tc>
          <w:tcPr>
            <w:tcW w:w="5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gridSpan w:val="2"/>
            <w:vMerge w:val="continue"/>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President, North America</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950,000</w:t>
            </w: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2,700,035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2,406,900</w:t>
            </w: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133,151</w:t>
            </w:r>
          </w:p>
        </w:tc>
        <w:tc>
          <w:tcPr>
            <w:tcW w:w="13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225,078</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6,415,164</w:t>
            </w:r>
          </w:p>
        </w:tc>
        <w:tc>
          <w:tcPr>
            <w:tcW w:w="0" w:type="dxa"/>
            <w:vAlign w:val="bottom"/>
          </w:tcPr>
          <w:p>
            <w:pPr>
              <w:spacing w:after="0"/>
              <w:rPr>
                <w:sz w:val="1"/>
                <w:szCs w:val="1"/>
                <w:color w:val="auto"/>
              </w:rPr>
            </w:pPr>
          </w:p>
        </w:tc>
      </w:tr>
      <w:tr>
        <w:trPr>
          <w:trHeight w:val="72"/>
        </w:trPr>
        <w:tc>
          <w:tcPr>
            <w:tcW w:w="2060" w:type="dxa"/>
            <w:vAlign w:val="bottom"/>
          </w:tcPr>
          <w:p>
            <w:pPr>
              <w:ind w:left="60"/>
              <w:spacing w:after="0" w:line="72" w:lineRule="exact"/>
              <w:rPr>
                <w:sz w:val="20"/>
                <w:szCs w:val="20"/>
                <w:color w:val="auto"/>
              </w:rPr>
            </w:pPr>
            <w:r>
              <w:rPr>
                <w:rFonts w:ascii="Arial" w:cs="Arial" w:eastAsia="Arial" w:hAnsi="Arial"/>
                <w:sz w:val="8"/>
                <w:szCs w:val="8"/>
                <w:b w:val="1"/>
                <w:bCs w:val="1"/>
                <w:color w:val="auto"/>
              </w:rPr>
              <w:t>Karl-Thomas Neumann</w:t>
            </w:r>
          </w:p>
        </w:tc>
        <w:tc>
          <w:tcPr>
            <w:tcW w:w="560" w:type="dxa"/>
            <w:vAlign w:val="bottom"/>
          </w:tcPr>
          <w:p>
            <w:pPr>
              <w:spacing w:after="0"/>
              <w:rPr>
                <w:sz w:val="6"/>
                <w:szCs w:val="6"/>
                <w:color w:val="auto"/>
              </w:rPr>
            </w:pPr>
          </w:p>
        </w:tc>
        <w:tc>
          <w:tcPr>
            <w:tcW w:w="840" w:type="dxa"/>
            <w:vAlign w:val="bottom"/>
          </w:tcPr>
          <w:p>
            <w:pPr>
              <w:jc w:val="right"/>
              <w:ind w:right="33"/>
              <w:spacing w:after="0" w:line="72" w:lineRule="exact"/>
              <w:rPr>
                <w:sz w:val="20"/>
                <w:szCs w:val="20"/>
                <w:color w:val="auto"/>
              </w:rPr>
            </w:pPr>
            <w:r>
              <w:rPr>
                <w:rFonts w:ascii="Arial" w:cs="Arial" w:eastAsia="Arial" w:hAnsi="Arial"/>
                <w:sz w:val="8"/>
                <w:szCs w:val="8"/>
                <w:color w:val="auto"/>
              </w:rPr>
              <w:t>916,936</w:t>
            </w:r>
          </w:p>
        </w:tc>
        <w:tc>
          <w:tcPr>
            <w:tcW w:w="860" w:type="dxa"/>
            <w:vAlign w:val="bottom"/>
            <w:gridSpan w:val="2"/>
          </w:tcPr>
          <w:p>
            <w:pPr>
              <w:jc w:val="right"/>
              <w:ind w:right="28"/>
              <w:spacing w:after="0" w:line="72" w:lineRule="exact"/>
              <w:rPr>
                <w:sz w:val="20"/>
                <w:szCs w:val="20"/>
                <w:color w:val="auto"/>
              </w:rPr>
            </w:pPr>
            <w:r>
              <w:rPr>
                <w:rFonts w:ascii="Arial" w:cs="Arial" w:eastAsia="Arial" w:hAnsi="Arial"/>
                <w:sz w:val="8"/>
                <w:szCs w:val="8"/>
                <w:color w:val="auto"/>
              </w:rPr>
              <w:t>2,000,000</w:t>
            </w:r>
          </w:p>
        </w:tc>
        <w:tc>
          <w:tcPr>
            <w:tcW w:w="920" w:type="dxa"/>
            <w:vAlign w:val="bottom"/>
          </w:tcPr>
          <w:p>
            <w:pPr>
              <w:jc w:val="right"/>
              <w:ind w:right="33"/>
              <w:spacing w:after="0" w:line="72" w:lineRule="exact"/>
              <w:rPr>
                <w:sz w:val="20"/>
                <w:szCs w:val="20"/>
                <w:color w:val="auto"/>
              </w:rPr>
            </w:pPr>
            <w:r>
              <w:rPr>
                <w:rFonts w:ascii="Arial" w:cs="Arial" w:eastAsia="Arial" w:hAnsi="Arial"/>
                <w:sz w:val="8"/>
                <w:szCs w:val="8"/>
                <w:color w:val="auto"/>
              </w:rPr>
              <w:t>1,961,676</w:t>
            </w:r>
          </w:p>
        </w:tc>
        <w:tc>
          <w:tcPr>
            <w:tcW w:w="900" w:type="dxa"/>
            <w:vAlign w:val="bottom"/>
          </w:tcPr>
          <w:p>
            <w:pPr>
              <w:jc w:val="right"/>
              <w:spacing w:after="0" w:line="72" w:lineRule="exact"/>
              <w:rPr>
                <w:sz w:val="20"/>
                <w:szCs w:val="20"/>
                <w:color w:val="auto"/>
              </w:rPr>
            </w:pPr>
            <w:r>
              <w:rPr>
                <w:rFonts w:ascii="Arial" w:cs="Arial" w:eastAsia="Arial" w:hAnsi="Arial"/>
                <w:sz w:val="8"/>
                <w:szCs w:val="8"/>
                <w:color w:val="auto"/>
              </w:rPr>
              <w:t>593,751</w:t>
            </w:r>
          </w:p>
        </w:tc>
        <w:tc>
          <w:tcPr>
            <w:tcW w:w="1360" w:type="dxa"/>
            <w:vAlign w:val="bottom"/>
          </w:tcPr>
          <w:p>
            <w:pPr>
              <w:jc w:val="right"/>
              <w:spacing w:after="0" w:line="72" w:lineRule="exact"/>
              <w:rPr>
                <w:sz w:val="20"/>
                <w:szCs w:val="20"/>
                <w:color w:val="auto"/>
              </w:rPr>
            </w:pPr>
            <w:r>
              <w:rPr>
                <w:rFonts w:ascii="Arial" w:cs="Arial" w:eastAsia="Arial" w:hAnsi="Arial"/>
                <w:sz w:val="8"/>
                <w:szCs w:val="8"/>
                <w:color w:val="auto"/>
              </w:rPr>
              <w:t>1,276,317</w:t>
            </w:r>
          </w:p>
        </w:tc>
        <w:tc>
          <w:tcPr>
            <w:tcW w:w="1220" w:type="dxa"/>
            <w:vAlign w:val="bottom"/>
            <w:gridSpan w:val="2"/>
          </w:tcPr>
          <w:p>
            <w:pPr>
              <w:jc w:val="right"/>
              <w:ind w:right="9"/>
              <w:spacing w:after="0" w:line="72" w:lineRule="exact"/>
              <w:rPr>
                <w:sz w:val="20"/>
                <w:szCs w:val="20"/>
                <w:color w:val="auto"/>
              </w:rPr>
            </w:pPr>
            <w:r>
              <w:rPr>
                <w:rFonts w:ascii="Arial" w:cs="Arial" w:eastAsia="Arial" w:hAnsi="Arial"/>
                <w:sz w:val="8"/>
                <w:szCs w:val="8"/>
                <w:color w:val="auto"/>
              </w:rPr>
              <w:t>126,796</w:t>
            </w:r>
          </w:p>
        </w:tc>
        <w:tc>
          <w:tcPr>
            <w:tcW w:w="1380" w:type="dxa"/>
            <w:vAlign w:val="bottom"/>
            <w:gridSpan w:val="2"/>
          </w:tcPr>
          <w:p>
            <w:pPr>
              <w:jc w:val="right"/>
              <w:ind w:right="35"/>
              <w:spacing w:after="0" w:line="72" w:lineRule="exact"/>
              <w:rPr>
                <w:sz w:val="20"/>
                <w:szCs w:val="20"/>
                <w:color w:val="auto"/>
              </w:rPr>
            </w:pPr>
            <w:r>
              <w:rPr>
                <w:rFonts w:ascii="Arial" w:cs="Arial" w:eastAsia="Arial" w:hAnsi="Arial"/>
                <w:sz w:val="8"/>
                <w:szCs w:val="8"/>
                <w:color w:val="auto"/>
              </w:rPr>
              <w:t>12,563</w:t>
            </w:r>
          </w:p>
        </w:tc>
        <w:tc>
          <w:tcPr>
            <w:tcW w:w="920" w:type="dxa"/>
            <w:vAlign w:val="bottom"/>
          </w:tcPr>
          <w:p>
            <w:pPr>
              <w:jc w:val="right"/>
              <w:ind w:right="29"/>
              <w:spacing w:after="0" w:line="72" w:lineRule="exact"/>
              <w:rPr>
                <w:sz w:val="20"/>
                <w:szCs w:val="20"/>
                <w:color w:val="auto"/>
              </w:rPr>
            </w:pPr>
            <w:r>
              <w:rPr>
                <w:rFonts w:ascii="Arial" w:cs="Arial" w:eastAsia="Arial" w:hAnsi="Arial"/>
                <w:sz w:val="8"/>
                <w:szCs w:val="8"/>
                <w:color w:val="auto"/>
              </w:rPr>
              <w:t>6,888,039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Former Executive</w:t>
            </w:r>
          </w:p>
        </w:tc>
        <w:tc>
          <w:tcPr>
            <w:tcW w:w="9020" w:type="dxa"/>
            <w:vAlign w:val="bottom"/>
          </w:tcPr>
          <w:p>
            <w:pPr>
              <w:jc w:val="right"/>
              <w:ind w:right="844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9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60"/>
              <w:spacing w:after="0"/>
              <w:rPr>
                <w:sz w:val="20"/>
                <w:szCs w:val="20"/>
                <w:color w:val="auto"/>
              </w:rPr>
            </w:pPr>
            <w:r>
              <w:rPr>
                <w:rFonts w:ascii="Arial" w:cs="Arial" w:eastAsia="Arial" w:hAnsi="Arial"/>
                <w:sz w:val="14"/>
                <w:szCs w:val="14"/>
                <w:color w:val="auto"/>
              </w:rPr>
              <w:t>Vice President &amp; President,</w:t>
            </w:r>
          </w:p>
        </w:tc>
        <w:tc>
          <w:tcPr>
            <w:tcW w:w="9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0033A0"/>
            </w:tcBorders>
          </w:tcPr>
          <w:p>
            <w:pPr>
              <w:ind w:left="60"/>
              <w:spacing w:after="0"/>
              <w:rPr>
                <w:sz w:val="20"/>
                <w:szCs w:val="20"/>
                <w:color w:val="auto"/>
              </w:rPr>
            </w:pPr>
            <w:r>
              <w:rPr>
                <w:rFonts w:ascii="Arial" w:cs="Arial" w:eastAsia="Arial" w:hAnsi="Arial"/>
                <w:sz w:val="14"/>
                <w:szCs w:val="14"/>
                <w:color w:val="auto"/>
              </w:rPr>
              <w:t>Europe</w:t>
            </w:r>
          </w:p>
        </w:tc>
        <w:tc>
          <w:tcPr>
            <w:tcW w:w="9020" w:type="dxa"/>
            <w:vAlign w:val="bottom"/>
            <w:tcBorders>
              <w:bottom w:val="single" w:sz="8" w:color="0033A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Titles in the table reflect the NEOs position as of December 31, 2017. Mr. Batey first became a NEO in 2016. Dr. Neumann was not a NEO in 2015 or 2016.</w:t>
      </w:r>
    </w:p>
    <w:p>
      <w:pPr>
        <w:spacing w:after="0" w:line="68" w:lineRule="exact"/>
        <w:rPr>
          <w:rFonts w:ascii="Arial" w:cs="Arial" w:eastAsia="Arial" w:hAnsi="Arial"/>
          <w:sz w:val="14"/>
          <w:szCs w:val="14"/>
          <w:i w:val="1"/>
          <w:iCs w:val="1"/>
          <w:color w:val="auto"/>
        </w:rPr>
      </w:pPr>
    </w:p>
    <w:p>
      <w:pPr>
        <w:ind w:left="520" w:right="40" w:hanging="316"/>
        <w:spacing w:after="0" w:line="279" w:lineRule="auto"/>
        <w:tabs>
          <w:tab w:leader="none" w:pos="52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Dr. Neumann’s salary, which was paid in euros, has been converted to U.S. dollars, applying an average foreign exchange rate for the period from January 1, 2017 to December 31, 2017, during which compensation was earned €1 = $1.1294.</w:t>
      </w:r>
    </w:p>
    <w:p>
      <w:pPr>
        <w:spacing w:after="0" w:line="17" w:lineRule="exact"/>
        <w:rPr>
          <w:rFonts w:ascii="Arial" w:cs="Arial" w:eastAsia="Arial" w:hAnsi="Arial"/>
          <w:sz w:val="14"/>
          <w:szCs w:val="14"/>
          <w:i w:val="1"/>
          <w:iCs w:val="1"/>
          <w:color w:val="auto"/>
        </w:rPr>
      </w:pPr>
    </w:p>
    <w:p>
      <w:pPr>
        <w:ind w:left="520" w:right="40" w:hanging="316"/>
        <w:spacing w:after="0" w:line="279" w:lineRule="auto"/>
        <w:tabs>
          <w:tab w:leader="none" w:pos="52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Dr. Neumann received a Transaction Success Incentive award for his work on the successful sale of Opel/Vauxhall to PSA. The amount was based in U.S. dollars and paid in euros.</w:t>
      </w:r>
    </w:p>
    <w:p>
      <w:pPr>
        <w:spacing w:after="0" w:line="17" w:lineRule="exact"/>
        <w:rPr>
          <w:rFonts w:ascii="Arial" w:cs="Arial" w:eastAsia="Arial" w:hAnsi="Arial"/>
          <w:sz w:val="14"/>
          <w:szCs w:val="14"/>
          <w:i w:val="1"/>
          <w:iCs w:val="1"/>
          <w:color w:val="auto"/>
        </w:rPr>
      </w:pPr>
    </w:p>
    <w:p>
      <w:pPr>
        <w:jc w:val="both"/>
        <w:ind w:left="520" w:right="40" w:hanging="316"/>
        <w:spacing w:after="0" w:line="249" w:lineRule="auto"/>
        <w:tabs>
          <w:tab w:leader="none" w:pos="52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Stock Awards displays the grant date fair value of PSUs issued under the LTIP, computed in accordance with Financial Accounting Standards Board (“FASB”) Accounting Standards Codification (“ASC”) Topic 718. PSUs will vest based on GM’s performance to both Relative ROIC-adjusted and Relative TSR. The maximum award for PSUs for the 2017–2019 performance periods is 200% of PSUs granted. The value at the time of grant was $37.24 per share for Relative ROIC-adjusted PSUs and $48.67 (131% of target) for Relative TSR PSUs based on the Monte Carlo analysis. The assumptions for the Monte Carlo analysis used implied volatility of 25.0%, risk-free interest rate of 1.56% and no dividend yield as dividends are assumed to be reinvested for the TSR calculation. The table below shows PSUs valued based on the closing price on date of grant of $37.24 per share and the maximum PSU grant value based on maximum performance.</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060" w:type="dxa"/>
            <w:vAlign w:val="bottom"/>
            <w:tcBorders>
              <w:top w:val="single" w:sz="8" w:color="00A1DF"/>
            </w:tcBorders>
          </w:tcPr>
          <w:p>
            <w:pPr>
              <w:spacing w:after="0"/>
              <w:rPr>
                <w:sz w:val="18"/>
                <w:szCs w:val="18"/>
                <w:color w:val="auto"/>
              </w:rPr>
            </w:pPr>
          </w:p>
        </w:tc>
        <w:tc>
          <w:tcPr>
            <w:tcW w:w="6140" w:type="dxa"/>
            <w:vAlign w:val="bottom"/>
            <w:tcBorders>
              <w:top w:val="single" w:sz="8" w:color="00A1DF"/>
            </w:tcBorders>
          </w:tcPr>
          <w:p>
            <w:pPr>
              <w:jc w:val="right"/>
              <w:ind w:right="1403"/>
              <w:spacing w:after="0"/>
              <w:rPr>
                <w:sz w:val="20"/>
                <w:szCs w:val="20"/>
                <w:color w:val="auto"/>
              </w:rPr>
            </w:pPr>
            <w:r>
              <w:rPr>
                <w:rFonts w:ascii="Arial" w:cs="Arial" w:eastAsia="Arial" w:hAnsi="Arial"/>
                <w:sz w:val="15"/>
                <w:szCs w:val="15"/>
                <w:b w:val="1"/>
                <w:bCs w:val="1"/>
                <w:color w:val="00A1DF"/>
              </w:rPr>
              <w:t>Value of PSU Awards at Target and Maximum Performance</w:t>
            </w:r>
          </w:p>
        </w:tc>
        <w:tc>
          <w:tcPr>
            <w:tcW w:w="1040" w:type="dxa"/>
            <w:vAlign w:val="bottom"/>
            <w:tcBorders>
              <w:top w:val="single" w:sz="8" w:color="00A1DF"/>
            </w:tcBorders>
          </w:tcPr>
          <w:p>
            <w:pPr>
              <w:spacing w:after="0"/>
              <w:rPr>
                <w:sz w:val="18"/>
                <w:szCs w:val="18"/>
                <w:color w:val="auto"/>
              </w:rPr>
            </w:pPr>
          </w:p>
        </w:tc>
      </w:tr>
      <w:tr>
        <w:trPr>
          <w:trHeight w:val="181"/>
        </w:trPr>
        <w:tc>
          <w:tcPr>
            <w:tcW w:w="20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00A1DF"/>
              </w:rPr>
              <w:t>2017</w:t>
            </w:r>
          </w:p>
        </w:tc>
      </w:tr>
      <w:tr>
        <w:trPr>
          <w:trHeight w:val="162"/>
        </w:trPr>
        <w:tc>
          <w:tcPr>
            <w:tcW w:w="2060" w:type="dxa"/>
            <w:vAlign w:val="bottom"/>
          </w:tcPr>
          <w:p>
            <w:pPr>
              <w:spacing w:after="0"/>
              <w:rPr>
                <w:sz w:val="14"/>
                <w:szCs w:val="14"/>
                <w:color w:val="auto"/>
              </w:rPr>
            </w:pPr>
          </w:p>
        </w:tc>
        <w:tc>
          <w:tcPr>
            <w:tcW w:w="614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00A1DF"/>
              </w:rPr>
              <w:t>2017</w:t>
            </w:r>
          </w:p>
        </w:tc>
        <w:tc>
          <w:tcPr>
            <w:tcW w:w="10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00A1DF"/>
              </w:rPr>
              <w:t>Maximum</w:t>
            </w:r>
          </w:p>
        </w:tc>
      </w:tr>
      <w:tr>
        <w:trPr>
          <w:trHeight w:val="197"/>
        </w:trPr>
        <w:tc>
          <w:tcPr>
            <w:tcW w:w="2060" w:type="dxa"/>
            <w:vAlign w:val="bottom"/>
            <w:tcBorders>
              <w:bottom w:val="single" w:sz="8" w:color="00A1DF"/>
            </w:tcBorders>
          </w:tcPr>
          <w:p>
            <w:pPr>
              <w:spacing w:after="0"/>
              <w:rPr>
                <w:sz w:val="17"/>
                <w:szCs w:val="17"/>
                <w:color w:val="auto"/>
              </w:rPr>
            </w:pPr>
          </w:p>
        </w:tc>
        <w:tc>
          <w:tcPr>
            <w:tcW w:w="6140" w:type="dxa"/>
            <w:vAlign w:val="bottom"/>
            <w:tcBorders>
              <w:bottom w:val="single" w:sz="8" w:color="00A1DF"/>
            </w:tcBorders>
          </w:tcPr>
          <w:p>
            <w:pPr>
              <w:jc w:val="right"/>
              <w:ind w:right="83"/>
              <w:spacing w:after="0"/>
              <w:rPr>
                <w:sz w:val="20"/>
                <w:szCs w:val="20"/>
                <w:color w:val="auto"/>
              </w:rPr>
            </w:pPr>
            <w:r>
              <w:rPr>
                <w:rFonts w:ascii="Arial" w:cs="Arial" w:eastAsia="Arial" w:hAnsi="Arial"/>
                <w:sz w:val="15"/>
                <w:szCs w:val="15"/>
                <w:b w:val="1"/>
                <w:bCs w:val="1"/>
                <w:color w:val="00A1DF"/>
              </w:rPr>
              <w:t>Target ($)</w:t>
            </w:r>
          </w:p>
        </w:tc>
        <w:tc>
          <w:tcPr>
            <w:tcW w:w="1040" w:type="dxa"/>
            <w:vAlign w:val="bottom"/>
            <w:tcBorders>
              <w:bottom w:val="single" w:sz="8" w:color="00A1DF"/>
            </w:tcBorders>
          </w:tcPr>
          <w:p>
            <w:pPr>
              <w:jc w:val="right"/>
              <w:ind w:right="63"/>
              <w:spacing w:after="0"/>
              <w:rPr>
                <w:sz w:val="20"/>
                <w:szCs w:val="20"/>
                <w:color w:val="auto"/>
              </w:rPr>
            </w:pPr>
            <w:r>
              <w:rPr>
                <w:rFonts w:ascii="Arial" w:cs="Arial" w:eastAsia="Arial" w:hAnsi="Arial"/>
                <w:sz w:val="15"/>
                <w:szCs w:val="15"/>
                <w:b w:val="1"/>
                <w:bCs w:val="1"/>
                <w:color w:val="00A1DF"/>
              </w:rPr>
              <w:t>($)</w:t>
            </w:r>
          </w:p>
        </w:tc>
      </w:tr>
      <w:tr>
        <w:trPr>
          <w:trHeight w:val="180"/>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Mary T. Barra</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9,750,028</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19,500,056</w:t>
            </w:r>
          </w:p>
        </w:tc>
      </w:tr>
      <w:tr>
        <w:trPr>
          <w:trHeight w:val="183"/>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Charles K. Stevens, III</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2,793,782</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5,587,564</w:t>
            </w:r>
          </w:p>
        </w:tc>
      </w:tr>
      <w:tr>
        <w:trPr>
          <w:trHeight w:val="183"/>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Daniel Ammann</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3,703,146</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7,406,291</w:t>
            </w:r>
          </w:p>
        </w:tc>
      </w:tr>
      <w:tr>
        <w:trPr>
          <w:trHeight w:val="183"/>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Mark L. Reuss</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3,037,518</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6,075,036</w:t>
            </w:r>
          </w:p>
        </w:tc>
      </w:tr>
      <w:tr>
        <w:trPr>
          <w:trHeight w:val="183"/>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Alan S. Batey</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2,020,307</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4,040,614</w:t>
            </w:r>
          </w:p>
        </w:tc>
      </w:tr>
      <w:tr>
        <w:trPr>
          <w:trHeight w:val="183"/>
        </w:trPr>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Karl-Thomas Neumann</w:t>
            </w:r>
          </w:p>
        </w:tc>
        <w:tc>
          <w:tcPr>
            <w:tcW w:w="6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1,781,264</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3,562,527</w:t>
            </w: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jc w:val="both"/>
        <w:ind w:left="520" w:hanging="316"/>
        <w:spacing w:after="0" w:line="260" w:lineRule="auto"/>
        <w:tabs>
          <w:tab w:leader="none" w:pos="5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displays the grant fair value of Stock Options issued under the LTIP, computed in accordance with FASB ASC Topic 718 using a Black-Scholes valuation. Assumptions used to calculate the grant date fair value was a dividend yield of 4.43%, expected volatility of 25.0%, a risk-free interest rate of 1.97%, and an expected option life of 5.84 years. The grant date fair value was $4.98 per option.</w:t>
      </w:r>
    </w:p>
    <w:p>
      <w:pPr>
        <w:spacing w:after="0" w:line="30" w:lineRule="exact"/>
        <w:rPr>
          <w:rFonts w:ascii="Arial" w:cs="Arial" w:eastAsia="Arial" w:hAnsi="Arial"/>
          <w:sz w:val="14"/>
          <w:szCs w:val="14"/>
          <w:i w:val="1"/>
          <w:iCs w:val="1"/>
          <w:color w:val="auto"/>
        </w:rPr>
      </w:pPr>
    </w:p>
    <w:p>
      <w:pPr>
        <w:jc w:val="both"/>
        <w:ind w:left="520" w:hanging="316"/>
        <w:spacing w:after="0" w:line="255" w:lineRule="auto"/>
        <w:tabs>
          <w:tab w:leader="none" w:pos="5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Each NEO was eligible for a payment under the STIP for 2017 performance based on the Company’s achievement of annual performance goals and individual performance. Individual performance decisions for each NEO are determined by the Compensation Committee, and results are discussed beginning on page 48. The amount reported for Dr. Neumann was paid in euros and converted to U.S. dollars using the exchange rate on date of payment (February 28, 2018), which was €1 = $1.221122.</w:t>
      </w:r>
    </w:p>
    <w:p>
      <w:pPr>
        <w:spacing w:after="0" w:line="202" w:lineRule="exact"/>
        <w:rPr>
          <w:rFonts w:ascii="Arial" w:cs="Arial" w:eastAsia="Arial" w:hAnsi="Arial"/>
          <w:sz w:val="14"/>
          <w:szCs w:val="14"/>
          <w:i w:val="1"/>
          <w:iCs w:val="1"/>
          <w:color w:val="auto"/>
        </w:rPr>
      </w:pPr>
    </w:p>
    <w:p>
      <w:pPr>
        <w:jc w:val="both"/>
        <w:ind w:left="520" w:hanging="316"/>
        <w:spacing w:after="0" w:line="254" w:lineRule="auto"/>
        <w:tabs>
          <w:tab w:leader="none" w:pos="5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actuarial change in the present value of the executive’s accrued benefit for 2017 attributed to year-over-year variances in applicable discount rates, lump sum interest rates, mortality rates, and employer contributions to tax-qualified and non-tax-qualified plans as described in the section titled “Pension Benefits” on page 61. The Company does not credit interest at above-market rates to any deferred accounts, and no interest amounts are included in these totals. Mr. Ammann is not eligible for defined benefit pension plans.</w:t>
      </w:r>
    </w:p>
    <w:p>
      <w:pPr>
        <w:spacing w:after="0" w:line="34" w:lineRule="exact"/>
        <w:rPr>
          <w:rFonts w:ascii="Arial" w:cs="Arial" w:eastAsia="Arial" w:hAnsi="Arial"/>
          <w:sz w:val="14"/>
          <w:szCs w:val="14"/>
          <w:i w:val="1"/>
          <w:iCs w:val="1"/>
          <w:color w:val="auto"/>
        </w:rPr>
      </w:pPr>
    </w:p>
    <w:p>
      <w:pPr>
        <w:ind w:left="520" w:hanging="316"/>
        <w:spacing w:after="0"/>
        <w:tabs>
          <w:tab w:leader="none" w:pos="5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Totals for amounts included as “All Other Compensation” are described in the table below.</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All Other Compensation</w:t>
      </w:r>
    </w:p>
    <w:p>
      <w:pPr>
        <w:spacing w:after="0" w:line="91"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2480" w:type="dxa"/>
            <w:vAlign w:val="bottom"/>
            <w:tcBorders>
              <w:top w:val="single" w:sz="8" w:color="00A1DF"/>
            </w:tcBorders>
          </w:tcPr>
          <w:p>
            <w:pPr>
              <w:spacing w:after="0"/>
              <w:rPr>
                <w:sz w:val="13"/>
                <w:szCs w:val="13"/>
                <w:color w:val="auto"/>
              </w:rPr>
            </w:pPr>
          </w:p>
        </w:tc>
        <w:tc>
          <w:tcPr>
            <w:tcW w:w="166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M.T. Barra</w:t>
            </w:r>
          </w:p>
        </w:tc>
        <w:tc>
          <w:tcPr>
            <w:tcW w:w="116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C.K. Stevens</w:t>
            </w:r>
          </w:p>
        </w:tc>
        <w:tc>
          <w:tcPr>
            <w:tcW w:w="108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D. Ammann</w:t>
            </w:r>
          </w:p>
        </w:tc>
        <w:tc>
          <w:tcPr>
            <w:tcW w:w="104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M.L. Reuss</w:t>
            </w:r>
          </w:p>
        </w:tc>
        <w:tc>
          <w:tcPr>
            <w:tcW w:w="100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A.S. Batey</w:t>
            </w:r>
          </w:p>
        </w:tc>
        <w:tc>
          <w:tcPr>
            <w:tcW w:w="1200" w:type="dxa"/>
            <w:vAlign w:val="bottom"/>
            <w:tcBorders>
              <w:top w:val="single" w:sz="8" w:color="00A1DF"/>
            </w:tcBorders>
          </w:tcPr>
          <w:p>
            <w:pPr>
              <w:jc w:val="right"/>
              <w:ind w:right="3"/>
              <w:spacing w:after="0" w:line="154" w:lineRule="exact"/>
              <w:rPr>
                <w:sz w:val="20"/>
                <w:szCs w:val="20"/>
                <w:color w:val="auto"/>
              </w:rPr>
            </w:pPr>
            <w:r>
              <w:rPr>
                <w:rFonts w:ascii="Arial" w:cs="Arial" w:eastAsia="Arial" w:hAnsi="Arial"/>
                <w:sz w:val="15"/>
                <w:szCs w:val="15"/>
                <w:b w:val="1"/>
                <w:bCs w:val="1"/>
                <w:color w:val="00A1DF"/>
              </w:rPr>
              <w:t>K.T. Neumann</w:t>
            </w:r>
          </w:p>
        </w:tc>
        <w:tc>
          <w:tcPr>
            <w:tcW w:w="0" w:type="dxa"/>
            <w:vAlign w:val="bottom"/>
          </w:tcPr>
          <w:p>
            <w:pPr>
              <w:spacing w:after="0"/>
              <w:rPr>
                <w:sz w:val="1"/>
                <w:szCs w:val="1"/>
                <w:color w:val="auto"/>
              </w:rPr>
            </w:pPr>
          </w:p>
        </w:tc>
      </w:tr>
      <w:tr>
        <w:trPr>
          <w:trHeight w:val="197"/>
        </w:trPr>
        <w:tc>
          <w:tcPr>
            <w:tcW w:w="2480" w:type="dxa"/>
            <w:vAlign w:val="bottom"/>
            <w:tcBorders>
              <w:bottom w:val="single" w:sz="8" w:color="00A1DF"/>
            </w:tcBorders>
          </w:tcPr>
          <w:p>
            <w:pPr>
              <w:spacing w:after="0"/>
              <w:rPr>
                <w:sz w:val="17"/>
                <w:szCs w:val="17"/>
                <w:color w:val="auto"/>
              </w:rPr>
            </w:pPr>
          </w:p>
        </w:tc>
        <w:tc>
          <w:tcPr>
            <w:tcW w:w="166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16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08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04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00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w:t>
            </w:r>
          </w:p>
        </w:tc>
        <w:tc>
          <w:tcPr>
            <w:tcW w:w="1200" w:type="dxa"/>
            <w:vAlign w:val="bottom"/>
            <w:tcBorders>
              <w:bottom w:val="single" w:sz="8" w:color="00A1DF"/>
            </w:tcBorders>
          </w:tcPr>
          <w:p>
            <w:pPr>
              <w:jc w:val="right"/>
              <w:ind w:right="3"/>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152"/>
        </w:trPr>
        <w:tc>
          <w:tcPr>
            <w:tcW w:w="2480" w:type="dxa"/>
            <w:vAlign w:val="bottom"/>
          </w:tcPr>
          <w:p>
            <w:pPr>
              <w:ind w:left="80"/>
              <w:spacing w:after="0" w:line="152" w:lineRule="exact"/>
              <w:rPr>
                <w:sz w:val="20"/>
                <w:szCs w:val="20"/>
                <w:color w:val="auto"/>
              </w:rPr>
            </w:pPr>
            <w:r>
              <w:rPr>
                <w:rFonts w:ascii="Arial" w:cs="Arial" w:eastAsia="Arial" w:hAnsi="Arial"/>
                <w:sz w:val="15"/>
                <w:szCs w:val="15"/>
                <w:color w:val="auto"/>
              </w:rPr>
              <w:t>Perquisites and Other</w:t>
            </w:r>
          </w:p>
        </w:tc>
        <w:tc>
          <w:tcPr>
            <w:tcW w:w="1660" w:type="dxa"/>
            <w:vAlign w:val="bottom"/>
            <w:vMerge w:val="restart"/>
          </w:tcPr>
          <w:p>
            <w:pPr>
              <w:jc w:val="right"/>
              <w:ind w:right="43"/>
              <w:spacing w:after="0" w:line="159" w:lineRule="exact"/>
              <w:rPr>
                <w:sz w:val="20"/>
                <w:szCs w:val="20"/>
                <w:color w:val="auto"/>
              </w:rPr>
            </w:pPr>
            <w:r>
              <w:rPr>
                <w:rFonts w:ascii="Arial" w:cs="Arial" w:eastAsia="Arial" w:hAnsi="Arial"/>
                <w:sz w:val="15"/>
                <w:szCs w:val="15"/>
                <w:color w:val="auto"/>
              </w:rPr>
              <w:t>233,323</w:t>
            </w:r>
          </w:p>
        </w:tc>
        <w:tc>
          <w:tcPr>
            <w:tcW w:w="1160" w:type="dxa"/>
            <w:vAlign w:val="bottom"/>
            <w:vMerge w:val="restart"/>
          </w:tcPr>
          <w:p>
            <w:pPr>
              <w:jc w:val="right"/>
              <w:ind w:right="43"/>
              <w:spacing w:after="0" w:line="159" w:lineRule="exact"/>
              <w:rPr>
                <w:sz w:val="20"/>
                <w:szCs w:val="20"/>
                <w:color w:val="auto"/>
              </w:rPr>
            </w:pPr>
            <w:r>
              <w:rPr>
                <w:rFonts w:ascii="Arial" w:cs="Arial" w:eastAsia="Arial" w:hAnsi="Arial"/>
                <w:sz w:val="15"/>
                <w:szCs w:val="15"/>
                <w:color w:val="auto"/>
              </w:rPr>
              <w:t>39,257</w:t>
            </w:r>
          </w:p>
        </w:tc>
        <w:tc>
          <w:tcPr>
            <w:tcW w:w="1080" w:type="dxa"/>
            <w:vAlign w:val="bottom"/>
            <w:vMerge w:val="restart"/>
          </w:tcPr>
          <w:p>
            <w:pPr>
              <w:jc w:val="right"/>
              <w:ind w:right="43"/>
              <w:spacing w:after="0" w:line="159" w:lineRule="exact"/>
              <w:rPr>
                <w:sz w:val="20"/>
                <w:szCs w:val="20"/>
                <w:color w:val="auto"/>
              </w:rPr>
            </w:pPr>
            <w:r>
              <w:rPr>
                <w:rFonts w:ascii="Arial" w:cs="Arial" w:eastAsia="Arial" w:hAnsi="Arial"/>
                <w:sz w:val="15"/>
                <w:szCs w:val="15"/>
                <w:color w:val="auto"/>
              </w:rPr>
              <w:t>95,948</w:t>
            </w:r>
          </w:p>
        </w:tc>
        <w:tc>
          <w:tcPr>
            <w:tcW w:w="1040" w:type="dxa"/>
            <w:vAlign w:val="bottom"/>
            <w:vMerge w:val="restart"/>
          </w:tcPr>
          <w:p>
            <w:pPr>
              <w:jc w:val="right"/>
              <w:ind w:right="43"/>
              <w:spacing w:after="0" w:line="159" w:lineRule="exact"/>
              <w:rPr>
                <w:sz w:val="20"/>
                <w:szCs w:val="20"/>
                <w:color w:val="auto"/>
              </w:rPr>
            </w:pPr>
            <w:r>
              <w:rPr>
                <w:rFonts w:ascii="Arial" w:cs="Arial" w:eastAsia="Arial" w:hAnsi="Arial"/>
                <w:sz w:val="15"/>
                <w:szCs w:val="15"/>
                <w:color w:val="auto"/>
              </w:rPr>
              <w:t>44,350</w:t>
            </w:r>
          </w:p>
        </w:tc>
        <w:tc>
          <w:tcPr>
            <w:tcW w:w="1000" w:type="dxa"/>
            <w:vAlign w:val="bottom"/>
            <w:vMerge w:val="restart"/>
          </w:tcPr>
          <w:p>
            <w:pPr>
              <w:jc w:val="right"/>
              <w:ind w:right="43"/>
              <w:spacing w:after="0" w:line="159" w:lineRule="exact"/>
              <w:rPr>
                <w:sz w:val="20"/>
                <w:szCs w:val="20"/>
                <w:color w:val="auto"/>
              </w:rPr>
            </w:pPr>
            <w:r>
              <w:rPr>
                <w:rFonts w:ascii="Arial" w:cs="Arial" w:eastAsia="Arial" w:hAnsi="Arial"/>
                <w:sz w:val="15"/>
                <w:szCs w:val="15"/>
                <w:color w:val="auto"/>
              </w:rPr>
              <w:t>35,570</w:t>
            </w:r>
          </w:p>
        </w:tc>
        <w:tc>
          <w:tcPr>
            <w:tcW w:w="1200" w:type="dxa"/>
            <w:vAlign w:val="bottom"/>
            <w:vMerge w:val="restart"/>
          </w:tcPr>
          <w:p>
            <w:pPr>
              <w:jc w:val="right"/>
              <w:ind w:right="3"/>
              <w:spacing w:after="0" w:line="159" w:lineRule="exact"/>
              <w:rPr>
                <w:sz w:val="20"/>
                <w:szCs w:val="20"/>
                <w:color w:val="auto"/>
              </w:rPr>
            </w:pPr>
            <w:r>
              <w:rPr>
                <w:rFonts w:ascii="Arial" w:cs="Arial" w:eastAsia="Arial" w:hAnsi="Arial"/>
                <w:sz w:val="15"/>
                <w:szCs w:val="15"/>
                <w:color w:val="auto"/>
              </w:rPr>
              <w:t>12,563</w:t>
            </w:r>
          </w:p>
        </w:tc>
        <w:tc>
          <w:tcPr>
            <w:tcW w:w="0" w:type="dxa"/>
            <w:vAlign w:val="bottom"/>
          </w:tcPr>
          <w:p>
            <w:pPr>
              <w:spacing w:after="0"/>
              <w:rPr>
                <w:sz w:val="1"/>
                <w:szCs w:val="1"/>
                <w:color w:val="auto"/>
              </w:rPr>
            </w:pPr>
          </w:p>
        </w:tc>
      </w:tr>
      <w:tr>
        <w:trPr>
          <w:trHeight w:val="7"/>
        </w:trPr>
        <w:tc>
          <w:tcPr>
            <w:tcW w:w="2480" w:type="dxa"/>
            <w:vAlign w:val="bottom"/>
          </w:tcPr>
          <w:p>
            <w:pPr>
              <w:ind w:left="80"/>
              <w:spacing w:after="0" w:line="8" w:lineRule="exact"/>
              <w:rPr>
                <w:sz w:val="20"/>
                <w:szCs w:val="20"/>
                <w:color w:val="auto"/>
              </w:rPr>
            </w:pPr>
            <w:r>
              <w:rPr>
                <w:rFonts w:ascii="Arial" w:cs="Arial" w:eastAsia="Arial" w:hAnsi="Arial"/>
                <w:sz w:val="1"/>
                <w:szCs w:val="1"/>
                <w:color w:val="auto"/>
              </w:rPr>
              <w:t>Personal Benefits</w:t>
            </w:r>
          </w:p>
        </w:tc>
        <w:tc>
          <w:tcPr>
            <w:tcW w:w="16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tcPr>
          <w:p>
            <w:pPr>
              <w:ind w:left="1280"/>
              <w:spacing w:after="0"/>
              <w:rPr>
                <w:sz w:val="20"/>
                <w:szCs w:val="20"/>
                <w:color w:val="auto"/>
              </w:rPr>
            </w:pPr>
            <w:r>
              <w:rPr>
                <w:rFonts w:ascii="Arial" w:cs="Arial" w:eastAsia="Arial" w:hAnsi="Arial"/>
                <w:sz w:val="13"/>
                <w:szCs w:val="13"/>
                <w:color w:val="auto"/>
              </w:rPr>
              <w:t>(1)</w:t>
            </w:r>
          </w:p>
        </w:tc>
        <w:tc>
          <w:tcPr>
            <w:tcW w:w="1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80"/>
              <w:spacing w:after="0" w:line="152" w:lineRule="exact"/>
              <w:rPr>
                <w:sz w:val="20"/>
                <w:szCs w:val="20"/>
                <w:color w:val="auto"/>
              </w:rPr>
            </w:pPr>
            <w:r>
              <w:rPr>
                <w:rFonts w:ascii="Arial" w:cs="Arial" w:eastAsia="Arial" w:hAnsi="Arial"/>
                <w:sz w:val="15"/>
                <w:szCs w:val="15"/>
                <w:color w:val="auto"/>
              </w:rPr>
              <w:t>Employer Contributions</w:t>
            </w:r>
          </w:p>
        </w:tc>
        <w:tc>
          <w:tcPr>
            <w:tcW w:w="1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 Savings Plans</w:t>
            </w:r>
            <w:r>
              <w:rPr>
                <w:rFonts w:ascii="Arial" w:cs="Arial" w:eastAsia="Arial" w:hAnsi="Arial"/>
                <w:sz w:val="13"/>
                <w:szCs w:val="13"/>
                <w:color w:val="auto"/>
              </w:rPr>
              <w:t>(2)</w:t>
            </w: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615,600</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270,428</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256,524</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294,300</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246,913</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480" w:type="dxa"/>
            <w:vAlign w:val="bottom"/>
          </w:tcPr>
          <w:p>
            <w:pPr>
              <w:ind w:left="80"/>
              <w:spacing w:after="0" w:line="156" w:lineRule="exact"/>
              <w:rPr>
                <w:sz w:val="20"/>
                <w:szCs w:val="20"/>
                <w:color w:val="auto"/>
              </w:rPr>
            </w:pPr>
            <w:r>
              <w:rPr>
                <w:rFonts w:ascii="Arial" w:cs="Arial" w:eastAsia="Arial" w:hAnsi="Arial"/>
                <w:sz w:val="15"/>
                <w:szCs w:val="15"/>
                <w:color w:val="auto"/>
              </w:rPr>
              <w:t>Life and Other</w:t>
            </w:r>
          </w:p>
        </w:tc>
        <w:tc>
          <w:tcPr>
            <w:tcW w:w="1660" w:type="dxa"/>
            <w:vAlign w:val="bottom"/>
            <w:vMerge w:val="restart"/>
          </w:tcPr>
          <w:p>
            <w:pPr>
              <w:jc w:val="right"/>
              <w:ind w:right="43"/>
              <w:spacing w:after="0" w:line="164" w:lineRule="exact"/>
              <w:rPr>
                <w:sz w:val="20"/>
                <w:szCs w:val="20"/>
                <w:color w:val="auto"/>
              </w:rPr>
            </w:pPr>
            <w:r>
              <w:rPr>
                <w:rFonts w:ascii="Arial" w:cs="Arial" w:eastAsia="Arial" w:hAnsi="Arial"/>
                <w:sz w:val="15"/>
                <w:szCs w:val="15"/>
                <w:color w:val="auto"/>
              </w:rPr>
              <w:t>12,760</w:t>
            </w:r>
          </w:p>
        </w:tc>
        <w:tc>
          <w:tcPr>
            <w:tcW w:w="1160" w:type="dxa"/>
            <w:vAlign w:val="bottom"/>
            <w:vMerge w:val="restart"/>
          </w:tcPr>
          <w:p>
            <w:pPr>
              <w:jc w:val="right"/>
              <w:ind w:right="43"/>
              <w:spacing w:after="0" w:line="164" w:lineRule="exact"/>
              <w:rPr>
                <w:sz w:val="20"/>
                <w:szCs w:val="20"/>
                <w:color w:val="auto"/>
              </w:rPr>
            </w:pPr>
            <w:r>
              <w:rPr>
                <w:rFonts w:ascii="Arial" w:cs="Arial" w:eastAsia="Arial" w:hAnsi="Arial"/>
                <w:sz w:val="15"/>
                <w:szCs w:val="15"/>
                <w:color w:val="auto"/>
              </w:rPr>
              <w:t>6,745</w:t>
            </w:r>
          </w:p>
        </w:tc>
        <w:tc>
          <w:tcPr>
            <w:tcW w:w="1080" w:type="dxa"/>
            <w:vAlign w:val="bottom"/>
            <w:vMerge w:val="restart"/>
          </w:tcPr>
          <w:p>
            <w:pPr>
              <w:jc w:val="right"/>
              <w:ind w:right="43"/>
              <w:spacing w:after="0" w:line="164" w:lineRule="exact"/>
              <w:rPr>
                <w:sz w:val="20"/>
                <w:szCs w:val="20"/>
                <w:color w:val="auto"/>
              </w:rPr>
            </w:pPr>
            <w:r>
              <w:rPr>
                <w:rFonts w:ascii="Arial" w:cs="Arial" w:eastAsia="Arial" w:hAnsi="Arial"/>
                <w:sz w:val="15"/>
                <w:szCs w:val="15"/>
                <w:color w:val="auto"/>
              </w:rPr>
              <w:t>4,446</w:t>
            </w:r>
          </w:p>
        </w:tc>
        <w:tc>
          <w:tcPr>
            <w:tcW w:w="1040" w:type="dxa"/>
            <w:vAlign w:val="bottom"/>
            <w:vMerge w:val="restart"/>
          </w:tcPr>
          <w:p>
            <w:pPr>
              <w:jc w:val="right"/>
              <w:ind w:right="43"/>
              <w:spacing w:after="0" w:line="164" w:lineRule="exact"/>
              <w:rPr>
                <w:sz w:val="20"/>
                <w:szCs w:val="20"/>
                <w:color w:val="auto"/>
              </w:rPr>
            </w:pPr>
            <w:r>
              <w:rPr>
                <w:rFonts w:ascii="Arial" w:cs="Arial" w:eastAsia="Arial" w:hAnsi="Arial"/>
                <w:sz w:val="15"/>
                <w:szCs w:val="15"/>
                <w:color w:val="auto"/>
              </w:rPr>
              <w:t>5,796</w:t>
            </w:r>
          </w:p>
        </w:tc>
        <w:tc>
          <w:tcPr>
            <w:tcW w:w="1000" w:type="dxa"/>
            <w:vAlign w:val="bottom"/>
            <w:vMerge w:val="restart"/>
          </w:tcPr>
          <w:p>
            <w:pPr>
              <w:jc w:val="right"/>
              <w:ind w:right="43"/>
              <w:spacing w:after="0" w:line="164" w:lineRule="exact"/>
              <w:rPr>
                <w:sz w:val="20"/>
                <w:szCs w:val="20"/>
                <w:color w:val="auto"/>
              </w:rPr>
            </w:pPr>
            <w:r>
              <w:rPr>
                <w:rFonts w:ascii="Arial" w:cs="Arial" w:eastAsia="Arial" w:hAnsi="Arial"/>
                <w:sz w:val="15"/>
                <w:szCs w:val="15"/>
                <w:color w:val="auto"/>
              </w:rPr>
              <w:t>4,890</w:t>
            </w:r>
          </w:p>
        </w:tc>
        <w:tc>
          <w:tcPr>
            <w:tcW w:w="1200" w:type="dxa"/>
            <w:vAlign w:val="bottom"/>
            <w:vMerge w:val="restart"/>
          </w:tcPr>
          <w:p>
            <w:pPr>
              <w:jc w:val="right"/>
              <w:ind w:right="3"/>
              <w:spacing w:after="0" w:line="16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
        </w:trPr>
        <w:tc>
          <w:tcPr>
            <w:tcW w:w="2480" w:type="dxa"/>
            <w:vAlign w:val="bottom"/>
          </w:tcPr>
          <w:p>
            <w:pPr>
              <w:ind w:left="80"/>
              <w:spacing w:after="0" w:line="8" w:lineRule="exact"/>
              <w:rPr>
                <w:sz w:val="20"/>
                <w:szCs w:val="20"/>
                <w:color w:val="auto"/>
              </w:rPr>
            </w:pPr>
            <w:r>
              <w:rPr>
                <w:rFonts w:ascii="Arial" w:cs="Arial" w:eastAsia="Arial" w:hAnsi="Arial"/>
                <w:sz w:val="1"/>
                <w:szCs w:val="1"/>
                <w:color w:val="auto"/>
              </w:rPr>
              <w:t>Insurance Benefits</w:t>
            </w:r>
          </w:p>
        </w:tc>
        <w:tc>
          <w:tcPr>
            <w:tcW w:w="16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tcPr>
          <w:p>
            <w:pPr>
              <w:ind w:left="1340"/>
              <w:spacing w:after="0"/>
              <w:rPr>
                <w:sz w:val="20"/>
                <w:szCs w:val="20"/>
                <w:color w:val="auto"/>
              </w:rPr>
            </w:pPr>
            <w:r>
              <w:rPr>
                <w:rFonts w:ascii="Arial" w:cs="Arial" w:eastAsia="Arial" w:hAnsi="Arial"/>
                <w:sz w:val="13"/>
                <w:szCs w:val="13"/>
                <w:color w:val="auto"/>
              </w:rPr>
              <w:t>(3)</w:t>
            </w:r>
          </w:p>
        </w:tc>
        <w:tc>
          <w:tcPr>
            <w:tcW w:w="1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0033A0"/>
              </w:rPr>
              <w:t>TOTAL</w:t>
            </w:r>
          </w:p>
        </w:tc>
        <w:tc>
          <w:tcPr>
            <w:tcW w:w="166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861,683</w:t>
            </w:r>
          </w:p>
        </w:tc>
        <w:tc>
          <w:tcPr>
            <w:tcW w:w="116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316,430</w:t>
            </w:r>
          </w:p>
        </w:tc>
        <w:tc>
          <w:tcPr>
            <w:tcW w:w="108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356,918</w:t>
            </w:r>
          </w:p>
        </w:tc>
        <w:tc>
          <w:tcPr>
            <w:tcW w:w="104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344,446</w:t>
            </w:r>
          </w:p>
        </w:tc>
        <w:tc>
          <w:tcPr>
            <w:tcW w:w="100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287,373</w:t>
            </w:r>
          </w:p>
        </w:tc>
        <w:tc>
          <w:tcPr>
            <w:tcW w:w="1200" w:type="dxa"/>
            <w:vAlign w:val="bottom"/>
            <w:tcBorders>
              <w:bottom w:val="single" w:sz="8" w:color="0033A0"/>
            </w:tcBorders>
          </w:tcPr>
          <w:p>
            <w:pPr>
              <w:jc w:val="right"/>
              <w:ind w:right="3"/>
              <w:spacing w:after="0"/>
              <w:rPr>
                <w:sz w:val="20"/>
                <w:szCs w:val="20"/>
                <w:color w:val="auto"/>
              </w:rPr>
            </w:pPr>
            <w:r>
              <w:rPr>
                <w:rFonts w:ascii="Arial" w:cs="Arial" w:eastAsia="Arial" w:hAnsi="Arial"/>
                <w:sz w:val="15"/>
                <w:szCs w:val="15"/>
                <w:color w:val="auto"/>
              </w:rPr>
              <w:t>12,563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60" w:hanging="432"/>
        <w:spacing w:after="0"/>
        <w:tabs>
          <w:tab w:leader="none" w:pos="960" w:val="left"/>
        </w:tabs>
        <w:numPr>
          <w:ilvl w:val="0"/>
          <w:numId w:val="118"/>
        </w:numPr>
        <w:rPr>
          <w:rFonts w:ascii="Arial" w:cs="Arial" w:eastAsia="Arial" w:hAnsi="Arial"/>
          <w:sz w:val="14"/>
          <w:szCs w:val="14"/>
          <w:i w:val="1"/>
          <w:iCs w:val="1"/>
          <w:color w:val="auto"/>
        </w:rPr>
      </w:pPr>
      <w:r>
        <w:rPr>
          <w:rFonts w:ascii="Arial" w:cs="Arial" w:eastAsia="Arial" w:hAnsi="Arial"/>
          <w:sz w:val="14"/>
          <w:szCs w:val="14"/>
          <w:i w:val="1"/>
          <w:iCs w:val="1"/>
          <w:color w:val="auto"/>
        </w:rPr>
        <w:t>See Perquisites and Other Personal Benefits table below for additional information.</w:t>
      </w:r>
    </w:p>
    <w:p>
      <w:pPr>
        <w:spacing w:after="0" w:line="68" w:lineRule="exact"/>
        <w:rPr>
          <w:rFonts w:ascii="Arial" w:cs="Arial" w:eastAsia="Arial" w:hAnsi="Arial"/>
          <w:sz w:val="14"/>
          <w:szCs w:val="14"/>
          <w:i w:val="1"/>
          <w:iCs w:val="1"/>
          <w:color w:val="auto"/>
        </w:rPr>
      </w:pPr>
    </w:p>
    <w:p>
      <w:pPr>
        <w:ind w:left="960" w:hanging="432"/>
        <w:spacing w:after="0"/>
        <w:tabs>
          <w:tab w:leader="none" w:pos="960" w:val="left"/>
        </w:tabs>
        <w:numPr>
          <w:ilvl w:val="0"/>
          <w:numId w:val="1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employer contributions to tax-qualified and non-tax-qualified savings and retirement plans during 2017.</w:t>
      </w:r>
    </w:p>
    <w:p>
      <w:pPr>
        <w:spacing w:after="0" w:line="68" w:lineRule="exact"/>
        <w:rPr>
          <w:rFonts w:ascii="Arial" w:cs="Arial" w:eastAsia="Arial" w:hAnsi="Arial"/>
          <w:sz w:val="14"/>
          <w:szCs w:val="14"/>
          <w:i w:val="1"/>
          <w:iCs w:val="1"/>
          <w:color w:val="auto"/>
        </w:rPr>
      </w:pPr>
    </w:p>
    <w:p>
      <w:pPr>
        <w:jc w:val="both"/>
        <w:ind w:left="960" w:hanging="432"/>
        <w:spacing w:after="0" w:line="260" w:lineRule="auto"/>
        <w:tabs>
          <w:tab w:leader="none" w:pos="960" w:val="left"/>
        </w:tabs>
        <w:numPr>
          <w:ilvl w:val="0"/>
          <w:numId w:val="1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Perquisites and Other Personal Benefits</w:t>
      </w:r>
    </w:p>
    <w:p>
      <w:pPr>
        <w:spacing w:after="0" w:line="91"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2540" w:type="dxa"/>
            <w:vAlign w:val="bottom"/>
            <w:tcBorders>
              <w:top w:val="single" w:sz="8" w:color="00A1DF"/>
            </w:tcBorders>
          </w:tcPr>
          <w:p>
            <w:pPr>
              <w:spacing w:after="0"/>
              <w:rPr>
                <w:sz w:val="13"/>
                <w:szCs w:val="13"/>
                <w:color w:val="auto"/>
              </w:rPr>
            </w:pPr>
          </w:p>
        </w:tc>
        <w:tc>
          <w:tcPr>
            <w:tcW w:w="1280" w:type="dxa"/>
            <w:vAlign w:val="bottom"/>
            <w:tcBorders>
              <w:top w:val="single" w:sz="8" w:color="00A1DF"/>
            </w:tcBorders>
          </w:tcPr>
          <w:p>
            <w:pPr>
              <w:jc w:val="right"/>
              <w:ind w:right="78"/>
              <w:spacing w:after="0" w:line="154" w:lineRule="exact"/>
              <w:rPr>
                <w:sz w:val="20"/>
                <w:szCs w:val="20"/>
                <w:color w:val="auto"/>
              </w:rPr>
            </w:pPr>
            <w:r>
              <w:rPr>
                <w:rFonts w:ascii="Arial" w:cs="Arial" w:eastAsia="Arial" w:hAnsi="Arial"/>
                <w:sz w:val="15"/>
                <w:szCs w:val="15"/>
                <w:b w:val="1"/>
                <w:bCs w:val="1"/>
                <w:color w:val="00A1DF"/>
              </w:rPr>
              <w:t>M.T. Barra</w:t>
            </w:r>
          </w:p>
        </w:tc>
        <w:tc>
          <w:tcPr>
            <w:tcW w:w="1240" w:type="dxa"/>
            <w:vAlign w:val="bottom"/>
            <w:tcBorders>
              <w:top w:val="single" w:sz="8" w:color="00A1DF"/>
            </w:tcBorders>
          </w:tcPr>
          <w:p>
            <w:pPr>
              <w:jc w:val="right"/>
              <w:ind w:right="78"/>
              <w:spacing w:after="0" w:line="154" w:lineRule="exact"/>
              <w:rPr>
                <w:sz w:val="20"/>
                <w:szCs w:val="20"/>
                <w:color w:val="auto"/>
              </w:rPr>
            </w:pPr>
            <w:r>
              <w:rPr>
                <w:rFonts w:ascii="Arial" w:cs="Arial" w:eastAsia="Arial" w:hAnsi="Arial"/>
                <w:sz w:val="15"/>
                <w:szCs w:val="15"/>
                <w:b w:val="1"/>
                <w:bCs w:val="1"/>
                <w:color w:val="00A1DF"/>
              </w:rPr>
              <w:t>C.K. Stevens</w:t>
            </w:r>
          </w:p>
        </w:tc>
        <w:tc>
          <w:tcPr>
            <w:tcW w:w="1160" w:type="dxa"/>
            <w:vAlign w:val="bottom"/>
            <w:tcBorders>
              <w:top w:val="single" w:sz="8" w:color="00A1DF"/>
            </w:tcBorders>
          </w:tcPr>
          <w:p>
            <w:pPr>
              <w:jc w:val="right"/>
              <w:ind w:right="98"/>
              <w:spacing w:after="0" w:line="154" w:lineRule="exact"/>
              <w:rPr>
                <w:sz w:val="20"/>
                <w:szCs w:val="20"/>
                <w:color w:val="auto"/>
              </w:rPr>
            </w:pPr>
            <w:r>
              <w:rPr>
                <w:rFonts w:ascii="Arial" w:cs="Arial" w:eastAsia="Arial" w:hAnsi="Arial"/>
                <w:sz w:val="15"/>
                <w:szCs w:val="15"/>
                <w:b w:val="1"/>
                <w:bCs w:val="1"/>
                <w:color w:val="00A1DF"/>
              </w:rPr>
              <w:t>D. Ammann</w:t>
            </w:r>
          </w:p>
        </w:tc>
        <w:tc>
          <w:tcPr>
            <w:tcW w:w="1100" w:type="dxa"/>
            <w:vAlign w:val="bottom"/>
            <w:tcBorders>
              <w:top w:val="single" w:sz="8" w:color="00A1DF"/>
            </w:tcBorders>
          </w:tcPr>
          <w:p>
            <w:pPr>
              <w:jc w:val="right"/>
              <w:ind w:right="78"/>
              <w:spacing w:after="0" w:line="154" w:lineRule="exact"/>
              <w:rPr>
                <w:sz w:val="20"/>
                <w:szCs w:val="20"/>
                <w:color w:val="auto"/>
              </w:rPr>
            </w:pPr>
            <w:r>
              <w:rPr>
                <w:rFonts w:ascii="Arial" w:cs="Arial" w:eastAsia="Arial" w:hAnsi="Arial"/>
                <w:sz w:val="15"/>
                <w:szCs w:val="15"/>
                <w:b w:val="1"/>
                <w:bCs w:val="1"/>
                <w:color w:val="00A1DF"/>
              </w:rPr>
              <w:t>M.L. Reuss</w:t>
            </w:r>
          </w:p>
        </w:tc>
        <w:tc>
          <w:tcPr>
            <w:tcW w:w="1060" w:type="dxa"/>
            <w:vAlign w:val="bottom"/>
            <w:tcBorders>
              <w:top w:val="single" w:sz="8" w:color="00A1DF"/>
            </w:tcBorders>
          </w:tcPr>
          <w:p>
            <w:pPr>
              <w:jc w:val="right"/>
              <w:ind w:right="78"/>
              <w:spacing w:after="0" w:line="154" w:lineRule="exact"/>
              <w:rPr>
                <w:sz w:val="20"/>
                <w:szCs w:val="20"/>
                <w:color w:val="auto"/>
              </w:rPr>
            </w:pPr>
            <w:r>
              <w:rPr>
                <w:rFonts w:ascii="Arial" w:cs="Arial" w:eastAsia="Arial" w:hAnsi="Arial"/>
                <w:sz w:val="15"/>
                <w:szCs w:val="15"/>
                <w:b w:val="1"/>
                <w:bCs w:val="1"/>
                <w:color w:val="00A1DF"/>
              </w:rPr>
              <w:t>A.S. Batey</w:t>
            </w:r>
          </w:p>
        </w:tc>
        <w:tc>
          <w:tcPr>
            <w:tcW w:w="1240" w:type="dxa"/>
            <w:vAlign w:val="bottom"/>
            <w:tcBorders>
              <w:top w:val="single" w:sz="8" w:color="00A1DF"/>
            </w:tcBorders>
          </w:tcPr>
          <w:p>
            <w:pPr>
              <w:jc w:val="right"/>
              <w:ind w:right="18"/>
              <w:spacing w:after="0" w:line="154" w:lineRule="exact"/>
              <w:rPr>
                <w:sz w:val="20"/>
                <w:szCs w:val="20"/>
                <w:color w:val="auto"/>
              </w:rPr>
            </w:pPr>
            <w:r>
              <w:rPr>
                <w:rFonts w:ascii="Arial" w:cs="Arial" w:eastAsia="Arial" w:hAnsi="Arial"/>
                <w:sz w:val="15"/>
                <w:szCs w:val="15"/>
                <w:b w:val="1"/>
                <w:bCs w:val="1"/>
                <w:color w:val="00A1DF"/>
              </w:rPr>
              <w:t>K.T. Neumann</w:t>
            </w:r>
          </w:p>
        </w:tc>
      </w:tr>
      <w:tr>
        <w:trPr>
          <w:trHeight w:val="202"/>
        </w:trPr>
        <w:tc>
          <w:tcPr>
            <w:tcW w:w="2540" w:type="dxa"/>
            <w:vAlign w:val="bottom"/>
          </w:tcPr>
          <w:p>
            <w:pPr>
              <w:spacing w:after="0"/>
              <w:rPr>
                <w:sz w:val="17"/>
                <w:szCs w:val="17"/>
                <w:color w:val="auto"/>
              </w:rPr>
            </w:pPr>
          </w:p>
        </w:tc>
        <w:tc>
          <w:tcPr>
            <w:tcW w:w="1280" w:type="dxa"/>
            <w:vAlign w:val="bottom"/>
          </w:tcPr>
          <w:p>
            <w:pPr>
              <w:jc w:val="right"/>
              <w:ind w:right="78"/>
              <w:spacing w:after="0"/>
              <w:rPr>
                <w:sz w:val="20"/>
                <w:szCs w:val="20"/>
                <w:color w:val="auto"/>
              </w:rPr>
            </w:pPr>
            <w:r>
              <w:rPr>
                <w:rFonts w:ascii="Arial" w:cs="Arial" w:eastAsia="Arial" w:hAnsi="Arial"/>
                <w:sz w:val="15"/>
                <w:szCs w:val="15"/>
                <w:b w:val="1"/>
                <w:bCs w:val="1"/>
                <w:color w:val="00A1DF"/>
              </w:rPr>
              <w:t>($)</w:t>
            </w:r>
          </w:p>
        </w:tc>
        <w:tc>
          <w:tcPr>
            <w:tcW w:w="1240" w:type="dxa"/>
            <w:vAlign w:val="bottom"/>
          </w:tcPr>
          <w:p>
            <w:pPr>
              <w:jc w:val="right"/>
              <w:ind w:right="78"/>
              <w:spacing w:after="0"/>
              <w:rPr>
                <w:sz w:val="20"/>
                <w:szCs w:val="20"/>
                <w:color w:val="auto"/>
              </w:rPr>
            </w:pPr>
            <w:r>
              <w:rPr>
                <w:rFonts w:ascii="Arial" w:cs="Arial" w:eastAsia="Arial" w:hAnsi="Arial"/>
                <w:sz w:val="15"/>
                <w:szCs w:val="15"/>
                <w:b w:val="1"/>
                <w:bCs w:val="1"/>
                <w:color w:val="00A1DF"/>
              </w:rPr>
              <w:t>($)</w:t>
            </w:r>
          </w:p>
        </w:tc>
        <w:tc>
          <w:tcPr>
            <w:tcW w:w="1160" w:type="dxa"/>
            <w:vAlign w:val="bottom"/>
          </w:tcPr>
          <w:p>
            <w:pPr>
              <w:jc w:val="right"/>
              <w:ind w:right="98"/>
              <w:spacing w:after="0"/>
              <w:rPr>
                <w:sz w:val="20"/>
                <w:szCs w:val="20"/>
                <w:color w:val="auto"/>
              </w:rPr>
            </w:pPr>
            <w:r>
              <w:rPr>
                <w:rFonts w:ascii="Arial" w:cs="Arial" w:eastAsia="Arial" w:hAnsi="Arial"/>
                <w:sz w:val="15"/>
                <w:szCs w:val="15"/>
                <w:b w:val="1"/>
                <w:bCs w:val="1"/>
                <w:color w:val="00A1DF"/>
              </w:rPr>
              <w:t>($)</w:t>
            </w:r>
          </w:p>
        </w:tc>
        <w:tc>
          <w:tcPr>
            <w:tcW w:w="1100" w:type="dxa"/>
            <w:vAlign w:val="bottom"/>
          </w:tcPr>
          <w:p>
            <w:pPr>
              <w:jc w:val="right"/>
              <w:ind w:right="78"/>
              <w:spacing w:after="0"/>
              <w:rPr>
                <w:sz w:val="20"/>
                <w:szCs w:val="20"/>
                <w:color w:val="auto"/>
              </w:rPr>
            </w:pPr>
            <w:r>
              <w:rPr>
                <w:rFonts w:ascii="Arial" w:cs="Arial" w:eastAsia="Arial" w:hAnsi="Arial"/>
                <w:sz w:val="15"/>
                <w:szCs w:val="15"/>
                <w:b w:val="1"/>
                <w:bCs w:val="1"/>
                <w:color w:val="00A1DF"/>
              </w:rPr>
              <w:t>($)</w:t>
            </w:r>
          </w:p>
        </w:tc>
        <w:tc>
          <w:tcPr>
            <w:tcW w:w="1060" w:type="dxa"/>
            <w:vAlign w:val="bottom"/>
          </w:tcPr>
          <w:p>
            <w:pPr>
              <w:jc w:val="right"/>
              <w:ind w:right="78"/>
              <w:spacing w:after="0"/>
              <w:rPr>
                <w:sz w:val="20"/>
                <w:szCs w:val="20"/>
                <w:color w:val="auto"/>
              </w:rPr>
            </w:pPr>
            <w:r>
              <w:rPr>
                <w:rFonts w:ascii="Arial" w:cs="Arial" w:eastAsia="Arial" w:hAnsi="Arial"/>
                <w:sz w:val="15"/>
                <w:szCs w:val="15"/>
                <w:b w:val="1"/>
                <w:bCs w:val="1"/>
                <w:color w:val="00A1DF"/>
              </w:rPr>
              <w:t>($)</w:t>
            </w:r>
          </w:p>
        </w:tc>
        <w:tc>
          <w:tcPr>
            <w:tcW w:w="1240" w:type="dxa"/>
            <w:vAlign w:val="bottom"/>
          </w:tcPr>
          <w:p>
            <w:pPr>
              <w:jc w:val="right"/>
              <w:ind w:right="18"/>
              <w:spacing w:after="0"/>
              <w:rPr>
                <w:sz w:val="20"/>
                <w:szCs w:val="20"/>
                <w:color w:val="auto"/>
              </w:rPr>
            </w:pPr>
            <w:r>
              <w:rPr>
                <w:rFonts w:ascii="Arial" w:cs="Arial" w:eastAsia="Arial" w:hAnsi="Arial"/>
                <w:sz w:val="15"/>
                <w:szCs w:val="15"/>
                <w:b w:val="1"/>
                <w:bCs w:val="1"/>
                <w:color w:val="00A1DF"/>
              </w:rPr>
              <w:t>($)</w:t>
            </w:r>
          </w:p>
        </w:tc>
      </w:tr>
      <w:tr>
        <w:trPr>
          <w:trHeight w:val="62"/>
        </w:trPr>
        <w:tc>
          <w:tcPr>
            <w:tcW w:w="25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17"/>
        </w:trPr>
        <w:tc>
          <w:tcPr>
            <w:tcW w:w="2540" w:type="dxa"/>
            <w:vAlign w:val="bottom"/>
            <w:shd w:val="clear" w:color="auto" w:fill="00A1DF"/>
          </w:tcPr>
          <w:p>
            <w:pPr>
              <w:ind w:left="80"/>
              <w:spacing w:after="0" w:line="18" w:lineRule="exact"/>
              <w:rPr>
                <w:sz w:val="20"/>
                <w:szCs w:val="20"/>
                <w:color w:val="auto"/>
              </w:rPr>
            </w:pPr>
            <w:r>
              <w:rPr>
                <w:rFonts w:ascii="Arial" w:cs="Arial" w:eastAsia="Arial" w:hAnsi="Arial"/>
                <w:sz w:val="2"/>
                <w:szCs w:val="2"/>
                <w:color w:val="auto"/>
              </w:rPr>
              <w:t>Personal Travel</w:t>
            </w:r>
          </w:p>
        </w:tc>
        <w:tc>
          <w:tcPr>
            <w:tcW w:w="1280" w:type="dxa"/>
            <w:vAlign w:val="bottom"/>
            <w:shd w:val="clear" w:color="auto" w:fill="00A1DF"/>
          </w:tcPr>
          <w:p>
            <w:pPr>
              <w:jc w:val="right"/>
              <w:ind w:right="78"/>
              <w:spacing w:after="0" w:line="18" w:lineRule="exact"/>
              <w:rPr>
                <w:sz w:val="20"/>
                <w:szCs w:val="20"/>
                <w:color w:val="auto"/>
              </w:rPr>
            </w:pPr>
            <w:r>
              <w:rPr>
                <w:rFonts w:ascii="Arial" w:cs="Arial" w:eastAsia="Arial" w:hAnsi="Arial"/>
                <w:sz w:val="2"/>
                <w:szCs w:val="2"/>
                <w:color w:val="auto"/>
              </w:rPr>
              <w:t>168,085</w:t>
            </w:r>
          </w:p>
        </w:tc>
        <w:tc>
          <w:tcPr>
            <w:tcW w:w="1240" w:type="dxa"/>
            <w:vAlign w:val="bottom"/>
            <w:shd w:val="clear" w:color="auto" w:fill="00A1DF"/>
          </w:tcPr>
          <w:p>
            <w:pPr>
              <w:jc w:val="right"/>
              <w:ind w:right="78"/>
              <w:spacing w:after="0" w:line="18" w:lineRule="exact"/>
              <w:rPr>
                <w:sz w:val="20"/>
                <w:szCs w:val="20"/>
                <w:color w:val="auto"/>
              </w:rPr>
            </w:pPr>
            <w:r>
              <w:rPr>
                <w:rFonts w:ascii="Arial" w:cs="Arial" w:eastAsia="Arial" w:hAnsi="Arial"/>
                <w:sz w:val="2"/>
                <w:szCs w:val="2"/>
                <w:color w:val="auto"/>
              </w:rPr>
              <w:t>—</w:t>
            </w:r>
          </w:p>
        </w:tc>
        <w:tc>
          <w:tcPr>
            <w:tcW w:w="1160" w:type="dxa"/>
            <w:vAlign w:val="bottom"/>
            <w:shd w:val="clear" w:color="auto" w:fill="00A1DF"/>
          </w:tcPr>
          <w:p>
            <w:pPr>
              <w:jc w:val="right"/>
              <w:ind w:right="98"/>
              <w:spacing w:after="0" w:line="18" w:lineRule="exact"/>
              <w:rPr>
                <w:sz w:val="20"/>
                <w:szCs w:val="20"/>
                <w:color w:val="auto"/>
              </w:rPr>
            </w:pPr>
            <w:r>
              <w:rPr>
                <w:rFonts w:ascii="Arial" w:cs="Arial" w:eastAsia="Arial" w:hAnsi="Arial"/>
                <w:sz w:val="2"/>
                <w:szCs w:val="2"/>
                <w:color w:val="auto"/>
              </w:rPr>
              <w:t>14,690</w:t>
            </w:r>
          </w:p>
        </w:tc>
        <w:tc>
          <w:tcPr>
            <w:tcW w:w="1100" w:type="dxa"/>
            <w:vAlign w:val="bottom"/>
            <w:shd w:val="clear" w:color="auto" w:fill="00A1DF"/>
          </w:tcPr>
          <w:p>
            <w:pPr>
              <w:jc w:val="right"/>
              <w:ind w:right="78"/>
              <w:spacing w:after="0" w:line="18" w:lineRule="exact"/>
              <w:rPr>
                <w:sz w:val="20"/>
                <w:szCs w:val="20"/>
                <w:color w:val="auto"/>
              </w:rPr>
            </w:pPr>
            <w:r>
              <w:rPr>
                <w:rFonts w:ascii="Arial" w:cs="Arial" w:eastAsia="Arial" w:hAnsi="Arial"/>
                <w:sz w:val="2"/>
                <w:szCs w:val="2"/>
                <w:color w:val="auto"/>
              </w:rPr>
              <w:t>—</w:t>
            </w:r>
          </w:p>
        </w:tc>
        <w:tc>
          <w:tcPr>
            <w:tcW w:w="1060" w:type="dxa"/>
            <w:vAlign w:val="bottom"/>
            <w:shd w:val="clear" w:color="auto" w:fill="00A1DF"/>
          </w:tcPr>
          <w:p>
            <w:pPr>
              <w:jc w:val="right"/>
              <w:ind w:right="78"/>
              <w:spacing w:after="0" w:line="18" w:lineRule="exact"/>
              <w:rPr>
                <w:sz w:val="20"/>
                <w:szCs w:val="20"/>
                <w:color w:val="auto"/>
              </w:rPr>
            </w:pPr>
            <w:r>
              <w:rPr>
                <w:rFonts w:ascii="Arial" w:cs="Arial" w:eastAsia="Arial" w:hAnsi="Arial"/>
                <w:sz w:val="2"/>
                <w:szCs w:val="2"/>
                <w:color w:val="auto"/>
              </w:rPr>
              <w:t>—</w:t>
            </w:r>
          </w:p>
        </w:tc>
        <w:tc>
          <w:tcPr>
            <w:tcW w:w="1240" w:type="dxa"/>
            <w:vAlign w:val="bottom"/>
            <w:shd w:val="clear" w:color="auto" w:fill="00A1DF"/>
          </w:tcPr>
          <w:p>
            <w:pPr>
              <w:jc w:val="right"/>
              <w:ind w:right="18"/>
              <w:spacing w:after="0" w:line="18" w:lineRule="exact"/>
              <w:rPr>
                <w:sz w:val="20"/>
                <w:szCs w:val="20"/>
                <w:color w:val="auto"/>
              </w:rPr>
            </w:pPr>
            <w:r>
              <w:rPr>
                <w:rFonts w:ascii="Arial" w:cs="Arial" w:eastAsia="Arial" w:hAnsi="Arial"/>
                <w:sz w:val="2"/>
                <w:szCs w:val="2"/>
                <w:color w:val="auto"/>
              </w:rPr>
              <w:t>—</w:t>
            </w:r>
          </w:p>
        </w:tc>
      </w:tr>
      <w:tr>
        <w:trPr>
          <w:trHeight w:val="156"/>
        </w:trPr>
        <w:tc>
          <w:tcPr>
            <w:tcW w:w="2540" w:type="dxa"/>
            <w:vAlign w:val="bottom"/>
          </w:tcPr>
          <w:p>
            <w:pPr>
              <w:ind w:left="1140"/>
              <w:spacing w:after="0"/>
              <w:rPr>
                <w:sz w:val="20"/>
                <w:szCs w:val="20"/>
                <w:color w:val="auto"/>
              </w:rPr>
            </w:pPr>
            <w:r>
              <w:rPr>
                <w:rFonts w:ascii="Arial" w:cs="Arial" w:eastAsia="Arial" w:hAnsi="Arial"/>
                <w:sz w:val="13"/>
                <w:szCs w:val="13"/>
                <w:color w:val="auto"/>
              </w:rPr>
              <w:t>(1)</w:t>
            </w: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
        </w:trPr>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7"/>
        </w:trPr>
        <w:tc>
          <w:tcPr>
            <w:tcW w:w="2540" w:type="dxa"/>
            <w:vAlign w:val="bottom"/>
            <w:shd w:val="clear" w:color="auto" w:fill="000000"/>
          </w:tcPr>
          <w:p>
            <w:pPr>
              <w:ind w:left="80"/>
              <w:spacing w:after="0" w:line="18" w:lineRule="exact"/>
              <w:rPr>
                <w:sz w:val="20"/>
                <w:szCs w:val="20"/>
                <w:color w:val="auto"/>
              </w:rPr>
            </w:pPr>
            <w:r>
              <w:rPr>
                <w:rFonts w:ascii="Arial" w:cs="Arial" w:eastAsia="Arial" w:hAnsi="Arial"/>
                <w:sz w:val="2"/>
                <w:szCs w:val="2"/>
                <w:color w:val="auto"/>
              </w:rPr>
              <w:t>Security</w:t>
            </w:r>
          </w:p>
        </w:tc>
        <w:tc>
          <w:tcPr>
            <w:tcW w:w="1280" w:type="dxa"/>
            <w:vAlign w:val="bottom"/>
            <w:shd w:val="clear" w:color="auto" w:fill="000000"/>
          </w:tcPr>
          <w:p>
            <w:pPr>
              <w:jc w:val="right"/>
              <w:ind w:right="78"/>
              <w:spacing w:after="0" w:line="18" w:lineRule="exact"/>
              <w:rPr>
                <w:sz w:val="20"/>
                <w:szCs w:val="20"/>
                <w:color w:val="auto"/>
              </w:rPr>
            </w:pPr>
            <w:r>
              <w:rPr>
                <w:rFonts w:ascii="Arial" w:cs="Arial" w:eastAsia="Arial" w:hAnsi="Arial"/>
                <w:sz w:val="2"/>
                <w:szCs w:val="2"/>
                <w:color w:val="auto"/>
              </w:rPr>
              <w:t>12,597</w:t>
            </w:r>
          </w:p>
        </w:tc>
        <w:tc>
          <w:tcPr>
            <w:tcW w:w="1240" w:type="dxa"/>
            <w:vAlign w:val="bottom"/>
            <w:shd w:val="clear" w:color="auto" w:fill="000000"/>
          </w:tcPr>
          <w:p>
            <w:pPr>
              <w:jc w:val="right"/>
              <w:ind w:right="78"/>
              <w:spacing w:after="0" w:line="18" w:lineRule="exact"/>
              <w:rPr>
                <w:sz w:val="20"/>
                <w:szCs w:val="20"/>
                <w:color w:val="auto"/>
              </w:rPr>
            </w:pPr>
            <w:r>
              <w:rPr>
                <w:rFonts w:ascii="Arial" w:cs="Arial" w:eastAsia="Arial" w:hAnsi="Arial"/>
                <w:sz w:val="2"/>
                <w:szCs w:val="2"/>
                <w:color w:val="auto"/>
              </w:rPr>
              <w:t>—</w:t>
            </w:r>
          </w:p>
        </w:tc>
        <w:tc>
          <w:tcPr>
            <w:tcW w:w="1160" w:type="dxa"/>
            <w:vAlign w:val="bottom"/>
            <w:shd w:val="clear" w:color="auto" w:fill="000000"/>
          </w:tcPr>
          <w:p>
            <w:pPr>
              <w:jc w:val="right"/>
              <w:ind w:right="98"/>
              <w:spacing w:after="0" w:line="18" w:lineRule="exact"/>
              <w:rPr>
                <w:sz w:val="20"/>
                <w:szCs w:val="20"/>
                <w:color w:val="auto"/>
              </w:rPr>
            </w:pPr>
            <w:r>
              <w:rPr>
                <w:rFonts w:ascii="Arial" w:cs="Arial" w:eastAsia="Arial" w:hAnsi="Arial"/>
                <w:sz w:val="2"/>
                <w:szCs w:val="2"/>
                <w:color w:val="auto"/>
              </w:rPr>
              <w:t>37,511</w:t>
            </w:r>
          </w:p>
        </w:tc>
        <w:tc>
          <w:tcPr>
            <w:tcW w:w="1100" w:type="dxa"/>
            <w:vAlign w:val="bottom"/>
            <w:shd w:val="clear" w:color="auto" w:fill="000000"/>
          </w:tcPr>
          <w:p>
            <w:pPr>
              <w:jc w:val="right"/>
              <w:ind w:right="78"/>
              <w:spacing w:after="0" w:line="18" w:lineRule="exact"/>
              <w:rPr>
                <w:sz w:val="20"/>
                <w:szCs w:val="20"/>
                <w:color w:val="auto"/>
              </w:rPr>
            </w:pPr>
            <w:r>
              <w:rPr>
                <w:rFonts w:ascii="Arial" w:cs="Arial" w:eastAsia="Arial" w:hAnsi="Arial"/>
                <w:sz w:val="2"/>
                <w:szCs w:val="2"/>
                <w:color w:val="auto"/>
              </w:rPr>
              <w:t>—</w:t>
            </w:r>
          </w:p>
        </w:tc>
        <w:tc>
          <w:tcPr>
            <w:tcW w:w="1060" w:type="dxa"/>
            <w:vAlign w:val="bottom"/>
            <w:shd w:val="clear" w:color="auto" w:fill="000000"/>
          </w:tcPr>
          <w:p>
            <w:pPr>
              <w:jc w:val="right"/>
              <w:ind w:right="78"/>
              <w:spacing w:after="0" w:line="18" w:lineRule="exact"/>
              <w:rPr>
                <w:sz w:val="20"/>
                <w:szCs w:val="20"/>
                <w:color w:val="auto"/>
              </w:rPr>
            </w:pPr>
            <w:r>
              <w:rPr>
                <w:rFonts w:ascii="Arial" w:cs="Arial" w:eastAsia="Arial" w:hAnsi="Arial"/>
                <w:sz w:val="2"/>
                <w:szCs w:val="2"/>
                <w:color w:val="auto"/>
              </w:rPr>
              <w:t>—</w:t>
            </w:r>
          </w:p>
        </w:tc>
        <w:tc>
          <w:tcPr>
            <w:tcW w:w="1240" w:type="dxa"/>
            <w:vAlign w:val="bottom"/>
            <w:shd w:val="clear" w:color="auto" w:fill="000000"/>
          </w:tcPr>
          <w:p>
            <w:pPr>
              <w:jc w:val="right"/>
              <w:ind w:right="18"/>
              <w:spacing w:after="0" w:line="18" w:lineRule="exact"/>
              <w:rPr>
                <w:sz w:val="20"/>
                <w:szCs w:val="20"/>
                <w:color w:val="auto"/>
              </w:rPr>
            </w:pPr>
            <w:r>
              <w:rPr>
                <w:rFonts w:ascii="Arial" w:cs="Arial" w:eastAsia="Arial" w:hAnsi="Arial"/>
                <w:sz w:val="2"/>
                <w:szCs w:val="2"/>
                <w:color w:val="auto"/>
              </w:rPr>
              <w:t>—</w:t>
            </w:r>
          </w:p>
        </w:tc>
      </w:tr>
      <w:tr>
        <w:trPr>
          <w:trHeight w:val="156"/>
        </w:trPr>
        <w:tc>
          <w:tcPr>
            <w:tcW w:w="2540" w:type="dxa"/>
            <w:vAlign w:val="bottom"/>
          </w:tcPr>
          <w:p>
            <w:pPr>
              <w:ind w:left="620"/>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
        </w:trPr>
        <w:tc>
          <w:tcPr>
            <w:tcW w:w="2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Company Vehicle Programs</w:t>
            </w:r>
            <w:r>
              <w:rPr>
                <w:rFonts w:ascii="Arial" w:cs="Arial" w:eastAsia="Arial" w:hAnsi="Arial"/>
                <w:sz w:val="13"/>
                <w:szCs w:val="13"/>
                <w:color w:val="auto"/>
              </w:rPr>
              <w:t>(3)</w:t>
            </w: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37,031</w:t>
            </w: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23,647</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rPr>
              <w:t>33,387</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28,990</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25,210</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rPr>
              <w:t>12,563</w:t>
            </w:r>
          </w:p>
        </w:tc>
      </w:tr>
      <w:tr>
        <w:trPr>
          <w:trHeight w:val="183"/>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Executive Physical</w:t>
            </w:r>
            <w:r>
              <w:rPr>
                <w:rFonts w:ascii="Arial" w:cs="Arial" w:eastAsia="Arial" w:hAnsi="Arial"/>
                <w:sz w:val="13"/>
                <w:szCs w:val="13"/>
                <w:color w:val="auto"/>
              </w:rPr>
              <w:t>(4)</w:t>
            </w: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5,250</w:t>
            </w: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5,250</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5,000</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rPr>
              <w:t>—</w:t>
            </w:r>
          </w:p>
        </w:tc>
      </w:tr>
      <w:tr>
        <w:trPr>
          <w:trHeight w:val="183"/>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Financial Counseling</w:t>
            </w:r>
            <w:r>
              <w:rPr>
                <w:rFonts w:ascii="Arial" w:cs="Arial" w:eastAsia="Arial" w:hAnsi="Arial"/>
                <w:sz w:val="13"/>
                <w:szCs w:val="13"/>
                <w:color w:val="auto"/>
              </w:rPr>
              <w:t>(5)</w:t>
            </w: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10,360</w:t>
            </w: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10,360</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rPr>
              <w:t>10,360</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10,360</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10,360</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rPr>
              <w:t>—</w:t>
            </w:r>
          </w:p>
        </w:tc>
      </w:tr>
      <w:tr>
        <w:trPr>
          <w:trHeight w:val="183"/>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Other</w:t>
            </w:r>
            <w:r>
              <w:rPr>
                <w:rFonts w:ascii="Arial" w:cs="Arial" w:eastAsia="Arial" w:hAnsi="Arial"/>
                <w:sz w:val="13"/>
                <w:szCs w:val="13"/>
                <w:color w:val="auto"/>
              </w:rPr>
              <w:t>(6)</w:t>
            </w: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rPr>
              <w:t>—</w:t>
            </w:r>
          </w:p>
        </w:tc>
      </w:tr>
      <w:tr>
        <w:trPr>
          <w:trHeight w:val="185"/>
        </w:trPr>
        <w:tc>
          <w:tcPr>
            <w:tcW w:w="254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auto"/>
              </w:rPr>
              <w:t>TOTAL</w:t>
            </w:r>
          </w:p>
        </w:tc>
        <w:tc>
          <w:tcPr>
            <w:tcW w:w="1280" w:type="dxa"/>
            <w:vAlign w:val="bottom"/>
            <w:tcBorders>
              <w:bottom w:val="single" w:sz="8" w:color="0033A0"/>
            </w:tcBorders>
          </w:tcPr>
          <w:p>
            <w:pPr>
              <w:jc w:val="right"/>
              <w:ind w:right="78"/>
              <w:spacing w:after="0"/>
              <w:rPr>
                <w:sz w:val="20"/>
                <w:szCs w:val="20"/>
                <w:color w:val="auto"/>
              </w:rPr>
            </w:pPr>
            <w:r>
              <w:rPr>
                <w:rFonts w:ascii="Arial" w:cs="Arial" w:eastAsia="Arial" w:hAnsi="Arial"/>
                <w:sz w:val="15"/>
                <w:szCs w:val="15"/>
                <w:color w:val="auto"/>
              </w:rPr>
              <w:t>233,323</w:t>
            </w:r>
          </w:p>
        </w:tc>
        <w:tc>
          <w:tcPr>
            <w:tcW w:w="1240" w:type="dxa"/>
            <w:vAlign w:val="bottom"/>
            <w:tcBorders>
              <w:bottom w:val="single" w:sz="8" w:color="0033A0"/>
            </w:tcBorders>
          </w:tcPr>
          <w:p>
            <w:pPr>
              <w:jc w:val="right"/>
              <w:ind w:right="78"/>
              <w:spacing w:after="0"/>
              <w:rPr>
                <w:sz w:val="20"/>
                <w:szCs w:val="20"/>
                <w:color w:val="auto"/>
              </w:rPr>
            </w:pPr>
            <w:r>
              <w:rPr>
                <w:rFonts w:ascii="Arial" w:cs="Arial" w:eastAsia="Arial" w:hAnsi="Arial"/>
                <w:sz w:val="15"/>
                <w:szCs w:val="15"/>
                <w:color w:val="auto"/>
              </w:rPr>
              <w:t>39,257</w:t>
            </w:r>
          </w:p>
        </w:tc>
        <w:tc>
          <w:tcPr>
            <w:tcW w:w="1160" w:type="dxa"/>
            <w:vAlign w:val="bottom"/>
            <w:tcBorders>
              <w:bottom w:val="single" w:sz="8" w:color="0033A0"/>
            </w:tcBorders>
          </w:tcPr>
          <w:p>
            <w:pPr>
              <w:jc w:val="right"/>
              <w:ind w:right="98"/>
              <w:spacing w:after="0"/>
              <w:rPr>
                <w:sz w:val="20"/>
                <w:szCs w:val="20"/>
                <w:color w:val="auto"/>
              </w:rPr>
            </w:pPr>
            <w:r>
              <w:rPr>
                <w:rFonts w:ascii="Arial" w:cs="Arial" w:eastAsia="Arial" w:hAnsi="Arial"/>
                <w:sz w:val="15"/>
                <w:szCs w:val="15"/>
                <w:color w:val="auto"/>
              </w:rPr>
              <w:t>95,948</w:t>
            </w:r>
          </w:p>
        </w:tc>
        <w:tc>
          <w:tcPr>
            <w:tcW w:w="1100" w:type="dxa"/>
            <w:vAlign w:val="bottom"/>
            <w:tcBorders>
              <w:bottom w:val="single" w:sz="8" w:color="0033A0"/>
            </w:tcBorders>
          </w:tcPr>
          <w:p>
            <w:pPr>
              <w:jc w:val="right"/>
              <w:ind w:right="78"/>
              <w:spacing w:after="0"/>
              <w:rPr>
                <w:sz w:val="20"/>
                <w:szCs w:val="20"/>
                <w:color w:val="auto"/>
              </w:rPr>
            </w:pPr>
            <w:r>
              <w:rPr>
                <w:rFonts w:ascii="Arial" w:cs="Arial" w:eastAsia="Arial" w:hAnsi="Arial"/>
                <w:sz w:val="15"/>
                <w:szCs w:val="15"/>
                <w:color w:val="auto"/>
              </w:rPr>
              <w:t>44,350</w:t>
            </w:r>
          </w:p>
        </w:tc>
        <w:tc>
          <w:tcPr>
            <w:tcW w:w="1060" w:type="dxa"/>
            <w:vAlign w:val="bottom"/>
            <w:tcBorders>
              <w:bottom w:val="single" w:sz="8" w:color="0033A0"/>
            </w:tcBorders>
          </w:tcPr>
          <w:p>
            <w:pPr>
              <w:jc w:val="right"/>
              <w:ind w:right="78"/>
              <w:spacing w:after="0"/>
              <w:rPr>
                <w:sz w:val="20"/>
                <w:szCs w:val="20"/>
                <w:color w:val="auto"/>
              </w:rPr>
            </w:pPr>
            <w:r>
              <w:rPr>
                <w:rFonts w:ascii="Arial" w:cs="Arial" w:eastAsia="Arial" w:hAnsi="Arial"/>
                <w:sz w:val="15"/>
                <w:szCs w:val="15"/>
                <w:color w:val="auto"/>
              </w:rPr>
              <w:t>35,570</w:t>
            </w:r>
          </w:p>
        </w:tc>
        <w:tc>
          <w:tcPr>
            <w:tcW w:w="1240" w:type="dxa"/>
            <w:vAlign w:val="bottom"/>
            <w:tcBorders>
              <w:bottom w:val="single" w:sz="8" w:color="0033A0"/>
            </w:tcBorders>
          </w:tcPr>
          <w:p>
            <w:pPr>
              <w:jc w:val="right"/>
              <w:ind w:right="18"/>
              <w:spacing w:after="0"/>
              <w:rPr>
                <w:sz w:val="20"/>
                <w:szCs w:val="20"/>
                <w:color w:val="auto"/>
              </w:rPr>
            </w:pPr>
            <w:r>
              <w:rPr>
                <w:rFonts w:ascii="Arial" w:cs="Arial" w:eastAsia="Arial" w:hAnsi="Arial"/>
                <w:sz w:val="15"/>
                <w:szCs w:val="15"/>
                <w:color w:val="auto"/>
              </w:rPr>
              <w:t>12,563</w:t>
            </w:r>
          </w:p>
        </w:tc>
      </w:tr>
    </w:tbl>
    <w:p>
      <w:pPr>
        <w:spacing w:after="0" w:line="58" w:lineRule="exact"/>
        <w:rPr>
          <w:sz w:val="20"/>
          <w:szCs w:val="20"/>
          <w:color w:val="auto"/>
        </w:rPr>
      </w:pPr>
    </w:p>
    <w:p>
      <w:pPr>
        <w:jc w:val="both"/>
        <w:ind w:left="960" w:hanging="432"/>
        <w:spacing w:after="0" w:line="267" w:lineRule="auto"/>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Personal travel pursuant to Company policy as discussed on page 43 includes both the full cost of chartered aircraft and the incremental cost when using Company-owned aircraft. Incremental costs include fuel, flight crew expenses, landing fees, ground transportation fees, and other miscellaneous variable expenses.</w:t>
      </w:r>
    </w:p>
    <w:p>
      <w:pPr>
        <w:spacing w:after="0" w:line="195" w:lineRule="exact"/>
        <w:rPr>
          <w:rFonts w:ascii="Arial" w:cs="Arial" w:eastAsia="Arial" w:hAnsi="Arial"/>
          <w:sz w:val="14"/>
          <w:szCs w:val="14"/>
          <w:i w:val="1"/>
          <w:iCs w:val="1"/>
          <w:color w:val="auto"/>
        </w:rPr>
      </w:pPr>
    </w:p>
    <w:p>
      <w:pPr>
        <w:ind w:left="960" w:hanging="432"/>
        <w:spacing w:after="0"/>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the actual costs of residential security system monitoring for Ms. Barra and Mr. Ammann as recommended by independent security consultants.</w:t>
      </w:r>
    </w:p>
    <w:p>
      <w:pPr>
        <w:spacing w:after="0" w:line="68" w:lineRule="exact"/>
        <w:rPr>
          <w:rFonts w:ascii="Arial" w:cs="Arial" w:eastAsia="Arial" w:hAnsi="Arial"/>
          <w:sz w:val="14"/>
          <w:szCs w:val="14"/>
          <w:i w:val="1"/>
          <w:iCs w:val="1"/>
          <w:color w:val="auto"/>
        </w:rPr>
      </w:pPr>
    </w:p>
    <w:p>
      <w:pPr>
        <w:jc w:val="both"/>
        <w:ind w:left="960" w:hanging="432"/>
        <w:spacing w:after="0" w:line="254" w:lineRule="auto"/>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Company vehicle programs includes the cost of providing cars and drivers and the estimated annual lease value of the Company vehicles, inclusive of fuel and insurance, driven by NEOs.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34" w:lineRule="exact"/>
        <w:rPr>
          <w:rFonts w:ascii="Arial" w:cs="Arial" w:eastAsia="Arial" w:hAnsi="Arial"/>
          <w:sz w:val="14"/>
          <w:szCs w:val="14"/>
          <w:i w:val="1"/>
          <w:iCs w:val="1"/>
          <w:color w:val="auto"/>
        </w:rPr>
      </w:pPr>
    </w:p>
    <w:p>
      <w:pPr>
        <w:ind w:left="960" w:hanging="432"/>
        <w:spacing w:after="0"/>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executive physicals for each executive with approved providers.</w:t>
      </w:r>
    </w:p>
    <w:p>
      <w:pPr>
        <w:spacing w:after="0" w:line="68" w:lineRule="exact"/>
        <w:rPr>
          <w:rFonts w:ascii="Arial" w:cs="Arial" w:eastAsia="Arial" w:hAnsi="Arial"/>
          <w:sz w:val="14"/>
          <w:szCs w:val="14"/>
          <w:i w:val="1"/>
          <w:iCs w:val="1"/>
          <w:color w:val="auto"/>
        </w:rPr>
      </w:pPr>
    </w:p>
    <w:p>
      <w:pPr>
        <w:ind w:left="960" w:hanging="432"/>
        <w:spacing w:after="0"/>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financial counseling and estate planning services with approved providers.</w:t>
      </w:r>
    </w:p>
    <w:p>
      <w:pPr>
        <w:spacing w:after="0" w:line="68" w:lineRule="exact"/>
        <w:rPr>
          <w:rFonts w:ascii="Arial" w:cs="Arial" w:eastAsia="Arial" w:hAnsi="Arial"/>
          <w:sz w:val="14"/>
          <w:szCs w:val="14"/>
          <w:i w:val="1"/>
          <w:iCs w:val="1"/>
          <w:color w:val="auto"/>
        </w:rPr>
      </w:pPr>
    </w:p>
    <w:p>
      <w:pPr>
        <w:jc w:val="both"/>
        <w:ind w:left="960" w:hanging="432"/>
        <w:spacing w:after="0" w:line="260" w:lineRule="auto"/>
        <w:tabs>
          <w:tab w:leader="none" w:pos="96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Occasionally unused tickets from sponsorship agreements are made available for personal use. Tickets are included in sponsorship agreements and typically result in no incremental costs to the Company. The value represents the incremental costs associated with the personal use of tickets to GM-sponsored events. Occasionally, souvenirs such as jerseys may be included as part of a sponsorship agreements and no incremental costs are incurred by the Company.</w:t>
      </w:r>
    </w:p>
    <w:p>
      <w:pPr>
        <w:spacing w:after="0" w:line="126"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25"/>
          <w:szCs w:val="25"/>
          <w:color w:val="0033A0"/>
        </w:rPr>
      </w:pPr>
      <w:r>
        <w:rPr>
          <w:rFonts w:ascii="Arial" w:cs="Arial" w:eastAsia="Arial" w:hAnsi="Arial"/>
          <w:sz w:val="25"/>
          <w:szCs w:val="25"/>
          <w:color w:val="auto"/>
        </w:rPr>
        <w:t>Grants of Plan–Based Awards</w:t>
      </w:r>
    </w:p>
    <w:p>
      <w:pPr>
        <w:sectPr>
          <w:pgSz w:w="11900" w:h="16838" w:orient="portrait"/>
          <w:cols w:equalWidth="0" w:num="1">
            <w:col w:w="11260"/>
          </w:cols>
          <w:pgMar w:left="240" w:top="459" w:right="399" w:bottom="1440" w:gutter="0" w:footer="0" w:header="0"/>
        </w:sectPr>
      </w:pPr>
    </w:p>
    <w:p>
      <w:pPr>
        <w:spacing w:after="0" w:line="28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STIP awards for the 2017 performance year were made under the terms of the 2014 STIP, PSU equity grants were made to each NEO under the terms of the 2014 LTIP, and Stock Options were granted under the terms of the 2017 LTIP. PSUs, which vest and deliver at the end of the performance period, will be earned</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at a level between 0% and 200% of target. PSUs are based on the achievement of performance conditions relating to Relative ROIC-adjusted and Relative TSR over a three-year performance period from January 1, 2017 to December 31, 2019. The Stock Options will vest ratably over the three-year period.</w:t>
      </w:r>
    </w:p>
    <w:p>
      <w:pPr>
        <w:spacing w:after="0" w:line="200"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127"/>
        </w:trPr>
        <w:tc>
          <w:tcPr>
            <w:tcW w:w="1700" w:type="dxa"/>
            <w:vAlign w:val="bottom"/>
            <w:tcBorders>
              <w:top w:val="single" w:sz="8" w:color="00A1DF"/>
            </w:tcBorders>
          </w:tcPr>
          <w:p>
            <w:pPr>
              <w:spacing w:after="0"/>
              <w:rPr>
                <w:sz w:val="11"/>
                <w:szCs w:val="11"/>
                <w:color w:val="auto"/>
              </w:rPr>
            </w:pPr>
          </w:p>
        </w:tc>
        <w:tc>
          <w:tcPr>
            <w:tcW w:w="640" w:type="dxa"/>
            <w:vAlign w:val="bottom"/>
            <w:tcBorders>
              <w:top w:val="single" w:sz="8" w:color="00A1DF"/>
            </w:tcBorders>
          </w:tcPr>
          <w:p>
            <w:pPr>
              <w:spacing w:after="0"/>
              <w:rPr>
                <w:sz w:val="11"/>
                <w:szCs w:val="11"/>
                <w:color w:val="auto"/>
              </w:rPr>
            </w:pPr>
          </w:p>
        </w:tc>
        <w:tc>
          <w:tcPr>
            <w:tcW w:w="700" w:type="dxa"/>
            <w:vAlign w:val="bottom"/>
            <w:tcBorders>
              <w:top w:val="single" w:sz="8" w:color="00A1DF"/>
            </w:tcBorders>
          </w:tcPr>
          <w:p>
            <w:pPr>
              <w:spacing w:after="0"/>
              <w:rPr>
                <w:sz w:val="11"/>
                <w:szCs w:val="11"/>
                <w:color w:val="auto"/>
              </w:rPr>
            </w:pPr>
          </w:p>
        </w:tc>
        <w:tc>
          <w:tcPr>
            <w:tcW w:w="680" w:type="dxa"/>
            <w:vAlign w:val="bottom"/>
            <w:tcBorders>
              <w:top w:val="single" w:sz="8" w:color="00A1DF"/>
            </w:tcBorders>
          </w:tcPr>
          <w:p>
            <w:pPr>
              <w:spacing w:after="0"/>
              <w:rPr>
                <w:sz w:val="11"/>
                <w:szCs w:val="11"/>
                <w:color w:val="auto"/>
              </w:rPr>
            </w:pPr>
          </w:p>
        </w:tc>
        <w:tc>
          <w:tcPr>
            <w:tcW w:w="700" w:type="dxa"/>
            <w:vAlign w:val="bottom"/>
            <w:tcBorders>
              <w:top w:val="single" w:sz="8" w:color="00A1DF"/>
            </w:tcBorders>
          </w:tcPr>
          <w:p>
            <w:pPr>
              <w:spacing w:after="0"/>
              <w:rPr>
                <w:sz w:val="11"/>
                <w:szCs w:val="11"/>
                <w:color w:val="auto"/>
              </w:rPr>
            </w:pPr>
          </w:p>
        </w:tc>
        <w:tc>
          <w:tcPr>
            <w:tcW w:w="820" w:type="dxa"/>
            <w:vAlign w:val="bottom"/>
            <w:tcBorders>
              <w:top w:val="single" w:sz="8" w:color="00A1DF"/>
            </w:tcBorders>
          </w:tcPr>
          <w:p>
            <w:pPr>
              <w:spacing w:after="0"/>
              <w:rPr>
                <w:sz w:val="11"/>
                <w:szCs w:val="11"/>
                <w:color w:val="auto"/>
              </w:rPr>
            </w:pPr>
          </w:p>
        </w:tc>
        <w:tc>
          <w:tcPr>
            <w:tcW w:w="680" w:type="dxa"/>
            <w:vAlign w:val="bottom"/>
            <w:tcBorders>
              <w:top w:val="single" w:sz="8" w:color="00A1DF"/>
            </w:tcBorders>
          </w:tcPr>
          <w:p>
            <w:pPr>
              <w:spacing w:after="0"/>
              <w:rPr>
                <w:sz w:val="11"/>
                <w:szCs w:val="11"/>
                <w:color w:val="auto"/>
              </w:rPr>
            </w:pPr>
          </w:p>
        </w:tc>
        <w:tc>
          <w:tcPr>
            <w:tcW w:w="760" w:type="dxa"/>
            <w:vAlign w:val="bottom"/>
            <w:tcBorders>
              <w:top w:val="single" w:sz="8" w:color="00A1DF"/>
            </w:tcBorders>
          </w:tcPr>
          <w:p>
            <w:pPr>
              <w:spacing w:after="0"/>
              <w:rPr>
                <w:sz w:val="11"/>
                <w:szCs w:val="11"/>
                <w:color w:val="auto"/>
              </w:rPr>
            </w:pPr>
          </w:p>
        </w:tc>
        <w:tc>
          <w:tcPr>
            <w:tcW w:w="660" w:type="dxa"/>
            <w:vAlign w:val="bottom"/>
            <w:tcBorders>
              <w:top w:val="single" w:sz="8" w:color="00A1DF"/>
            </w:tcBorders>
          </w:tcPr>
          <w:p>
            <w:pPr>
              <w:spacing w:after="0"/>
              <w:rPr>
                <w:sz w:val="11"/>
                <w:szCs w:val="11"/>
                <w:color w:val="auto"/>
              </w:rPr>
            </w:pPr>
          </w:p>
        </w:tc>
        <w:tc>
          <w:tcPr>
            <w:tcW w:w="660" w:type="dxa"/>
            <w:vAlign w:val="bottom"/>
            <w:tcBorders>
              <w:top w:val="single" w:sz="8" w:color="00A1DF"/>
            </w:tcBorders>
          </w:tcPr>
          <w:p>
            <w:pPr>
              <w:spacing w:after="0"/>
              <w:rPr>
                <w:sz w:val="11"/>
                <w:szCs w:val="11"/>
                <w:color w:val="auto"/>
              </w:rPr>
            </w:pPr>
          </w:p>
        </w:tc>
        <w:tc>
          <w:tcPr>
            <w:tcW w:w="740" w:type="dxa"/>
            <w:vAlign w:val="bottom"/>
            <w:tcBorders>
              <w:top w:val="single" w:sz="8" w:color="00A1DF"/>
            </w:tcBorders>
            <w:gridSpan w:val="2"/>
          </w:tcPr>
          <w:p>
            <w:pPr>
              <w:jc w:val="center"/>
              <w:spacing w:after="0" w:line="127" w:lineRule="exact"/>
              <w:rPr>
                <w:sz w:val="20"/>
                <w:szCs w:val="20"/>
                <w:color w:val="auto"/>
              </w:rPr>
            </w:pPr>
            <w:r>
              <w:rPr>
                <w:rFonts w:ascii="Arial" w:cs="Arial" w:eastAsia="Arial" w:hAnsi="Arial"/>
                <w:sz w:val="13"/>
                <w:szCs w:val="13"/>
                <w:b w:val="1"/>
                <w:bCs w:val="1"/>
                <w:color w:val="00A1DF"/>
                <w:w w:val="94"/>
              </w:rPr>
              <w:t>All Other</w:t>
            </w:r>
          </w:p>
        </w:tc>
        <w:tc>
          <w:tcPr>
            <w:tcW w:w="780" w:type="dxa"/>
            <w:vAlign w:val="bottom"/>
            <w:tcBorders>
              <w:top w:val="single" w:sz="8" w:color="00A1DF"/>
            </w:tcBorders>
            <w:gridSpan w:val="2"/>
          </w:tcPr>
          <w:p>
            <w:pPr>
              <w:jc w:val="center"/>
              <w:spacing w:after="0" w:line="127" w:lineRule="exact"/>
              <w:rPr>
                <w:sz w:val="20"/>
                <w:szCs w:val="20"/>
                <w:color w:val="auto"/>
              </w:rPr>
            </w:pPr>
            <w:r>
              <w:rPr>
                <w:rFonts w:ascii="Arial" w:cs="Arial" w:eastAsia="Arial" w:hAnsi="Arial"/>
                <w:sz w:val="13"/>
                <w:szCs w:val="13"/>
                <w:b w:val="1"/>
                <w:bCs w:val="1"/>
                <w:color w:val="00A1DF"/>
                <w:w w:val="94"/>
              </w:rPr>
              <w:t>All Other</w:t>
            </w:r>
          </w:p>
        </w:tc>
        <w:tc>
          <w:tcPr>
            <w:tcW w:w="600" w:type="dxa"/>
            <w:vAlign w:val="bottom"/>
            <w:tcBorders>
              <w:top w:val="single" w:sz="8" w:color="00A1DF"/>
            </w:tcBorders>
          </w:tcPr>
          <w:p>
            <w:pPr>
              <w:spacing w:after="0"/>
              <w:rPr>
                <w:sz w:val="11"/>
                <w:szCs w:val="11"/>
                <w:color w:val="auto"/>
              </w:rPr>
            </w:pPr>
          </w:p>
        </w:tc>
        <w:tc>
          <w:tcPr>
            <w:tcW w:w="40" w:type="dxa"/>
            <w:vAlign w:val="bottom"/>
            <w:tcBorders>
              <w:top w:val="single" w:sz="8" w:color="00A1DF"/>
            </w:tcBorders>
          </w:tcPr>
          <w:p>
            <w:pPr>
              <w:spacing w:after="0"/>
              <w:rPr>
                <w:sz w:val="11"/>
                <w:szCs w:val="11"/>
                <w:color w:val="auto"/>
              </w:rPr>
            </w:pPr>
          </w:p>
        </w:tc>
        <w:tc>
          <w:tcPr>
            <w:tcW w:w="800" w:type="dxa"/>
            <w:vAlign w:val="bottom"/>
            <w:tcBorders>
              <w:top w:val="single" w:sz="8" w:color="00A1DF"/>
            </w:tcBorders>
          </w:tcPr>
          <w:p>
            <w:pPr>
              <w:spacing w:after="0"/>
              <w:rPr>
                <w:sz w:val="11"/>
                <w:szCs w:val="11"/>
                <w:color w:val="auto"/>
              </w:rPr>
            </w:pPr>
          </w:p>
        </w:tc>
        <w:tc>
          <w:tcPr>
            <w:tcW w:w="60" w:type="dxa"/>
            <w:vAlign w:val="bottom"/>
            <w:tcBorders>
              <w:top w:val="single" w:sz="8" w:color="00A1D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A1DF"/>
                <w:w w:val="97"/>
              </w:rPr>
              <w:t>Estimated Future Payouts</w:t>
            </w:r>
          </w:p>
        </w:tc>
        <w:tc>
          <w:tcPr>
            <w:tcW w:w="2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A1DF"/>
                <w:w w:val="97"/>
              </w:rPr>
              <w:t>Estimated Future Payouts</w:t>
            </w: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A1DF"/>
                <w:w w:val="95"/>
              </w:rPr>
              <w:t>Stock</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A1DF"/>
                <w:w w:val="95"/>
              </w:rPr>
              <w:t>Option</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00A1DF"/>
              </w:rPr>
              <w:t>Exercise</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74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00A1DF"/>
                <w:w w:val="93"/>
              </w:rPr>
              <w:t>Awards:</w:t>
            </w:r>
          </w:p>
        </w:tc>
        <w:tc>
          <w:tcPr>
            <w:tcW w:w="78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00A1DF"/>
                <w:w w:val="93"/>
              </w:rPr>
              <w:t>Awards:</w:t>
            </w:r>
          </w:p>
        </w:tc>
        <w:tc>
          <w:tcPr>
            <w:tcW w:w="64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00A1DF"/>
                <w:w w:val="96"/>
              </w:rPr>
              <w:t>or Base</w:t>
            </w:r>
          </w:p>
        </w:tc>
        <w:tc>
          <w:tcPr>
            <w:tcW w:w="860" w:type="dxa"/>
            <w:vAlign w:val="bottom"/>
            <w:gridSpan w:val="2"/>
          </w:tcPr>
          <w:p>
            <w:pPr>
              <w:jc w:val="center"/>
              <w:ind w:right="20"/>
              <w:spacing w:after="0" w:line="130" w:lineRule="exact"/>
              <w:rPr>
                <w:sz w:val="20"/>
                <w:szCs w:val="20"/>
                <w:color w:val="auto"/>
              </w:rPr>
            </w:pPr>
            <w:r>
              <w:rPr>
                <w:rFonts w:ascii="Arial" w:cs="Arial" w:eastAsia="Arial" w:hAnsi="Arial"/>
                <w:sz w:val="13"/>
                <w:szCs w:val="13"/>
                <w:b w:val="1"/>
                <w:bCs w:val="1"/>
                <w:color w:val="00A1DF"/>
                <w:w w:val="96"/>
              </w:rPr>
              <w:t>Grant Date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A1DF"/>
                <w:w w:val="96"/>
              </w:rPr>
              <w:t>Under Non-Equity Incentive</w:t>
            </w:r>
          </w:p>
        </w:tc>
        <w:tc>
          <w:tcPr>
            <w:tcW w:w="20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A1DF"/>
                <w:w w:val="96"/>
              </w:rPr>
              <w:t>Under Equity Incentive</w:t>
            </w: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A1DF"/>
                <w:w w:val="98"/>
              </w:rPr>
              <w:t>Number of</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A1DF"/>
                <w:w w:val="98"/>
              </w:rPr>
              <w:t>Number of</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A1DF"/>
                <w:w w:val="96"/>
              </w:rPr>
              <w:t>Price of</w:t>
            </w: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00A1DF"/>
                <w:w w:val="96"/>
              </w:rPr>
              <w:t>Fair Value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Borders>
              <w:bottom w:val="single" w:sz="8" w:color="00A1DF"/>
            </w:tcBorders>
          </w:tcPr>
          <w:p>
            <w:pPr>
              <w:spacing w:after="0"/>
              <w:rPr>
                <w:sz w:val="11"/>
                <w:szCs w:val="11"/>
                <w:color w:val="auto"/>
              </w:rPr>
            </w:pPr>
          </w:p>
        </w:tc>
        <w:tc>
          <w:tcPr>
            <w:tcW w:w="820" w:type="dxa"/>
            <w:vAlign w:val="bottom"/>
            <w:tcBorders>
              <w:bottom w:val="single" w:sz="8" w:color="00A1DF"/>
            </w:tcBorders>
          </w:tcPr>
          <w:p>
            <w:pPr>
              <w:jc w:val="center"/>
              <w:spacing w:after="0" w:line="115" w:lineRule="exact"/>
              <w:rPr>
                <w:sz w:val="20"/>
                <w:szCs w:val="20"/>
                <w:color w:val="auto"/>
              </w:rPr>
            </w:pPr>
            <w:r>
              <w:rPr>
                <w:rFonts w:ascii="Arial" w:cs="Arial" w:eastAsia="Arial" w:hAnsi="Arial"/>
                <w:sz w:val="13"/>
                <w:szCs w:val="13"/>
                <w:b w:val="1"/>
                <w:bCs w:val="1"/>
                <w:color w:val="00A1DF"/>
                <w:w w:val="97"/>
              </w:rPr>
              <w:t>Plan Awards</w:t>
            </w:r>
          </w:p>
        </w:tc>
        <w:tc>
          <w:tcPr>
            <w:tcW w:w="680" w:type="dxa"/>
            <w:vAlign w:val="bottom"/>
            <w:tcBorders>
              <w:bottom w:val="single" w:sz="8" w:color="00A1DF"/>
            </w:tcBorders>
          </w:tcPr>
          <w:p>
            <w:pPr>
              <w:spacing w:after="0"/>
              <w:rPr>
                <w:sz w:val="11"/>
                <w:szCs w:val="11"/>
                <w:color w:val="auto"/>
              </w:rPr>
            </w:pPr>
          </w:p>
        </w:tc>
        <w:tc>
          <w:tcPr>
            <w:tcW w:w="1420" w:type="dxa"/>
            <w:vAlign w:val="bottom"/>
            <w:tcBorders>
              <w:bottom w:val="single" w:sz="8" w:color="00A1DF"/>
            </w:tcBorders>
            <w:gridSpan w:val="2"/>
          </w:tcPr>
          <w:p>
            <w:pPr>
              <w:jc w:val="center"/>
              <w:ind w:left="597"/>
              <w:spacing w:after="0" w:line="115" w:lineRule="exact"/>
              <w:rPr>
                <w:sz w:val="20"/>
                <w:szCs w:val="20"/>
                <w:color w:val="auto"/>
              </w:rPr>
            </w:pPr>
            <w:r>
              <w:rPr>
                <w:rFonts w:ascii="Arial" w:cs="Arial" w:eastAsia="Arial" w:hAnsi="Arial"/>
                <w:sz w:val="13"/>
                <w:szCs w:val="13"/>
                <w:b w:val="1"/>
                <w:bCs w:val="1"/>
                <w:color w:val="00A1DF"/>
                <w:w w:val="97"/>
              </w:rPr>
              <w:t>Plan Awards</w:t>
            </w:r>
          </w:p>
        </w:tc>
        <w:tc>
          <w:tcPr>
            <w:tcW w:w="660" w:type="dxa"/>
            <w:vAlign w:val="bottom"/>
            <w:tcBorders>
              <w:bottom w:val="single" w:sz="8" w:color="00A1DF"/>
            </w:tcBorders>
          </w:tcPr>
          <w:p>
            <w:pPr>
              <w:spacing w:after="0"/>
              <w:rPr>
                <w:sz w:val="11"/>
                <w:szCs w:val="11"/>
                <w:color w:val="auto"/>
              </w:rPr>
            </w:pPr>
          </w:p>
        </w:tc>
        <w:tc>
          <w:tcPr>
            <w:tcW w:w="7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00A1DF"/>
                <w:w w:val="94"/>
              </w:rPr>
              <w:t>Shares of</w:t>
            </w:r>
          </w:p>
        </w:tc>
        <w:tc>
          <w:tcPr>
            <w:tcW w:w="7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00A1DF"/>
                <w:w w:val="96"/>
              </w:rPr>
              <w:t>Securities</w:t>
            </w:r>
          </w:p>
        </w:tc>
        <w:tc>
          <w:tcPr>
            <w:tcW w:w="6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00A1DF"/>
              </w:rPr>
              <w:t>Option</w:t>
            </w:r>
          </w:p>
        </w:tc>
        <w:tc>
          <w:tcPr>
            <w:tcW w:w="860" w:type="dxa"/>
            <w:vAlign w:val="bottom"/>
            <w:gridSpan w:val="2"/>
          </w:tcPr>
          <w:p>
            <w:pPr>
              <w:jc w:val="center"/>
              <w:ind w:right="20"/>
              <w:spacing w:after="0" w:line="115" w:lineRule="exact"/>
              <w:rPr>
                <w:sz w:val="20"/>
                <w:szCs w:val="20"/>
                <w:color w:val="auto"/>
              </w:rPr>
            </w:pPr>
            <w:r>
              <w:rPr>
                <w:rFonts w:ascii="Arial" w:cs="Arial" w:eastAsia="Arial" w:hAnsi="Arial"/>
                <w:sz w:val="13"/>
                <w:szCs w:val="13"/>
                <w:b w:val="1"/>
                <w:bCs w:val="1"/>
                <w:color w:val="00A1DF"/>
                <w:w w:val="93"/>
              </w:rPr>
              <w:t>of Stock</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64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00A1DF"/>
              </w:rPr>
              <w:t>Award</w:t>
            </w: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00A1DF"/>
              </w:rPr>
              <w:t>Grant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00A1DF"/>
              </w:rPr>
              <w:t>Approval</w:t>
            </w: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00A1DF"/>
              </w:rPr>
              <w:t>Threshold</w:t>
            </w:r>
          </w:p>
        </w:tc>
        <w:tc>
          <w:tcPr>
            <w:tcW w:w="82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00A1DF"/>
              </w:rPr>
              <w:t>Target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00A1DF"/>
                <w:w w:val="99"/>
              </w:rPr>
              <w:t>Maximum</w:t>
            </w:r>
          </w:p>
        </w:tc>
        <w:tc>
          <w:tcPr>
            <w:tcW w:w="7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00A1DF"/>
              </w:rPr>
              <w:t>Threshold</w:t>
            </w: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00A1DF"/>
              </w:rPr>
              <w:t>Target</w:t>
            </w: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00A1DF"/>
                <w:w w:val="96"/>
              </w:rPr>
              <w:t>Maximum</w:t>
            </w:r>
          </w:p>
        </w:tc>
        <w:tc>
          <w:tcPr>
            <w:tcW w:w="7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00A1DF"/>
                <w:w w:val="99"/>
              </w:rPr>
              <w:t>Stock or</w:t>
            </w: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b w:val="1"/>
                <w:bCs w:val="1"/>
                <w:color w:val="00A1DF"/>
              </w:rPr>
              <w:t>Underlying</w:t>
            </w:r>
          </w:p>
        </w:tc>
        <w:tc>
          <w:tcPr>
            <w:tcW w:w="640" w:type="dxa"/>
            <w:vAlign w:val="bottom"/>
            <w:gridSpan w:val="2"/>
          </w:tcPr>
          <w:p>
            <w:pPr>
              <w:jc w:val="right"/>
              <w:ind w:right="40"/>
              <w:spacing w:after="0" w:line="129" w:lineRule="exact"/>
              <w:rPr>
                <w:sz w:val="20"/>
                <w:szCs w:val="20"/>
                <w:color w:val="auto"/>
              </w:rPr>
            </w:pPr>
            <w:r>
              <w:rPr>
                <w:rFonts w:ascii="Arial" w:cs="Arial" w:eastAsia="Arial" w:hAnsi="Arial"/>
                <w:sz w:val="13"/>
                <w:szCs w:val="13"/>
                <w:b w:val="1"/>
                <w:bCs w:val="1"/>
                <w:color w:val="00A1DF"/>
              </w:rPr>
              <w:t>Awards</w:t>
            </w:r>
          </w:p>
        </w:tc>
        <w:tc>
          <w:tcPr>
            <w:tcW w:w="86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00A1DF"/>
              </w:rPr>
              <w:t>and Option</w:t>
            </w:r>
          </w:p>
        </w:tc>
        <w:tc>
          <w:tcPr>
            <w:tcW w:w="0" w:type="dxa"/>
            <w:vAlign w:val="bottom"/>
          </w:tcPr>
          <w:p>
            <w:pPr>
              <w:spacing w:after="0"/>
              <w:rPr>
                <w:sz w:val="1"/>
                <w:szCs w:val="1"/>
                <w:color w:val="auto"/>
              </w:rPr>
            </w:pPr>
          </w:p>
        </w:tc>
      </w:tr>
      <w:tr>
        <w:trPr>
          <w:trHeight w:val="162"/>
        </w:trPr>
        <w:tc>
          <w:tcPr>
            <w:tcW w:w="1700" w:type="dxa"/>
            <w:vAlign w:val="bottom"/>
          </w:tcPr>
          <w:p>
            <w:pPr>
              <w:ind w:left="60"/>
              <w:spacing w:after="0"/>
              <w:rPr>
                <w:sz w:val="20"/>
                <w:szCs w:val="20"/>
                <w:color w:val="auto"/>
              </w:rPr>
            </w:pPr>
            <w:r>
              <w:rPr>
                <w:rFonts w:ascii="Arial" w:cs="Arial" w:eastAsia="Arial" w:hAnsi="Arial"/>
                <w:sz w:val="13"/>
                <w:szCs w:val="13"/>
                <w:b w:val="1"/>
                <w:bCs w:val="1"/>
                <w:color w:val="00A1DF"/>
              </w:rPr>
              <w:t>Name</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00A1DF"/>
              </w:rPr>
              <w:t>Type</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00A1DF"/>
              </w:rPr>
              <w:t>Date</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00A1DF"/>
              </w:rPr>
              <w:t>Date</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00A1DF"/>
              </w:rPr>
              <w:t>($)</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00A1DF"/>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00A1DF"/>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00A1DF"/>
              </w:rPr>
              <w:t>(#)</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00A1DF"/>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00A1DF"/>
              </w:rPr>
              <w:t>(#)</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00A1DF"/>
                <w:w w:val="99"/>
              </w:rPr>
              <w:t>Units (#)</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00A1DF"/>
              </w:rPr>
              <w:t>Options (#)</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u w:val="single" w:color="auto"/>
                <w:color w:val="00A1DF"/>
              </w:rPr>
              <w:t>($</w:t>
            </w:r>
            <w:r>
              <w:rPr>
                <w:rFonts w:ascii="Arial" w:cs="Arial" w:eastAsia="Arial" w:hAnsi="Arial"/>
                <w:sz w:val="13"/>
                <w:szCs w:val="13"/>
                <w:b w:val="1"/>
                <w:bCs w:val="1"/>
                <w:color w:val="00A1DF"/>
              </w:rPr>
              <w:t>/share)</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u w:val="single" w:color="auto"/>
                <w:color w:val="00A1DF"/>
                <w:w w:val="98"/>
              </w:rPr>
              <w:t>Awards($</w:t>
            </w:r>
            <w:r>
              <w:rPr>
                <w:rFonts w:ascii="Arial" w:cs="Arial" w:eastAsia="Arial" w:hAnsi="Arial"/>
                <w:sz w:val="13"/>
                <w:szCs w:val="13"/>
                <w:b w:val="1"/>
                <w:bCs w:val="1"/>
                <w:color w:val="00A1DF"/>
                <w:w w:val="98"/>
              </w:rPr>
              <w:t>)</w:t>
            </w:r>
            <w:r>
              <w:rPr>
                <w:rFonts w:ascii="Arial" w:cs="Arial" w:eastAsia="Arial" w:hAnsi="Arial"/>
                <w:sz w:val="10"/>
                <w:szCs w:val="10"/>
                <w:b w:val="1"/>
                <w:bCs w:val="1"/>
                <w:color w:val="00A1DF"/>
                <w:w w:val="98"/>
              </w:rPr>
              <w:t>(1)</w:t>
            </w:r>
          </w:p>
        </w:tc>
        <w:tc>
          <w:tcPr>
            <w:tcW w:w="0" w:type="dxa"/>
            <w:vAlign w:val="bottom"/>
          </w:tcPr>
          <w:p>
            <w:pPr>
              <w:spacing w:after="0"/>
              <w:rPr>
                <w:sz w:val="1"/>
                <w:szCs w:val="1"/>
                <w:color w:val="auto"/>
              </w:rPr>
            </w:pPr>
          </w:p>
        </w:tc>
      </w:tr>
      <w:tr>
        <w:trPr>
          <w:trHeight w:val="142"/>
        </w:trPr>
        <w:tc>
          <w:tcPr>
            <w:tcW w:w="1700" w:type="dxa"/>
            <w:vAlign w:val="bottom"/>
            <w:tcBorders>
              <w:top w:val="single" w:sz="8" w:color="00A1DF"/>
            </w:tcBorders>
          </w:tcPr>
          <w:p>
            <w:pPr>
              <w:ind w:left="60"/>
              <w:spacing w:after="0" w:line="143" w:lineRule="exact"/>
              <w:rPr>
                <w:sz w:val="20"/>
                <w:szCs w:val="20"/>
                <w:color w:val="auto"/>
              </w:rPr>
            </w:pPr>
            <w:r>
              <w:rPr>
                <w:rFonts w:ascii="Arial" w:cs="Arial" w:eastAsia="Arial" w:hAnsi="Arial"/>
                <w:sz w:val="13"/>
                <w:szCs w:val="13"/>
                <w:color w:val="auto"/>
              </w:rPr>
              <w:t>Mary T. Barra</w:t>
            </w:r>
          </w:p>
        </w:tc>
        <w:tc>
          <w:tcPr>
            <w:tcW w:w="640" w:type="dxa"/>
            <w:vAlign w:val="bottom"/>
            <w:tcBorders>
              <w:top w:val="single" w:sz="8" w:color="00A1DF"/>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top w:val="single" w:sz="8" w:color="00A1DF"/>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top w:val="single" w:sz="8" w:color="00A1DF"/>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top w:val="single" w:sz="8" w:color="00A1DF"/>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525,000</w:t>
            </w:r>
          </w:p>
        </w:tc>
        <w:tc>
          <w:tcPr>
            <w:tcW w:w="820" w:type="dxa"/>
            <w:vAlign w:val="bottom"/>
            <w:tcBorders>
              <w:top w:val="single" w:sz="8" w:color="00A1DF"/>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4,200,000</w:t>
            </w:r>
          </w:p>
        </w:tc>
        <w:tc>
          <w:tcPr>
            <w:tcW w:w="680" w:type="dxa"/>
            <w:vAlign w:val="bottom"/>
            <w:tcBorders>
              <w:top w:val="single" w:sz="8" w:color="00A1DF"/>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8,400,000</w:t>
            </w:r>
          </w:p>
        </w:tc>
        <w:tc>
          <w:tcPr>
            <w:tcW w:w="760" w:type="dxa"/>
            <w:vAlign w:val="bottom"/>
            <w:tcBorders>
              <w:top w:val="single" w:sz="8" w:color="00A1DF"/>
              <w:bottom w:val="single" w:sz="8" w:color="auto"/>
            </w:tcBorders>
          </w:tcPr>
          <w:p>
            <w:pPr>
              <w:spacing w:after="0"/>
              <w:rPr>
                <w:sz w:val="12"/>
                <w:szCs w:val="12"/>
                <w:color w:val="auto"/>
              </w:rPr>
            </w:pPr>
          </w:p>
        </w:tc>
        <w:tc>
          <w:tcPr>
            <w:tcW w:w="660" w:type="dxa"/>
            <w:vAlign w:val="bottom"/>
            <w:tcBorders>
              <w:top w:val="single" w:sz="8" w:color="00A1DF"/>
              <w:bottom w:val="single" w:sz="8" w:color="auto"/>
            </w:tcBorders>
          </w:tcPr>
          <w:p>
            <w:pPr>
              <w:spacing w:after="0"/>
              <w:rPr>
                <w:sz w:val="12"/>
                <w:szCs w:val="12"/>
                <w:color w:val="auto"/>
              </w:rPr>
            </w:pPr>
          </w:p>
        </w:tc>
        <w:tc>
          <w:tcPr>
            <w:tcW w:w="660" w:type="dxa"/>
            <w:vAlign w:val="bottom"/>
            <w:tcBorders>
              <w:top w:val="single" w:sz="8" w:color="00A1DF"/>
              <w:bottom w:val="single" w:sz="8" w:color="auto"/>
            </w:tcBorders>
          </w:tcPr>
          <w:p>
            <w:pPr>
              <w:spacing w:after="0"/>
              <w:rPr>
                <w:sz w:val="12"/>
                <w:szCs w:val="12"/>
                <w:color w:val="auto"/>
              </w:rPr>
            </w:pPr>
          </w:p>
        </w:tc>
        <w:tc>
          <w:tcPr>
            <w:tcW w:w="700" w:type="dxa"/>
            <w:vAlign w:val="bottom"/>
            <w:tcBorders>
              <w:top w:val="single" w:sz="8" w:color="00A1DF"/>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top w:val="single" w:sz="8" w:color="00A1DF"/>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top w:val="single" w:sz="8" w:color="00A1DF"/>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top w:val="single" w:sz="8" w:color="00A1DF"/>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652,611</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3,250,003</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43,200</w:t>
            </w:r>
          </w:p>
        </w:tc>
        <w:tc>
          <w:tcPr>
            <w:tcW w:w="66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261,816</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523,632</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10,737,570</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60"/>
              <w:spacing w:after="0" w:line="143" w:lineRule="exact"/>
              <w:rPr>
                <w:sz w:val="20"/>
                <w:szCs w:val="20"/>
                <w:color w:val="auto"/>
              </w:rPr>
            </w:pPr>
            <w:r>
              <w:rPr>
                <w:rFonts w:ascii="Arial" w:cs="Arial" w:eastAsia="Arial" w:hAnsi="Arial"/>
                <w:sz w:val="13"/>
                <w:szCs w:val="13"/>
                <w:color w:val="auto"/>
              </w:rPr>
              <w:t>Charles K. Stevens, III</w:t>
            </w: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171,875</w:t>
            </w:r>
          </w:p>
        </w:tc>
        <w:tc>
          <w:tcPr>
            <w:tcW w:w="8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1,375,000</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2,750,000</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186,998</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931,251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12,378</w:t>
            </w:r>
          </w:p>
        </w:tc>
        <w:tc>
          <w:tcPr>
            <w:tcW w:w="66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75,021</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150,042</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3,076,744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60"/>
              <w:spacing w:after="0" w:line="143" w:lineRule="exact"/>
              <w:rPr>
                <w:sz w:val="20"/>
                <w:szCs w:val="20"/>
                <w:color w:val="auto"/>
              </w:rPr>
            </w:pPr>
            <w:r>
              <w:rPr>
                <w:rFonts w:ascii="Arial" w:cs="Arial" w:eastAsia="Arial" w:hAnsi="Arial"/>
                <w:sz w:val="13"/>
                <w:szCs w:val="13"/>
                <w:color w:val="auto"/>
              </w:rPr>
              <w:t>Daniel Ammann</w:t>
            </w: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226,563</w:t>
            </w:r>
          </w:p>
        </w:tc>
        <w:tc>
          <w:tcPr>
            <w:tcW w:w="8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1,812,500</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3,625,000</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247,867</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1,234,378</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16,408</w:t>
            </w:r>
          </w:p>
        </w:tc>
        <w:tc>
          <w:tcPr>
            <w:tcW w:w="66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99,440</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198,880</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4,078,222</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60"/>
              <w:spacing w:after="0" w:line="143" w:lineRule="exact"/>
              <w:rPr>
                <w:sz w:val="20"/>
                <w:szCs w:val="20"/>
                <w:color w:val="auto"/>
              </w:rPr>
            </w:pPr>
            <w:r>
              <w:rPr>
                <w:rFonts w:ascii="Arial" w:cs="Arial" w:eastAsia="Arial" w:hAnsi="Arial"/>
                <w:sz w:val="13"/>
                <w:szCs w:val="13"/>
                <w:color w:val="auto"/>
              </w:rPr>
              <w:t>Mark L. Reuss</w:t>
            </w: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187,500</w:t>
            </w:r>
          </w:p>
        </w:tc>
        <w:tc>
          <w:tcPr>
            <w:tcW w:w="8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1,500,000</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3,000,000</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203,314</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1,012,504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13,458</w:t>
            </w:r>
          </w:p>
        </w:tc>
        <w:tc>
          <w:tcPr>
            <w:tcW w:w="66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81,566</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163,132</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3,345,168</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60"/>
              <w:spacing w:after="0" w:line="143" w:lineRule="exact"/>
              <w:rPr>
                <w:sz w:val="20"/>
                <w:szCs w:val="20"/>
                <w:color w:val="auto"/>
              </w:rPr>
            </w:pPr>
            <w:r>
              <w:rPr>
                <w:rFonts w:ascii="Arial" w:cs="Arial" w:eastAsia="Arial" w:hAnsi="Arial"/>
                <w:sz w:val="13"/>
                <w:szCs w:val="13"/>
                <w:color w:val="auto"/>
              </w:rPr>
              <w:t>Alan S. Batey</w:t>
            </w: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160,163</w:t>
            </w:r>
          </w:p>
        </w:tc>
        <w:tc>
          <w:tcPr>
            <w:tcW w:w="8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1,281,300</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2,562,600</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135,226</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673,426</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8,951</w:t>
            </w:r>
          </w:p>
        </w:tc>
        <w:tc>
          <w:tcPr>
            <w:tcW w:w="66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54,251</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108,502</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2,224,928</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60"/>
              <w:spacing w:after="0" w:line="143" w:lineRule="exact"/>
              <w:rPr>
                <w:sz w:val="20"/>
                <w:szCs w:val="20"/>
                <w:color w:val="auto"/>
              </w:rPr>
            </w:pPr>
            <w:r>
              <w:rPr>
                <w:rFonts w:ascii="Arial" w:cs="Arial" w:eastAsia="Arial" w:hAnsi="Arial"/>
                <w:sz w:val="13"/>
                <w:szCs w:val="13"/>
                <w:color w:val="auto"/>
              </w:rPr>
              <w:t>Karl-Thomas Neumann</w:t>
            </w: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STIP</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164,063</w:t>
            </w:r>
          </w:p>
        </w:tc>
        <w:tc>
          <w:tcPr>
            <w:tcW w:w="8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1,312,500</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2,625,000</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Options</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6/7/2017</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119,227</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34.34</w:t>
            </w: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593,751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0033A0"/>
            </w:tcBorders>
          </w:tcPr>
          <w:p>
            <w:pPr>
              <w:spacing w:after="0"/>
              <w:rPr>
                <w:sz w:val="12"/>
                <w:szCs w:val="12"/>
                <w:color w:val="auto"/>
              </w:rPr>
            </w:pPr>
          </w:p>
        </w:tc>
        <w:tc>
          <w:tcPr>
            <w:tcW w:w="640" w:type="dxa"/>
            <w:vAlign w:val="bottom"/>
            <w:tcBorders>
              <w:bottom w:val="single" w:sz="8" w:color="0033A0"/>
            </w:tcBorders>
          </w:tcPr>
          <w:p>
            <w:pPr>
              <w:jc w:val="right"/>
              <w:ind w:right="17"/>
              <w:spacing w:after="0" w:line="143" w:lineRule="exact"/>
              <w:rPr>
                <w:sz w:val="20"/>
                <w:szCs w:val="20"/>
                <w:color w:val="auto"/>
              </w:rPr>
            </w:pPr>
            <w:r>
              <w:rPr>
                <w:rFonts w:ascii="Arial" w:cs="Arial" w:eastAsia="Arial" w:hAnsi="Arial"/>
                <w:sz w:val="13"/>
                <w:szCs w:val="13"/>
                <w:color w:val="auto"/>
              </w:rPr>
              <w:t>PSU</w:t>
            </w:r>
          </w:p>
        </w:tc>
        <w:tc>
          <w:tcPr>
            <w:tcW w:w="700" w:type="dxa"/>
            <w:vAlign w:val="bottom"/>
            <w:tcBorders>
              <w:bottom w:val="single" w:sz="8" w:color="0033A0"/>
            </w:tcBorders>
          </w:tcPr>
          <w:p>
            <w:pPr>
              <w:jc w:val="right"/>
              <w:spacing w:after="0" w:line="143" w:lineRule="exact"/>
              <w:rPr>
                <w:sz w:val="20"/>
                <w:szCs w:val="20"/>
                <w:color w:val="auto"/>
              </w:rPr>
            </w:pPr>
            <w:r>
              <w:rPr>
                <w:rFonts w:ascii="Arial" w:cs="Arial" w:eastAsia="Arial" w:hAnsi="Arial"/>
                <w:sz w:val="13"/>
                <w:szCs w:val="13"/>
                <w:color w:val="auto"/>
              </w:rPr>
              <w:t>2/14/2017</w:t>
            </w:r>
          </w:p>
        </w:tc>
        <w:tc>
          <w:tcPr>
            <w:tcW w:w="680" w:type="dxa"/>
            <w:vAlign w:val="bottom"/>
            <w:tcBorders>
              <w:bottom w:val="single" w:sz="8" w:color="0033A0"/>
            </w:tcBorders>
          </w:tcPr>
          <w:p>
            <w:pPr>
              <w:jc w:val="right"/>
              <w:spacing w:after="0" w:line="143" w:lineRule="exact"/>
              <w:rPr>
                <w:sz w:val="20"/>
                <w:szCs w:val="20"/>
                <w:color w:val="auto"/>
              </w:rPr>
            </w:pPr>
            <w:r>
              <w:rPr>
                <w:rFonts w:ascii="Arial" w:cs="Arial" w:eastAsia="Arial" w:hAnsi="Arial"/>
                <w:sz w:val="13"/>
                <w:szCs w:val="13"/>
                <w:color w:val="auto"/>
              </w:rPr>
              <w:t>2/1/2017</w:t>
            </w:r>
          </w:p>
        </w:tc>
        <w:tc>
          <w:tcPr>
            <w:tcW w:w="700" w:type="dxa"/>
            <w:vAlign w:val="bottom"/>
            <w:tcBorders>
              <w:bottom w:val="single" w:sz="8" w:color="0033A0"/>
            </w:tcBorders>
          </w:tcPr>
          <w:p>
            <w:pPr>
              <w:spacing w:after="0"/>
              <w:rPr>
                <w:sz w:val="12"/>
                <w:szCs w:val="12"/>
                <w:color w:val="auto"/>
              </w:rPr>
            </w:pPr>
          </w:p>
        </w:tc>
        <w:tc>
          <w:tcPr>
            <w:tcW w:w="820" w:type="dxa"/>
            <w:vAlign w:val="bottom"/>
            <w:tcBorders>
              <w:bottom w:val="single" w:sz="8" w:color="0033A0"/>
            </w:tcBorders>
          </w:tcPr>
          <w:p>
            <w:pPr>
              <w:spacing w:after="0"/>
              <w:rPr>
                <w:sz w:val="12"/>
                <w:szCs w:val="12"/>
                <w:color w:val="auto"/>
              </w:rPr>
            </w:pPr>
          </w:p>
        </w:tc>
        <w:tc>
          <w:tcPr>
            <w:tcW w:w="680" w:type="dxa"/>
            <w:vAlign w:val="bottom"/>
            <w:tcBorders>
              <w:bottom w:val="single" w:sz="8" w:color="0033A0"/>
            </w:tcBorders>
          </w:tcPr>
          <w:p>
            <w:pPr>
              <w:spacing w:after="0"/>
              <w:rPr>
                <w:sz w:val="12"/>
                <w:szCs w:val="12"/>
                <w:color w:val="auto"/>
              </w:rPr>
            </w:pPr>
          </w:p>
        </w:tc>
        <w:tc>
          <w:tcPr>
            <w:tcW w:w="760" w:type="dxa"/>
            <w:vAlign w:val="bottom"/>
            <w:tcBorders>
              <w:bottom w:val="single" w:sz="8" w:color="0033A0"/>
            </w:tcBorders>
          </w:tcPr>
          <w:p>
            <w:pPr>
              <w:jc w:val="right"/>
              <w:ind w:right="17"/>
              <w:spacing w:after="0" w:line="143" w:lineRule="exact"/>
              <w:rPr>
                <w:sz w:val="20"/>
                <w:szCs w:val="20"/>
                <w:color w:val="auto"/>
              </w:rPr>
            </w:pPr>
            <w:r>
              <w:rPr>
                <w:rFonts w:ascii="Arial" w:cs="Arial" w:eastAsia="Arial" w:hAnsi="Arial"/>
                <w:sz w:val="13"/>
                <w:szCs w:val="13"/>
                <w:color w:val="auto"/>
              </w:rPr>
              <w:t>7,892</w:t>
            </w:r>
          </w:p>
        </w:tc>
        <w:tc>
          <w:tcPr>
            <w:tcW w:w="660" w:type="dxa"/>
            <w:vAlign w:val="bottom"/>
            <w:tcBorders>
              <w:bottom w:val="single" w:sz="8" w:color="0033A0"/>
            </w:tcBorders>
          </w:tcPr>
          <w:p>
            <w:pPr>
              <w:jc w:val="right"/>
              <w:ind w:right="57"/>
              <w:spacing w:after="0" w:line="143" w:lineRule="exact"/>
              <w:rPr>
                <w:sz w:val="20"/>
                <w:szCs w:val="20"/>
                <w:color w:val="auto"/>
              </w:rPr>
            </w:pPr>
            <w:r>
              <w:rPr>
                <w:rFonts w:ascii="Arial" w:cs="Arial" w:eastAsia="Arial" w:hAnsi="Arial"/>
                <w:sz w:val="13"/>
                <w:szCs w:val="13"/>
                <w:color w:val="auto"/>
              </w:rPr>
              <w:t>47,832</w:t>
            </w:r>
          </w:p>
        </w:tc>
        <w:tc>
          <w:tcPr>
            <w:tcW w:w="660" w:type="dxa"/>
            <w:vAlign w:val="bottom"/>
            <w:tcBorders>
              <w:bottom w:val="single" w:sz="8" w:color="0033A0"/>
            </w:tcBorders>
          </w:tcPr>
          <w:p>
            <w:pPr>
              <w:jc w:val="right"/>
              <w:spacing w:after="0" w:line="143" w:lineRule="exact"/>
              <w:rPr>
                <w:sz w:val="20"/>
                <w:szCs w:val="20"/>
                <w:color w:val="auto"/>
              </w:rPr>
            </w:pPr>
            <w:r>
              <w:rPr>
                <w:rFonts w:ascii="Arial" w:cs="Arial" w:eastAsia="Arial" w:hAnsi="Arial"/>
                <w:sz w:val="13"/>
                <w:szCs w:val="13"/>
                <w:color w:val="auto"/>
              </w:rPr>
              <w:t>95,664</w:t>
            </w:r>
          </w:p>
        </w:tc>
        <w:tc>
          <w:tcPr>
            <w:tcW w:w="700" w:type="dxa"/>
            <w:vAlign w:val="bottom"/>
            <w:tcBorders>
              <w:bottom w:val="single" w:sz="8" w:color="0033A0"/>
            </w:tcBorders>
          </w:tcPr>
          <w:p>
            <w:pPr>
              <w:spacing w:after="0"/>
              <w:rPr>
                <w:sz w:val="12"/>
                <w:szCs w:val="12"/>
                <w:color w:val="auto"/>
              </w:rPr>
            </w:pPr>
          </w:p>
        </w:tc>
        <w:tc>
          <w:tcPr>
            <w:tcW w:w="40" w:type="dxa"/>
            <w:vAlign w:val="bottom"/>
            <w:tcBorders>
              <w:bottom w:val="single" w:sz="8" w:color="0033A0"/>
            </w:tcBorders>
          </w:tcPr>
          <w:p>
            <w:pPr>
              <w:spacing w:after="0"/>
              <w:rPr>
                <w:sz w:val="12"/>
                <w:szCs w:val="12"/>
                <w:color w:val="auto"/>
              </w:rPr>
            </w:pPr>
          </w:p>
        </w:tc>
        <w:tc>
          <w:tcPr>
            <w:tcW w:w="740" w:type="dxa"/>
            <w:vAlign w:val="bottom"/>
            <w:tcBorders>
              <w:bottom w:val="single" w:sz="8" w:color="0033A0"/>
            </w:tcBorders>
          </w:tcPr>
          <w:p>
            <w:pPr>
              <w:spacing w:after="0"/>
              <w:rPr>
                <w:sz w:val="12"/>
                <w:szCs w:val="12"/>
                <w:color w:val="auto"/>
              </w:rPr>
            </w:pPr>
          </w:p>
        </w:tc>
        <w:tc>
          <w:tcPr>
            <w:tcW w:w="40" w:type="dxa"/>
            <w:vAlign w:val="bottom"/>
            <w:tcBorders>
              <w:bottom w:val="single" w:sz="8" w:color="0033A0"/>
            </w:tcBorders>
          </w:tcPr>
          <w:p>
            <w:pPr>
              <w:spacing w:after="0"/>
              <w:rPr>
                <w:sz w:val="12"/>
                <w:szCs w:val="12"/>
                <w:color w:val="auto"/>
              </w:rPr>
            </w:pPr>
          </w:p>
        </w:tc>
        <w:tc>
          <w:tcPr>
            <w:tcW w:w="600" w:type="dxa"/>
            <w:vAlign w:val="bottom"/>
            <w:tcBorders>
              <w:bottom w:val="single" w:sz="8" w:color="0033A0"/>
            </w:tcBorders>
          </w:tcPr>
          <w:p>
            <w:pPr>
              <w:spacing w:after="0"/>
              <w:rPr>
                <w:sz w:val="12"/>
                <w:szCs w:val="12"/>
                <w:color w:val="auto"/>
              </w:rPr>
            </w:pPr>
          </w:p>
        </w:tc>
        <w:tc>
          <w:tcPr>
            <w:tcW w:w="40" w:type="dxa"/>
            <w:vAlign w:val="bottom"/>
            <w:tcBorders>
              <w:bottom w:val="single" w:sz="8" w:color="0033A0"/>
            </w:tcBorders>
          </w:tcPr>
          <w:p>
            <w:pPr>
              <w:spacing w:after="0"/>
              <w:rPr>
                <w:sz w:val="12"/>
                <w:szCs w:val="12"/>
                <w:color w:val="auto"/>
              </w:rPr>
            </w:pPr>
          </w:p>
        </w:tc>
        <w:tc>
          <w:tcPr>
            <w:tcW w:w="800" w:type="dxa"/>
            <w:vAlign w:val="bottom"/>
            <w:tcBorders>
              <w:bottom w:val="single" w:sz="8" w:color="0033A0"/>
            </w:tcBorders>
          </w:tcPr>
          <w:p>
            <w:pPr>
              <w:jc w:val="right"/>
              <w:spacing w:after="0" w:line="143" w:lineRule="exact"/>
              <w:rPr>
                <w:sz w:val="20"/>
                <w:szCs w:val="20"/>
                <w:color w:val="auto"/>
              </w:rPr>
            </w:pPr>
            <w:r>
              <w:rPr>
                <w:rFonts w:ascii="Arial" w:cs="Arial" w:eastAsia="Arial" w:hAnsi="Arial"/>
                <w:sz w:val="13"/>
                <w:szCs w:val="13"/>
                <w:color w:val="auto"/>
              </w:rPr>
              <w:t>1,961,676</w:t>
            </w:r>
          </w:p>
        </w:tc>
        <w:tc>
          <w:tcPr>
            <w:tcW w:w="60" w:type="dxa"/>
            <w:vAlign w:val="bottom"/>
            <w:tcBorders>
              <w:bottom w:val="single" w:sz="8" w:color="0033A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20" w:right="40" w:hanging="316"/>
        <w:spacing w:after="0" w:line="260" w:lineRule="auto"/>
        <w:tabs>
          <w:tab w:leader="none" w:pos="52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shows the aggregate grant date fair value of PSUs and Stock Options granted to the NEOs in 2017. The aggregate grant date fair value is the amount that the Company expects to expense in its financial statements over the award’s vesting schedule. All grant date fair values have been computed in accordance with FASB ASC Topic 718.</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4"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25"/>
          <w:szCs w:val="25"/>
          <w:color w:val="0033A0"/>
        </w:rPr>
      </w:pPr>
      <w:r>
        <w:rPr>
          <w:rFonts w:ascii="Arial" w:cs="Arial" w:eastAsia="Arial" w:hAnsi="Arial"/>
          <w:sz w:val="25"/>
          <w:szCs w:val="25"/>
          <w:color w:val="auto"/>
        </w:rPr>
        <w:t>Outstanding Equity Awards at Fiscal Year-End</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720" w:type="dxa"/>
            <w:vAlign w:val="bottom"/>
            <w:tcBorders>
              <w:top w:val="single" w:sz="8" w:color="00A1DF"/>
            </w:tcBorders>
          </w:tcPr>
          <w:p>
            <w:pPr>
              <w:spacing w:after="0"/>
              <w:rPr>
                <w:sz w:val="12"/>
                <w:szCs w:val="12"/>
                <w:color w:val="auto"/>
              </w:rPr>
            </w:pPr>
          </w:p>
        </w:tc>
        <w:tc>
          <w:tcPr>
            <w:tcW w:w="60" w:type="dxa"/>
            <w:vAlign w:val="bottom"/>
            <w:tcBorders>
              <w:top w:val="single" w:sz="8" w:color="00A1DF"/>
            </w:tcBorders>
          </w:tcPr>
          <w:p>
            <w:pPr>
              <w:spacing w:after="0"/>
              <w:rPr>
                <w:sz w:val="12"/>
                <w:szCs w:val="12"/>
                <w:color w:val="auto"/>
              </w:rPr>
            </w:pPr>
          </w:p>
        </w:tc>
        <w:tc>
          <w:tcPr>
            <w:tcW w:w="640" w:type="dxa"/>
            <w:vAlign w:val="bottom"/>
            <w:tcBorders>
              <w:top w:val="single" w:sz="8" w:color="00A1DF"/>
              <w:bottom w:val="single" w:sz="8" w:color="00A1DF"/>
            </w:tcBorders>
          </w:tcPr>
          <w:p>
            <w:pPr>
              <w:spacing w:after="0"/>
              <w:rPr>
                <w:sz w:val="12"/>
                <w:szCs w:val="12"/>
                <w:color w:val="auto"/>
              </w:rPr>
            </w:pPr>
          </w:p>
        </w:tc>
        <w:tc>
          <w:tcPr>
            <w:tcW w:w="1000" w:type="dxa"/>
            <w:vAlign w:val="bottom"/>
            <w:tcBorders>
              <w:top w:val="single" w:sz="8" w:color="00A1DF"/>
              <w:bottom w:val="single" w:sz="8" w:color="00A1DF"/>
            </w:tcBorders>
          </w:tcPr>
          <w:p>
            <w:pPr>
              <w:spacing w:after="0"/>
              <w:rPr>
                <w:sz w:val="12"/>
                <w:szCs w:val="12"/>
                <w:color w:val="auto"/>
              </w:rPr>
            </w:pPr>
          </w:p>
        </w:tc>
        <w:tc>
          <w:tcPr>
            <w:tcW w:w="2180" w:type="dxa"/>
            <w:vAlign w:val="bottom"/>
            <w:tcBorders>
              <w:top w:val="single" w:sz="8" w:color="00A1DF"/>
              <w:bottom w:val="single" w:sz="8" w:color="00A1DF"/>
            </w:tcBorders>
            <w:gridSpan w:val="2"/>
          </w:tcPr>
          <w:p>
            <w:pPr>
              <w:jc w:val="right"/>
              <w:ind w:right="757"/>
              <w:spacing w:after="0"/>
              <w:rPr>
                <w:sz w:val="20"/>
                <w:szCs w:val="20"/>
                <w:color w:val="auto"/>
              </w:rPr>
            </w:pPr>
            <w:r>
              <w:rPr>
                <w:rFonts w:ascii="Arial" w:cs="Arial" w:eastAsia="Arial" w:hAnsi="Arial"/>
                <w:sz w:val="13"/>
                <w:szCs w:val="13"/>
                <w:b w:val="1"/>
                <w:bCs w:val="1"/>
                <w:color w:val="00A1DF"/>
              </w:rPr>
              <w:t>Option Awards</w:t>
            </w:r>
          </w:p>
        </w:tc>
        <w:tc>
          <w:tcPr>
            <w:tcW w:w="640" w:type="dxa"/>
            <w:vAlign w:val="bottom"/>
            <w:tcBorders>
              <w:top w:val="single" w:sz="8" w:color="00A1DF"/>
              <w:bottom w:val="single" w:sz="8" w:color="00A1DF"/>
            </w:tcBorders>
          </w:tcPr>
          <w:p>
            <w:pPr>
              <w:spacing w:after="0"/>
              <w:rPr>
                <w:sz w:val="12"/>
                <w:szCs w:val="12"/>
                <w:color w:val="auto"/>
              </w:rPr>
            </w:pPr>
          </w:p>
        </w:tc>
        <w:tc>
          <w:tcPr>
            <w:tcW w:w="660" w:type="dxa"/>
            <w:vAlign w:val="bottom"/>
            <w:tcBorders>
              <w:top w:val="single" w:sz="8" w:color="00A1DF"/>
              <w:bottom w:val="single" w:sz="8" w:color="00A1DF"/>
            </w:tcBorders>
          </w:tcPr>
          <w:p>
            <w:pPr>
              <w:spacing w:after="0"/>
              <w:rPr>
                <w:sz w:val="12"/>
                <w:szCs w:val="12"/>
                <w:color w:val="auto"/>
              </w:rPr>
            </w:pPr>
          </w:p>
        </w:tc>
        <w:tc>
          <w:tcPr>
            <w:tcW w:w="100" w:type="dxa"/>
            <w:vAlign w:val="bottom"/>
            <w:tcBorders>
              <w:top w:val="single" w:sz="8" w:color="00A1DF"/>
            </w:tcBorders>
          </w:tcPr>
          <w:p>
            <w:pPr>
              <w:spacing w:after="0"/>
              <w:rPr>
                <w:sz w:val="12"/>
                <w:szCs w:val="12"/>
                <w:color w:val="auto"/>
              </w:rPr>
            </w:pPr>
          </w:p>
        </w:tc>
        <w:tc>
          <w:tcPr>
            <w:tcW w:w="940" w:type="dxa"/>
            <w:vAlign w:val="bottom"/>
            <w:tcBorders>
              <w:top w:val="single" w:sz="8" w:color="00A1DF"/>
              <w:bottom w:val="single" w:sz="8" w:color="00A1DF"/>
            </w:tcBorders>
          </w:tcPr>
          <w:p>
            <w:pPr>
              <w:spacing w:after="0"/>
              <w:rPr>
                <w:sz w:val="12"/>
                <w:szCs w:val="12"/>
                <w:color w:val="auto"/>
              </w:rPr>
            </w:pPr>
          </w:p>
        </w:tc>
        <w:tc>
          <w:tcPr>
            <w:tcW w:w="1960" w:type="dxa"/>
            <w:vAlign w:val="bottom"/>
            <w:tcBorders>
              <w:top w:val="single" w:sz="8" w:color="00A1DF"/>
              <w:bottom w:val="single" w:sz="8" w:color="00A1DF"/>
            </w:tcBorders>
            <w:gridSpan w:val="2"/>
          </w:tcPr>
          <w:p>
            <w:pPr>
              <w:jc w:val="right"/>
              <w:ind w:right="457"/>
              <w:spacing w:after="0"/>
              <w:rPr>
                <w:sz w:val="20"/>
                <w:szCs w:val="20"/>
                <w:color w:val="auto"/>
              </w:rPr>
            </w:pPr>
            <w:r>
              <w:rPr>
                <w:rFonts w:ascii="Arial" w:cs="Arial" w:eastAsia="Arial" w:hAnsi="Arial"/>
                <w:sz w:val="13"/>
                <w:szCs w:val="13"/>
                <w:b w:val="1"/>
                <w:bCs w:val="1"/>
                <w:color w:val="00A1DF"/>
              </w:rPr>
              <w:t>Stock Awards</w:t>
            </w:r>
            <w:r>
              <w:rPr>
                <w:rFonts w:ascii="Arial" w:cs="Arial" w:eastAsia="Arial" w:hAnsi="Arial"/>
                <w:sz w:val="10"/>
                <w:szCs w:val="10"/>
                <w:b w:val="1"/>
                <w:bCs w:val="1"/>
                <w:color w:val="00A1DF"/>
              </w:rPr>
              <w:t>(1)</w:t>
            </w:r>
          </w:p>
        </w:tc>
        <w:tc>
          <w:tcPr>
            <w:tcW w:w="900" w:type="dxa"/>
            <w:vAlign w:val="bottom"/>
            <w:tcBorders>
              <w:top w:val="single" w:sz="8" w:color="00A1DF"/>
              <w:bottom w:val="single" w:sz="8" w:color="00A1DF"/>
            </w:tcBorders>
          </w:tcPr>
          <w:p>
            <w:pPr>
              <w:spacing w:after="0"/>
              <w:rPr>
                <w:sz w:val="12"/>
                <w:szCs w:val="12"/>
                <w:color w:val="auto"/>
              </w:rPr>
            </w:pPr>
          </w:p>
        </w:tc>
        <w:tc>
          <w:tcPr>
            <w:tcW w:w="220" w:type="dxa"/>
            <w:vAlign w:val="bottom"/>
            <w:tcBorders>
              <w:top w:val="single" w:sz="8" w:color="00A1DF"/>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b w:val="1"/>
                <w:bCs w:val="1"/>
                <w:color w:val="00A1DF"/>
              </w:rPr>
              <w:t>Equity</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Equity</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Incentive</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Equity</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Incentive</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Plan Awards: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Incentive</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Plan Awards:</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Market or</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Number of</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Number of</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Plan Awards:</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Market</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Number of</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Payout Value</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Securities</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Securities</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Number of</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Number</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Value of</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Unearned</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of Unearned</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Underlying</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Underlying</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Securities</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of Shares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Shares or</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Shares, Units,</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Shares, Units,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Unexercised</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Unexercised</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Underlying</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w w:val="95"/>
              </w:rPr>
              <w:t>of Units or</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Units of</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or Other</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or Other</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Options</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Options</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Unexercised</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w:t>
            </w:r>
          </w:p>
        </w:tc>
        <w:tc>
          <w:tcPr>
            <w:tcW w:w="104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00A1DF"/>
              </w:rPr>
              <w:t>Stock That</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Stock That</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Rights That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Rights That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Grant</w:t>
            </w: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Exercisable</w:t>
            </w:r>
          </w:p>
        </w:tc>
        <w:tc>
          <w:tcPr>
            <w:tcW w:w="11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Unexercisable</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Unearned</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Exercise</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Expiration</w:t>
            </w:r>
          </w:p>
        </w:tc>
        <w:tc>
          <w:tcPr>
            <w:tcW w:w="10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Have Not</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Have Not</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00A1DF"/>
              </w:rPr>
              <w:t>Have Not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A1DF"/>
              </w:rPr>
              <w:t>Have Not</w:t>
            </w:r>
          </w:p>
        </w:tc>
        <w:tc>
          <w:tcPr>
            <w:tcW w:w="0" w:type="dxa"/>
            <w:vAlign w:val="bottom"/>
          </w:tcPr>
          <w:p>
            <w:pPr>
              <w:spacing w:after="0"/>
              <w:rPr>
                <w:sz w:val="1"/>
                <w:szCs w:val="1"/>
                <w:color w:val="auto"/>
              </w:rPr>
            </w:pPr>
          </w:p>
        </w:tc>
      </w:tr>
      <w:tr>
        <w:trPr>
          <w:trHeight w:val="171"/>
        </w:trPr>
        <w:tc>
          <w:tcPr>
            <w:tcW w:w="1720" w:type="dxa"/>
            <w:vAlign w:val="bottom"/>
            <w:tcBorders>
              <w:bottom w:val="single" w:sz="8" w:color="00A1DF"/>
            </w:tcBorders>
          </w:tcPr>
          <w:p>
            <w:pPr>
              <w:ind w:left="60"/>
              <w:spacing w:after="0"/>
              <w:rPr>
                <w:sz w:val="20"/>
                <w:szCs w:val="20"/>
                <w:color w:val="auto"/>
              </w:rPr>
            </w:pPr>
            <w:r>
              <w:rPr>
                <w:rFonts w:ascii="Arial" w:cs="Arial" w:eastAsia="Arial" w:hAnsi="Arial"/>
                <w:sz w:val="13"/>
                <w:szCs w:val="13"/>
                <w:b w:val="1"/>
                <w:bCs w:val="1"/>
                <w:color w:val="00A1DF"/>
              </w:rPr>
              <w:t>Name</w:t>
            </w:r>
          </w:p>
        </w:tc>
        <w:tc>
          <w:tcPr>
            <w:tcW w:w="60" w:type="dxa"/>
            <w:vAlign w:val="bottom"/>
            <w:tcBorders>
              <w:bottom w:val="single" w:sz="8" w:color="00A1DF"/>
            </w:tcBorders>
          </w:tcPr>
          <w:p>
            <w:pPr>
              <w:spacing w:after="0"/>
              <w:rPr>
                <w:sz w:val="14"/>
                <w:szCs w:val="14"/>
                <w:color w:val="auto"/>
              </w:rPr>
            </w:pPr>
          </w:p>
        </w:tc>
        <w:tc>
          <w:tcPr>
            <w:tcW w:w="64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Date</w:t>
            </w:r>
          </w:p>
        </w:tc>
        <w:tc>
          <w:tcPr>
            <w:tcW w:w="1000" w:type="dxa"/>
            <w:vAlign w:val="bottom"/>
            <w:tcBorders>
              <w:bottom w:val="single" w:sz="8" w:color="00A1DF"/>
            </w:tcBorders>
          </w:tcPr>
          <w:p>
            <w:pPr>
              <w:jc w:val="right"/>
              <w:ind w:right="137"/>
              <w:spacing w:after="0"/>
              <w:rPr>
                <w:sz w:val="20"/>
                <w:szCs w:val="20"/>
                <w:color w:val="auto"/>
              </w:rPr>
            </w:pPr>
            <w:r>
              <w:rPr>
                <w:rFonts w:ascii="Arial" w:cs="Arial" w:eastAsia="Arial" w:hAnsi="Arial"/>
                <w:sz w:val="13"/>
                <w:szCs w:val="13"/>
                <w:b w:val="1"/>
                <w:bCs w:val="1"/>
                <w:color w:val="00A1DF"/>
              </w:rPr>
              <w:t>(#)</w:t>
            </w:r>
          </w:p>
        </w:tc>
        <w:tc>
          <w:tcPr>
            <w:tcW w:w="1120" w:type="dxa"/>
            <w:vAlign w:val="bottom"/>
            <w:tcBorders>
              <w:bottom w:val="single" w:sz="8" w:color="00A1DF"/>
            </w:tcBorders>
          </w:tcPr>
          <w:p>
            <w:pPr>
              <w:jc w:val="right"/>
              <w:ind w:right="137"/>
              <w:spacing w:after="0"/>
              <w:rPr>
                <w:sz w:val="20"/>
                <w:szCs w:val="20"/>
                <w:color w:val="auto"/>
              </w:rPr>
            </w:pPr>
            <w:r>
              <w:rPr>
                <w:rFonts w:ascii="Arial" w:cs="Arial" w:eastAsia="Arial" w:hAnsi="Arial"/>
                <w:sz w:val="13"/>
                <w:szCs w:val="13"/>
                <w:b w:val="1"/>
                <w:bCs w:val="1"/>
                <w:color w:val="00A1DF"/>
              </w:rPr>
              <w:t>(#)</w:t>
            </w:r>
          </w:p>
        </w:tc>
        <w:tc>
          <w:tcPr>
            <w:tcW w:w="1060" w:type="dxa"/>
            <w:vAlign w:val="bottom"/>
            <w:tcBorders>
              <w:bottom w:val="single" w:sz="8" w:color="00A1DF"/>
            </w:tcBorders>
          </w:tcPr>
          <w:p>
            <w:pPr>
              <w:jc w:val="right"/>
              <w:ind w:right="137"/>
              <w:spacing w:after="0"/>
              <w:rPr>
                <w:sz w:val="20"/>
                <w:szCs w:val="20"/>
                <w:color w:val="auto"/>
              </w:rPr>
            </w:pPr>
            <w:r>
              <w:rPr>
                <w:rFonts w:ascii="Arial" w:cs="Arial" w:eastAsia="Arial" w:hAnsi="Arial"/>
                <w:sz w:val="13"/>
                <w:szCs w:val="13"/>
                <w:b w:val="1"/>
                <w:bCs w:val="1"/>
                <w:color w:val="00A1DF"/>
              </w:rPr>
              <w:t>Options (#)</w:t>
            </w:r>
          </w:p>
        </w:tc>
        <w:tc>
          <w:tcPr>
            <w:tcW w:w="64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Price ($)</w:t>
            </w:r>
          </w:p>
        </w:tc>
        <w:tc>
          <w:tcPr>
            <w:tcW w:w="6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Date</w:t>
            </w:r>
          </w:p>
        </w:tc>
        <w:tc>
          <w:tcPr>
            <w:tcW w:w="100" w:type="dxa"/>
            <w:vAlign w:val="bottom"/>
            <w:tcBorders>
              <w:bottom w:val="single" w:sz="8" w:color="00A1DF"/>
            </w:tcBorders>
          </w:tcPr>
          <w:p>
            <w:pPr>
              <w:spacing w:after="0"/>
              <w:rPr>
                <w:sz w:val="14"/>
                <w:szCs w:val="14"/>
                <w:color w:val="auto"/>
              </w:rPr>
            </w:pPr>
          </w:p>
        </w:tc>
        <w:tc>
          <w:tcPr>
            <w:tcW w:w="940" w:type="dxa"/>
            <w:vAlign w:val="bottom"/>
            <w:tcBorders>
              <w:bottom w:val="single" w:sz="8" w:color="00A1DF"/>
            </w:tcBorders>
          </w:tcPr>
          <w:p>
            <w:pPr>
              <w:jc w:val="right"/>
              <w:ind w:right="237"/>
              <w:spacing w:after="0"/>
              <w:rPr>
                <w:sz w:val="20"/>
                <w:szCs w:val="20"/>
                <w:color w:val="auto"/>
              </w:rPr>
            </w:pPr>
            <w:r>
              <w:rPr>
                <w:rFonts w:ascii="Arial" w:cs="Arial" w:eastAsia="Arial" w:hAnsi="Arial"/>
                <w:sz w:val="13"/>
                <w:szCs w:val="13"/>
                <w:b w:val="1"/>
                <w:bCs w:val="1"/>
                <w:color w:val="00A1DF"/>
                <w:w w:val="99"/>
              </w:rPr>
              <w:t>Vested (#)</w:t>
            </w:r>
          </w:p>
        </w:tc>
        <w:tc>
          <w:tcPr>
            <w:tcW w:w="78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Vested ($)</w:t>
            </w:r>
          </w:p>
        </w:tc>
        <w:tc>
          <w:tcPr>
            <w:tcW w:w="1180" w:type="dxa"/>
            <w:vAlign w:val="bottom"/>
            <w:tcBorders>
              <w:bottom w:val="single" w:sz="8" w:color="00A1DF"/>
            </w:tcBorders>
          </w:tcPr>
          <w:p>
            <w:pPr>
              <w:jc w:val="right"/>
              <w:ind w:right="217"/>
              <w:spacing w:after="0"/>
              <w:rPr>
                <w:sz w:val="20"/>
                <w:szCs w:val="20"/>
                <w:color w:val="auto"/>
              </w:rPr>
            </w:pPr>
            <w:r>
              <w:rPr>
                <w:rFonts w:ascii="Arial" w:cs="Arial" w:eastAsia="Arial" w:hAnsi="Arial"/>
                <w:sz w:val="13"/>
                <w:szCs w:val="13"/>
                <w:b w:val="1"/>
                <w:bCs w:val="1"/>
                <w:color w:val="00A1DF"/>
              </w:rPr>
              <w:t>Vested (#)</w:t>
            </w:r>
          </w:p>
        </w:tc>
        <w:tc>
          <w:tcPr>
            <w:tcW w:w="1120" w:type="dxa"/>
            <w:vAlign w:val="bottom"/>
            <w:tcBorders>
              <w:bottom w:val="single" w:sz="8" w:color="00A1DF"/>
            </w:tcBorders>
            <w:gridSpan w:val="2"/>
          </w:tcPr>
          <w:p>
            <w:pPr>
              <w:jc w:val="right"/>
              <w:ind w:right="220"/>
              <w:spacing w:after="0"/>
              <w:rPr>
                <w:sz w:val="20"/>
                <w:szCs w:val="20"/>
                <w:color w:val="auto"/>
              </w:rPr>
            </w:pPr>
            <w:r>
              <w:rPr>
                <w:rFonts w:ascii="Arial" w:cs="Arial" w:eastAsia="Arial" w:hAnsi="Arial"/>
                <w:sz w:val="13"/>
                <w:szCs w:val="13"/>
                <w:b w:val="1"/>
                <w:bCs w:val="1"/>
                <w:color w:val="00A1DF"/>
              </w:rPr>
              <w:t>Vested ($)</w:t>
            </w:r>
          </w:p>
        </w:tc>
        <w:tc>
          <w:tcPr>
            <w:tcW w:w="0" w:type="dxa"/>
            <w:vAlign w:val="bottom"/>
          </w:tcPr>
          <w:p>
            <w:pPr>
              <w:spacing w:after="0"/>
              <w:rPr>
                <w:sz w:val="1"/>
                <w:szCs w:val="1"/>
                <w:color w:val="auto"/>
              </w:rPr>
            </w:pPr>
          </w:p>
        </w:tc>
      </w:tr>
      <w:tr>
        <w:trPr>
          <w:trHeight w:val="146"/>
        </w:trPr>
        <w:tc>
          <w:tcPr>
            <w:tcW w:w="1720" w:type="dxa"/>
            <w:vAlign w:val="bottom"/>
          </w:tcPr>
          <w:p>
            <w:pPr>
              <w:ind w:left="60"/>
              <w:spacing w:after="0" w:line="146" w:lineRule="exact"/>
              <w:rPr>
                <w:sz w:val="20"/>
                <w:szCs w:val="20"/>
                <w:color w:val="auto"/>
              </w:rPr>
            </w:pPr>
            <w:r>
              <w:rPr>
                <w:rFonts w:ascii="Arial" w:cs="Arial" w:eastAsia="Arial" w:hAnsi="Arial"/>
                <w:sz w:val="13"/>
                <w:szCs w:val="13"/>
                <w:color w:val="auto"/>
              </w:rPr>
              <w:t>Mary T. Barra</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652,611</w:t>
            </w:r>
            <w:r>
              <w:rPr>
                <w:rFonts w:ascii="Arial" w:cs="Arial" w:eastAsia="Arial" w:hAnsi="Arial"/>
                <w:sz w:val="10"/>
                <w:szCs w:val="10"/>
                <w:color w:val="auto"/>
              </w:rPr>
              <w:t>(2)</w:t>
            </w:r>
          </w:p>
        </w:tc>
        <w:tc>
          <w:tcPr>
            <w:tcW w:w="10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261,816</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10,731,838</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78,191</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3,205,049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351,859</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14,422,700</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1,041,215</w:t>
            </w:r>
            <w:r>
              <w:rPr>
                <w:rFonts w:ascii="Arial" w:cs="Arial" w:eastAsia="Arial" w:hAnsi="Arial"/>
                <w:sz w:val="10"/>
                <w:szCs w:val="10"/>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520,608</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1,041,214</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504,380</w:t>
            </w:r>
            <w:r>
              <w:rPr>
                <w:rFonts w:ascii="Arial" w:cs="Arial" w:eastAsia="Arial" w:hAnsi="Arial"/>
                <w:sz w:val="10"/>
                <w:szCs w:val="10"/>
                <w:color w:val="auto"/>
              </w:rPr>
              <w:t>(6,7)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20,674,536</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60"/>
              <w:spacing w:after="0"/>
              <w:rPr>
                <w:sz w:val="20"/>
                <w:szCs w:val="20"/>
                <w:color w:val="auto"/>
              </w:rPr>
            </w:pPr>
            <w:r>
              <w:rPr>
                <w:rFonts w:ascii="Arial" w:cs="Arial" w:eastAsia="Arial" w:hAnsi="Arial"/>
                <w:sz w:val="13"/>
                <w:szCs w:val="13"/>
                <w:color w:val="auto"/>
              </w:rPr>
              <w:t>Charles K. Stevens, III</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186,998</w:t>
            </w:r>
            <w:r>
              <w:rPr>
                <w:rFonts w:ascii="Arial" w:cs="Arial" w:eastAsia="Arial" w:hAnsi="Arial"/>
                <w:sz w:val="10"/>
                <w:szCs w:val="10"/>
                <w:color w:val="auto"/>
              </w:rPr>
              <w:t>(2)</w:t>
            </w:r>
          </w:p>
        </w:tc>
        <w:tc>
          <w:tcPr>
            <w:tcW w:w="10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75,021</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3,075,111</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20,750</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850,543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93,378</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3,827,564</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124,729</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249,458</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120,842</w:t>
            </w:r>
            <w:r>
              <w:rPr>
                <w:rFonts w:ascii="Arial" w:cs="Arial" w:eastAsia="Arial" w:hAnsi="Arial"/>
                <w:sz w:val="10"/>
                <w:szCs w:val="10"/>
                <w:color w:val="auto"/>
              </w:rPr>
              <w:t>(6,7)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4,953,314</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60"/>
              <w:spacing w:after="0"/>
              <w:rPr>
                <w:sz w:val="20"/>
                <w:szCs w:val="20"/>
                <w:color w:val="auto"/>
              </w:rPr>
            </w:pPr>
            <w:r>
              <w:rPr>
                <w:rFonts w:ascii="Arial" w:cs="Arial" w:eastAsia="Arial" w:hAnsi="Arial"/>
                <w:sz w:val="13"/>
                <w:szCs w:val="13"/>
                <w:color w:val="auto"/>
              </w:rPr>
              <w:t>Daniel Ammann</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247,867</w:t>
            </w:r>
            <w:r>
              <w:rPr>
                <w:rFonts w:ascii="Arial" w:cs="Arial" w:eastAsia="Arial" w:hAnsi="Arial"/>
                <w:sz w:val="10"/>
                <w:szCs w:val="10"/>
                <w:color w:val="auto"/>
              </w:rPr>
              <w:t>(2)</w:t>
            </w:r>
          </w:p>
        </w:tc>
        <w:tc>
          <w:tcPr>
            <w:tcW w:w="10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99,440</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4,076,046</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28,269</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1,158,746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127,211</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5,214,379</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390,456</w:t>
            </w:r>
            <w:r>
              <w:rPr>
                <w:rFonts w:ascii="Arial" w:cs="Arial" w:eastAsia="Arial" w:hAnsi="Arial"/>
                <w:sz w:val="10"/>
                <w:szCs w:val="10"/>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195,228</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390,455</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189,143</w:t>
            </w:r>
            <w:r>
              <w:rPr>
                <w:rFonts w:ascii="Arial" w:cs="Arial" w:eastAsia="Arial" w:hAnsi="Arial"/>
                <w:sz w:val="10"/>
                <w:szCs w:val="10"/>
                <w:color w:val="auto"/>
              </w:rPr>
              <w:t>(6,7)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7,752,972</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60"/>
              <w:spacing w:after="0"/>
              <w:rPr>
                <w:sz w:val="20"/>
                <w:szCs w:val="20"/>
                <w:color w:val="auto"/>
              </w:rPr>
            </w:pPr>
            <w:r>
              <w:rPr>
                <w:rFonts w:ascii="Arial" w:cs="Arial" w:eastAsia="Arial" w:hAnsi="Arial"/>
                <w:sz w:val="13"/>
                <w:szCs w:val="13"/>
                <w:color w:val="auto"/>
              </w:rPr>
              <w:t>Mark L. Reuss</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203,314</w:t>
            </w:r>
            <w:r>
              <w:rPr>
                <w:rFonts w:ascii="Arial" w:cs="Arial" w:eastAsia="Arial" w:hAnsi="Arial"/>
                <w:sz w:val="10"/>
                <w:szCs w:val="10"/>
                <w:color w:val="auto"/>
              </w:rPr>
              <w:t>(2)</w:t>
            </w:r>
          </w:p>
        </w:tc>
        <w:tc>
          <w:tcPr>
            <w:tcW w:w="10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81,566</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3,343,390</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23,457</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961,502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105,558</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4,326,822</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165,944</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331,887</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160,771</w:t>
            </w:r>
            <w:r>
              <w:rPr>
                <w:rFonts w:ascii="Arial" w:cs="Arial" w:eastAsia="Arial" w:hAnsi="Arial"/>
                <w:sz w:val="10"/>
                <w:szCs w:val="10"/>
                <w:color w:val="auto"/>
              </w:rPr>
              <w:t>(6,7)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6,590,003</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60"/>
              <w:spacing w:after="0"/>
              <w:rPr>
                <w:sz w:val="20"/>
                <w:szCs w:val="20"/>
                <w:color w:val="auto"/>
              </w:rPr>
            </w:pPr>
            <w:r>
              <w:rPr>
                <w:rFonts w:ascii="Arial" w:cs="Arial" w:eastAsia="Arial" w:hAnsi="Arial"/>
                <w:sz w:val="13"/>
                <w:szCs w:val="13"/>
                <w:color w:val="auto"/>
              </w:rPr>
              <w:t>Alan S. Batey</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135,226</w:t>
            </w:r>
            <w:r>
              <w:rPr>
                <w:rFonts w:ascii="Arial" w:cs="Arial" w:eastAsia="Arial" w:hAnsi="Arial"/>
                <w:sz w:val="10"/>
                <w:szCs w:val="10"/>
                <w:color w:val="auto"/>
              </w:rPr>
              <w:t>(2)</w:t>
            </w:r>
          </w:p>
        </w:tc>
        <w:tc>
          <w:tcPr>
            <w:tcW w:w="10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54,251</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2,223,748</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16,240</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665,678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73,079</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2,995,508</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117,137</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234,273</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113,487</w:t>
            </w:r>
            <w:r>
              <w:rPr>
                <w:rFonts w:ascii="Arial" w:cs="Arial" w:eastAsia="Arial" w:hAnsi="Arial"/>
                <w:sz w:val="10"/>
                <w:szCs w:val="10"/>
                <w:color w:val="auto"/>
              </w:rPr>
              <w:t>(6,7)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4,651,832</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720" w:type="dxa"/>
            <w:vAlign w:val="bottom"/>
          </w:tcPr>
          <w:p>
            <w:pPr>
              <w:ind w:left="60"/>
              <w:spacing w:after="0"/>
              <w:rPr>
                <w:sz w:val="20"/>
                <w:szCs w:val="20"/>
                <w:color w:val="auto"/>
              </w:rPr>
            </w:pPr>
            <w:r>
              <w:rPr>
                <w:rFonts w:ascii="Arial" w:cs="Arial" w:eastAsia="Arial" w:hAnsi="Arial"/>
                <w:sz w:val="13"/>
                <w:szCs w:val="13"/>
                <w:color w:val="auto"/>
              </w:rPr>
              <w:t>Karl-Thomas Neumann</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6/7/2017</w:t>
            </w: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119,227</w:t>
            </w:r>
            <w:r>
              <w:rPr>
                <w:rFonts w:ascii="Arial" w:cs="Arial" w:eastAsia="Arial" w:hAnsi="Arial"/>
                <w:sz w:val="10"/>
                <w:szCs w:val="10"/>
                <w:color w:val="auto"/>
              </w:rPr>
              <w:t>(2)</w:t>
            </w:r>
          </w:p>
        </w:tc>
        <w:tc>
          <w:tcPr>
            <w:tcW w:w="10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6/7/2027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2/14/2017</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47,832</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1,960,634</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2/10/2016</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rPr>
              <w:t>14,285</w:t>
            </w:r>
            <w:r>
              <w:rPr>
                <w:rFonts w:ascii="Arial" w:cs="Arial" w:eastAsia="Arial" w:hAnsi="Arial"/>
                <w:sz w:val="10"/>
                <w:szCs w:val="10"/>
                <w:color w:val="auto"/>
              </w:rPr>
              <w:t>(6)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585,542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64,282</w:t>
            </w:r>
            <w:r>
              <w:rPr>
                <w:rFonts w:ascii="Arial" w:cs="Arial" w:eastAsia="Arial" w:hAnsi="Arial"/>
                <w:sz w:val="10"/>
                <w:szCs w:val="10"/>
                <w:color w:val="auto"/>
              </w:rPr>
              <w:t>(7,8)</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2,634,919</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117,137</w:t>
            </w:r>
            <w:r>
              <w:rPr>
                <w:rFonts w:ascii="Arial" w:cs="Arial" w:eastAsia="Arial" w:hAnsi="Arial"/>
                <w:sz w:val="10"/>
                <w:szCs w:val="10"/>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234,273</w:t>
            </w:r>
            <w:r>
              <w:rPr>
                <w:rFonts w:ascii="Arial" w:cs="Arial" w:eastAsia="Arial" w:hAnsi="Arial"/>
                <w:sz w:val="10"/>
                <w:szCs w:val="10"/>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7/28/2025</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0033A0"/>
            </w:tcBorders>
          </w:tcPr>
          <w:p>
            <w:pPr>
              <w:spacing w:after="0"/>
              <w:rPr>
                <w:sz w:val="19"/>
                <w:szCs w:val="19"/>
                <w:color w:val="auto"/>
              </w:rPr>
            </w:pPr>
          </w:p>
        </w:tc>
        <w:tc>
          <w:tcPr>
            <w:tcW w:w="700" w:type="dxa"/>
            <w:vAlign w:val="bottom"/>
            <w:tcBorders>
              <w:bottom w:val="single" w:sz="8" w:color="0033A0"/>
            </w:tcBorders>
            <w:gridSpan w:val="2"/>
          </w:tcPr>
          <w:p>
            <w:pPr>
              <w:jc w:val="right"/>
              <w:spacing w:after="0"/>
              <w:rPr>
                <w:sz w:val="20"/>
                <w:szCs w:val="20"/>
                <w:color w:val="auto"/>
              </w:rPr>
            </w:pPr>
            <w:r>
              <w:rPr>
                <w:rFonts w:ascii="Arial" w:cs="Arial" w:eastAsia="Arial" w:hAnsi="Arial"/>
                <w:sz w:val="13"/>
                <w:szCs w:val="13"/>
                <w:color w:val="auto"/>
              </w:rPr>
              <w:t>2/11/2015</w:t>
            </w:r>
          </w:p>
        </w:tc>
        <w:tc>
          <w:tcPr>
            <w:tcW w:w="1000" w:type="dxa"/>
            <w:vAlign w:val="bottom"/>
            <w:tcBorders>
              <w:bottom w:val="single" w:sz="8" w:color="0033A0"/>
            </w:tcBorders>
          </w:tcPr>
          <w:p>
            <w:pPr>
              <w:spacing w:after="0"/>
              <w:rPr>
                <w:sz w:val="19"/>
                <w:szCs w:val="19"/>
                <w:color w:val="auto"/>
              </w:rPr>
            </w:pPr>
          </w:p>
        </w:tc>
        <w:tc>
          <w:tcPr>
            <w:tcW w:w="1120" w:type="dxa"/>
            <w:vAlign w:val="bottom"/>
            <w:tcBorders>
              <w:bottom w:val="single" w:sz="8" w:color="0033A0"/>
            </w:tcBorders>
          </w:tcPr>
          <w:p>
            <w:pPr>
              <w:spacing w:after="0"/>
              <w:rPr>
                <w:sz w:val="19"/>
                <w:szCs w:val="19"/>
                <w:color w:val="auto"/>
              </w:rPr>
            </w:pPr>
          </w:p>
        </w:tc>
        <w:tc>
          <w:tcPr>
            <w:tcW w:w="1060" w:type="dxa"/>
            <w:vAlign w:val="bottom"/>
            <w:tcBorders>
              <w:bottom w:val="single" w:sz="8" w:color="0033A0"/>
            </w:tcBorders>
          </w:tcPr>
          <w:p>
            <w:pPr>
              <w:spacing w:after="0"/>
              <w:rPr>
                <w:sz w:val="19"/>
                <w:szCs w:val="19"/>
                <w:color w:val="auto"/>
              </w:rPr>
            </w:pPr>
          </w:p>
        </w:tc>
        <w:tc>
          <w:tcPr>
            <w:tcW w:w="640" w:type="dxa"/>
            <w:vAlign w:val="bottom"/>
            <w:tcBorders>
              <w:bottom w:val="single" w:sz="8" w:color="0033A0"/>
            </w:tcBorders>
          </w:tcPr>
          <w:p>
            <w:pPr>
              <w:spacing w:after="0"/>
              <w:rPr>
                <w:sz w:val="19"/>
                <w:szCs w:val="19"/>
                <w:color w:val="auto"/>
              </w:rPr>
            </w:pPr>
          </w:p>
        </w:tc>
        <w:tc>
          <w:tcPr>
            <w:tcW w:w="660" w:type="dxa"/>
            <w:vAlign w:val="bottom"/>
            <w:tcBorders>
              <w:bottom w:val="single" w:sz="8" w:color="0033A0"/>
            </w:tcBorders>
          </w:tcPr>
          <w:p>
            <w:pPr>
              <w:spacing w:after="0"/>
              <w:rPr>
                <w:sz w:val="19"/>
                <w:szCs w:val="19"/>
                <w:color w:val="auto"/>
              </w:rPr>
            </w:pPr>
          </w:p>
        </w:tc>
        <w:tc>
          <w:tcPr>
            <w:tcW w:w="1040" w:type="dxa"/>
            <w:vAlign w:val="bottom"/>
            <w:tcBorders>
              <w:bottom w:val="single" w:sz="8" w:color="0033A0"/>
            </w:tcBorders>
            <w:gridSpan w:val="2"/>
          </w:tcPr>
          <w:p>
            <w:pPr>
              <w:jc w:val="right"/>
              <w:ind w:right="17"/>
              <w:spacing w:after="0"/>
              <w:rPr>
                <w:sz w:val="20"/>
                <w:szCs w:val="20"/>
                <w:color w:val="auto"/>
              </w:rPr>
            </w:pPr>
            <w:r>
              <w:rPr>
                <w:rFonts w:ascii="Arial" w:cs="Arial" w:eastAsia="Arial" w:hAnsi="Arial"/>
                <w:sz w:val="13"/>
                <w:szCs w:val="13"/>
                <w:color w:val="auto"/>
              </w:rPr>
              <w:t>99,826</w:t>
            </w:r>
            <w:r>
              <w:rPr>
                <w:rFonts w:ascii="Arial" w:cs="Arial" w:eastAsia="Arial" w:hAnsi="Arial"/>
                <w:sz w:val="10"/>
                <w:szCs w:val="10"/>
                <w:color w:val="auto"/>
              </w:rPr>
              <w:t>(6,7)</w:t>
            </w:r>
          </w:p>
        </w:tc>
        <w:tc>
          <w:tcPr>
            <w:tcW w:w="780" w:type="dxa"/>
            <w:vAlign w:val="bottom"/>
            <w:tcBorders>
              <w:bottom w:val="single" w:sz="8" w:color="0033A0"/>
            </w:tcBorders>
          </w:tcPr>
          <w:p>
            <w:pPr>
              <w:jc w:val="right"/>
              <w:spacing w:after="0"/>
              <w:rPr>
                <w:sz w:val="20"/>
                <w:szCs w:val="20"/>
                <w:color w:val="auto"/>
              </w:rPr>
            </w:pPr>
            <w:r>
              <w:rPr>
                <w:rFonts w:ascii="Arial" w:cs="Arial" w:eastAsia="Arial" w:hAnsi="Arial"/>
                <w:sz w:val="13"/>
                <w:szCs w:val="13"/>
                <w:color w:val="auto"/>
              </w:rPr>
              <w:t>4,091,868</w:t>
            </w:r>
          </w:p>
        </w:tc>
        <w:tc>
          <w:tcPr>
            <w:tcW w:w="1180" w:type="dxa"/>
            <w:vAlign w:val="bottom"/>
            <w:tcBorders>
              <w:bottom w:val="single" w:sz="8" w:color="0033A0"/>
            </w:tcBorders>
          </w:tcPr>
          <w:p>
            <w:pPr>
              <w:spacing w:after="0"/>
              <w:rPr>
                <w:sz w:val="19"/>
                <w:szCs w:val="19"/>
                <w:color w:val="auto"/>
              </w:rPr>
            </w:pPr>
          </w:p>
        </w:tc>
        <w:tc>
          <w:tcPr>
            <w:tcW w:w="900" w:type="dxa"/>
            <w:vAlign w:val="bottom"/>
            <w:tcBorders>
              <w:bottom w:val="single" w:sz="8" w:color="0033A0"/>
            </w:tcBorders>
          </w:tcPr>
          <w:p>
            <w:pPr>
              <w:spacing w:after="0"/>
              <w:rPr>
                <w:sz w:val="19"/>
                <w:szCs w:val="19"/>
                <w:color w:val="auto"/>
              </w:rPr>
            </w:pPr>
          </w:p>
        </w:tc>
        <w:tc>
          <w:tcPr>
            <w:tcW w:w="220" w:type="dxa"/>
            <w:vAlign w:val="bottom"/>
            <w:tcBorders>
              <w:bottom w:val="single" w:sz="8" w:color="0033A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The awards are valued based on the closing price of common stock on the NYSE on December 29, 2017, which was $40.99.</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Options awards granted on June 7, 2017 and vest ratably each February 14 of 2018, 2019, and 2020.</w:t>
      </w:r>
    </w:p>
    <w:p>
      <w:pPr>
        <w:spacing w:after="0" w:line="68" w:lineRule="exact"/>
        <w:rPr>
          <w:rFonts w:ascii="Arial" w:cs="Arial" w:eastAsia="Arial" w:hAnsi="Arial"/>
          <w:sz w:val="14"/>
          <w:szCs w:val="14"/>
          <w:i w:val="1"/>
          <w:iCs w:val="1"/>
          <w:color w:val="auto"/>
        </w:rPr>
      </w:pPr>
    </w:p>
    <w:p>
      <w:pPr>
        <w:ind w:left="520" w:right="20" w:hanging="316"/>
        <w:spacing w:after="0" w:line="279" w:lineRule="auto"/>
        <w:tabs>
          <w:tab w:leader="none" w:pos="5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This portion represents the 40% of the award that featured time-based vesting and vested on February 15, 2017.</w:t>
      </w:r>
    </w:p>
    <w:p>
      <w:pPr>
        <w:spacing w:after="0" w:line="17" w:lineRule="exact"/>
        <w:rPr>
          <w:rFonts w:ascii="Arial" w:cs="Arial" w:eastAsia="Arial" w:hAnsi="Arial"/>
          <w:sz w:val="14"/>
          <w:szCs w:val="14"/>
          <w:i w:val="1"/>
          <w:iCs w:val="1"/>
          <w:color w:val="auto"/>
        </w:rPr>
      </w:pPr>
    </w:p>
    <w:p>
      <w:pPr>
        <w:ind w:left="520" w:right="20" w:hanging="316"/>
        <w:spacing w:after="0" w:line="279" w:lineRule="auto"/>
        <w:tabs>
          <w:tab w:leader="none" w:pos="5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This portion represents the 20% of the award that features performance-based vesting and vested on February 15, 2018 for the performance period ending December 31, 2017.</w:t>
      </w:r>
    </w:p>
    <w:p>
      <w:pPr>
        <w:spacing w:after="0" w:line="17" w:lineRule="exact"/>
        <w:rPr>
          <w:rFonts w:ascii="Arial" w:cs="Arial" w:eastAsia="Arial" w:hAnsi="Arial"/>
          <w:sz w:val="14"/>
          <w:szCs w:val="14"/>
          <w:i w:val="1"/>
          <w:iCs w:val="1"/>
          <w:color w:val="auto"/>
        </w:rPr>
      </w:pPr>
    </w:p>
    <w:p>
      <w:pPr>
        <w:ind w:left="520" w:right="20" w:hanging="316"/>
        <w:spacing w:after="0" w:line="279" w:lineRule="auto"/>
        <w:tabs>
          <w:tab w:leader="none" w:pos="52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This portion represents the unearned 40% of the award that features performance-based vesting and vests ratably each February 15 of 2019 and 2020.</w:t>
      </w:r>
    </w:p>
    <w:p>
      <w:pPr>
        <w:spacing w:after="0" w:line="112"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ind w:left="520" w:right="40" w:hanging="316"/>
        <w:spacing w:after="0" w:line="279" w:lineRule="auto"/>
        <w:tabs>
          <w:tab w:leader="none" w:pos="5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RSU awards granted on February 10, 2016, and vest ratably each February 10 of 2017, 2018, and 2019. RSU awards granted on February 11, 2015 and vest ratably each February 11 of 2016, 2017, and 2018.</w:t>
      </w:r>
    </w:p>
    <w:p>
      <w:pPr>
        <w:spacing w:after="0" w:line="17" w:lineRule="exact"/>
        <w:rPr>
          <w:rFonts w:ascii="Arial" w:cs="Arial" w:eastAsia="Arial" w:hAnsi="Arial"/>
          <w:sz w:val="14"/>
          <w:szCs w:val="14"/>
          <w:i w:val="1"/>
          <w:iCs w:val="1"/>
          <w:color w:val="auto"/>
        </w:rPr>
      </w:pPr>
    </w:p>
    <w:p>
      <w:pPr>
        <w:jc w:val="both"/>
        <w:ind w:left="520" w:right="40" w:hanging="316"/>
        <w:spacing w:after="0" w:line="254" w:lineRule="auto"/>
        <w:tabs>
          <w:tab w:leader="none" w:pos="5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2017 PSU awards granted on February 14, 2017, cliff-vest on February 14, 2020, upon completion of results for the performance period January 1, 2017–December 31, 2019. 2016 PSU awards granted on February 10, 2016 and cliff-vest on February 10, 2019, upon completion of results for the performance period January 1, 2016– December 31, 2018. 2015 PSU awards granted on February 11, 2015 and cliff-vested on February 11, 2018, upon completion of results for the performance period January 1, 2015–December 31, 2017. The final performance for the 2015–2017 PSU was 200% and is discussed on page 47.</w:t>
      </w:r>
    </w:p>
    <w:p>
      <w:pPr>
        <w:spacing w:after="0" w:line="34" w:lineRule="exact"/>
        <w:rPr>
          <w:rFonts w:ascii="Arial" w:cs="Arial" w:eastAsia="Arial" w:hAnsi="Arial"/>
          <w:sz w:val="14"/>
          <w:szCs w:val="14"/>
          <w:i w:val="1"/>
          <w:iCs w:val="1"/>
          <w:color w:val="auto"/>
        </w:rPr>
      </w:pPr>
    </w:p>
    <w:p>
      <w:pPr>
        <w:jc w:val="both"/>
        <w:ind w:left="520" w:right="40" w:hanging="316"/>
        <w:spacing w:after="0" w:line="251" w:lineRule="auto"/>
        <w:tabs>
          <w:tab w:leader="none" w:pos="5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Assumes target-level payout of PSU awards. If maximum-level payout of PSU awards, the number of shares (and market value of such shares) with respect to unvested 2016–2018 PSUs and 2017–2020 PSUs, respectively, outstanding as of December 31, 2017 was for Ms. Barra: 703,718 shares ($28,845,401) and 523,632 shares ($21,463,676); for Mr. Stevens: 186,756 shares ($7,655,128) and 150,042 shares ($6,150,222); for Mr. Ammann: 254,422 shares ($10,428,758) and 198,880 shares ($8,152,091); for Mr. Reuss: 211,116 shares ($8,653,645) and 163,132 shares ($6,686,781); for Mr. Batey: 146,158 shares ($5,991,016) and 108,502 shares ($4,447,497); for Dr. Neumann: 128,564 shares ($5,269,838) and 95,664 shares ($3,921,267).</w:t>
      </w:r>
    </w:p>
    <w:p>
      <w:pPr>
        <w:spacing w:after="0" w:line="317"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25"/>
          <w:szCs w:val="25"/>
          <w:color w:val="0033A0"/>
        </w:rPr>
      </w:pPr>
      <w:r>
        <w:rPr>
          <w:rFonts w:ascii="Arial" w:cs="Arial" w:eastAsia="Arial" w:hAnsi="Arial"/>
          <w:sz w:val="25"/>
          <w:szCs w:val="25"/>
          <w:color w:val="auto"/>
        </w:rPr>
        <w:t>Option Exercises and Stock Vested</w:t>
      </w:r>
    </w:p>
    <w:p>
      <w:pPr>
        <w:spacing w:after="0" w:line="6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240" w:type="dxa"/>
            <w:vAlign w:val="bottom"/>
            <w:shd w:val="clear" w:color="auto" w:fill="00A1DF"/>
          </w:tcPr>
          <w:p>
            <w:pPr>
              <w:spacing w:after="0"/>
              <w:rPr>
                <w:sz w:val="14"/>
                <w:szCs w:val="14"/>
                <w:color w:val="auto"/>
              </w:rPr>
            </w:pPr>
          </w:p>
        </w:tc>
        <w:tc>
          <w:tcPr>
            <w:tcW w:w="1600" w:type="dxa"/>
            <w:vAlign w:val="bottom"/>
            <w:shd w:val="clear" w:color="auto" w:fill="00A1DF"/>
          </w:tcPr>
          <w:p>
            <w:pPr>
              <w:spacing w:after="0"/>
              <w:rPr>
                <w:sz w:val="14"/>
                <w:szCs w:val="14"/>
                <w:color w:val="auto"/>
              </w:rPr>
            </w:pPr>
          </w:p>
        </w:tc>
        <w:tc>
          <w:tcPr>
            <w:tcW w:w="2840" w:type="dxa"/>
            <w:vAlign w:val="bottom"/>
            <w:gridSpan w:val="2"/>
            <w:shd w:val="clear" w:color="auto" w:fill="00A1DF"/>
          </w:tcPr>
          <w:p>
            <w:pPr>
              <w:jc w:val="right"/>
              <w:ind w:right="885"/>
              <w:spacing w:after="0"/>
              <w:rPr>
                <w:sz w:val="20"/>
                <w:szCs w:val="20"/>
                <w:color w:val="auto"/>
              </w:rPr>
            </w:pPr>
            <w:r>
              <w:rPr>
                <w:rFonts w:ascii="Arial" w:cs="Arial" w:eastAsia="Arial" w:hAnsi="Arial"/>
                <w:sz w:val="15"/>
                <w:szCs w:val="15"/>
                <w:b w:val="1"/>
                <w:bCs w:val="1"/>
                <w:color w:val="00A1DF"/>
              </w:rPr>
              <w:t>Option Awards</w:t>
            </w:r>
          </w:p>
        </w:tc>
        <w:tc>
          <w:tcPr>
            <w:tcW w:w="240" w:type="dxa"/>
            <w:vAlign w:val="bottom"/>
            <w:shd w:val="clear" w:color="auto" w:fill="00A1DF"/>
          </w:tcPr>
          <w:p>
            <w:pPr>
              <w:spacing w:after="0"/>
              <w:rPr>
                <w:sz w:val="14"/>
                <w:szCs w:val="14"/>
                <w:color w:val="auto"/>
              </w:rPr>
            </w:pPr>
          </w:p>
        </w:tc>
        <w:tc>
          <w:tcPr>
            <w:tcW w:w="3100" w:type="dxa"/>
            <w:vAlign w:val="bottom"/>
            <w:gridSpan w:val="3"/>
            <w:shd w:val="clear" w:color="auto" w:fill="00A1DF"/>
          </w:tcPr>
          <w:p>
            <w:pPr>
              <w:jc w:val="right"/>
              <w:ind w:right="1180"/>
              <w:spacing w:after="0"/>
              <w:rPr>
                <w:sz w:val="20"/>
                <w:szCs w:val="20"/>
                <w:color w:val="auto"/>
              </w:rPr>
            </w:pPr>
            <w:r>
              <w:rPr>
                <w:rFonts w:ascii="Arial" w:cs="Arial" w:eastAsia="Arial" w:hAnsi="Arial"/>
                <w:sz w:val="15"/>
                <w:szCs w:val="15"/>
                <w:b w:val="1"/>
                <w:bCs w:val="1"/>
                <w:color w:val="00A1DF"/>
              </w:rPr>
              <w:t>Stock Awards</w:t>
            </w:r>
          </w:p>
        </w:tc>
      </w:tr>
      <w:tr>
        <w:trPr>
          <w:trHeight w:val="158"/>
        </w:trPr>
        <w:tc>
          <w:tcPr>
            <w:tcW w:w="3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40" w:type="dxa"/>
            <w:vAlign w:val="bottom"/>
            <w:tcBorders>
              <w:bottom w:val="single" w:sz="8" w:color="00A1DF"/>
            </w:tcBorders>
          </w:tcPr>
          <w:p>
            <w:pPr>
              <w:spacing w:after="0"/>
              <w:rPr>
                <w:sz w:val="13"/>
                <w:szCs w:val="13"/>
                <w:color w:val="auto"/>
              </w:rPr>
            </w:pPr>
          </w:p>
        </w:tc>
        <w:tc>
          <w:tcPr>
            <w:tcW w:w="1400" w:type="dxa"/>
            <w:vAlign w:val="bottom"/>
            <w:tcBorders>
              <w:bottom w:val="single" w:sz="8" w:color="00A1DF"/>
            </w:tcBorders>
          </w:tcPr>
          <w:p>
            <w:pPr>
              <w:jc w:val="right"/>
              <w:ind w:right="725"/>
              <w:spacing w:after="0"/>
              <w:rPr>
                <w:sz w:val="20"/>
                <w:szCs w:val="20"/>
                <w:color w:val="auto"/>
              </w:rPr>
            </w:pPr>
            <w:r>
              <w:rPr>
                <w:rFonts w:ascii="Arial" w:cs="Arial" w:eastAsia="Arial" w:hAnsi="Arial"/>
                <w:sz w:val="13"/>
                <w:szCs w:val="13"/>
                <w:b w:val="1"/>
                <w:bCs w:val="1"/>
                <w:color w:val="00A1DF"/>
              </w:rPr>
              <w:t>(1)</w:t>
            </w:r>
          </w:p>
        </w:tc>
        <w:tc>
          <w:tcPr>
            <w:tcW w:w="240" w:type="dxa"/>
            <w:vAlign w:val="bottom"/>
          </w:tcPr>
          <w:p>
            <w:pPr>
              <w:spacing w:after="0"/>
              <w:rPr>
                <w:sz w:val="13"/>
                <w:szCs w:val="13"/>
                <w:color w:val="auto"/>
              </w:rPr>
            </w:pPr>
          </w:p>
        </w:tc>
        <w:tc>
          <w:tcPr>
            <w:tcW w:w="1600" w:type="dxa"/>
            <w:vAlign w:val="bottom"/>
            <w:tcBorders>
              <w:bottom w:val="single" w:sz="8" w:color="00A1DF"/>
            </w:tcBorders>
          </w:tcPr>
          <w:p>
            <w:pPr>
              <w:spacing w:after="0"/>
              <w:rPr>
                <w:sz w:val="13"/>
                <w:szCs w:val="13"/>
                <w:color w:val="auto"/>
              </w:rPr>
            </w:pPr>
          </w:p>
        </w:tc>
        <w:tc>
          <w:tcPr>
            <w:tcW w:w="1400" w:type="dxa"/>
            <w:vAlign w:val="bottom"/>
            <w:tcBorders>
              <w:bottom w:val="single" w:sz="8" w:color="00A1DF"/>
            </w:tcBorders>
          </w:tcPr>
          <w:p>
            <w:pPr>
              <w:jc w:val="right"/>
              <w:ind w:right="845"/>
              <w:spacing w:after="0"/>
              <w:rPr>
                <w:sz w:val="20"/>
                <w:szCs w:val="20"/>
                <w:color w:val="auto"/>
              </w:rPr>
            </w:pPr>
            <w:r>
              <w:rPr>
                <w:rFonts w:ascii="Arial" w:cs="Arial" w:eastAsia="Arial" w:hAnsi="Arial"/>
                <w:sz w:val="13"/>
                <w:szCs w:val="13"/>
                <w:b w:val="1"/>
                <w:bCs w:val="1"/>
                <w:color w:val="00A1DF"/>
              </w:rPr>
              <w:t>(2)</w:t>
            </w:r>
          </w:p>
        </w:tc>
        <w:tc>
          <w:tcPr>
            <w:tcW w:w="100" w:type="dxa"/>
            <w:vAlign w:val="bottom"/>
          </w:tcPr>
          <w:p>
            <w:pPr>
              <w:spacing w:after="0"/>
              <w:rPr>
                <w:sz w:val="13"/>
                <w:szCs w:val="13"/>
                <w:color w:val="auto"/>
              </w:rPr>
            </w:pPr>
          </w:p>
        </w:tc>
      </w:tr>
      <w:tr>
        <w:trPr>
          <w:trHeight w:val="134"/>
        </w:trPr>
        <w:tc>
          <w:tcPr>
            <w:tcW w:w="3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jc w:val="right"/>
              <w:ind w:right="43"/>
              <w:spacing w:after="0" w:line="134" w:lineRule="exact"/>
              <w:rPr>
                <w:sz w:val="20"/>
                <w:szCs w:val="20"/>
                <w:color w:val="auto"/>
              </w:rPr>
            </w:pPr>
            <w:r>
              <w:rPr>
                <w:rFonts w:ascii="Arial" w:cs="Arial" w:eastAsia="Arial" w:hAnsi="Arial"/>
                <w:sz w:val="15"/>
                <w:szCs w:val="15"/>
                <w:b w:val="1"/>
                <w:bCs w:val="1"/>
                <w:color w:val="00A1DF"/>
              </w:rPr>
              <w:t>Number of Shares</w:t>
            </w:r>
          </w:p>
        </w:tc>
        <w:tc>
          <w:tcPr>
            <w:tcW w:w="140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Value Realized on</w:t>
            </w:r>
          </w:p>
        </w:tc>
        <w:tc>
          <w:tcPr>
            <w:tcW w:w="240" w:type="dxa"/>
            <w:vAlign w:val="bottom"/>
          </w:tcPr>
          <w:p>
            <w:pPr>
              <w:spacing w:after="0"/>
              <w:rPr>
                <w:sz w:val="11"/>
                <w:szCs w:val="11"/>
                <w:color w:val="auto"/>
              </w:rPr>
            </w:pPr>
          </w:p>
        </w:tc>
        <w:tc>
          <w:tcPr>
            <w:tcW w:w="1600" w:type="dxa"/>
            <w:vAlign w:val="bottom"/>
          </w:tcPr>
          <w:p>
            <w:pPr>
              <w:jc w:val="right"/>
              <w:ind w:right="43"/>
              <w:spacing w:after="0" w:line="134" w:lineRule="exact"/>
              <w:rPr>
                <w:sz w:val="20"/>
                <w:szCs w:val="20"/>
                <w:color w:val="auto"/>
              </w:rPr>
            </w:pPr>
            <w:r>
              <w:rPr>
                <w:rFonts w:ascii="Arial" w:cs="Arial" w:eastAsia="Arial" w:hAnsi="Arial"/>
                <w:sz w:val="15"/>
                <w:szCs w:val="15"/>
                <w:b w:val="1"/>
                <w:bCs w:val="1"/>
                <w:color w:val="00A1DF"/>
              </w:rPr>
              <w:t>Number of Shares</w:t>
            </w:r>
          </w:p>
        </w:tc>
        <w:tc>
          <w:tcPr>
            <w:tcW w:w="140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Value Realized on</w:t>
            </w:r>
          </w:p>
        </w:tc>
        <w:tc>
          <w:tcPr>
            <w:tcW w:w="100" w:type="dxa"/>
            <w:vAlign w:val="bottom"/>
          </w:tcPr>
          <w:p>
            <w:pPr>
              <w:spacing w:after="0"/>
              <w:rPr>
                <w:sz w:val="11"/>
                <w:szCs w:val="11"/>
                <w:color w:val="auto"/>
              </w:rPr>
            </w:pPr>
          </w:p>
        </w:tc>
      </w:tr>
      <w:tr>
        <w:trPr>
          <w:trHeight w:val="162"/>
        </w:trPr>
        <w:tc>
          <w:tcPr>
            <w:tcW w:w="3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Acquired on</w:t>
            </w:r>
          </w:p>
        </w:tc>
        <w:tc>
          <w:tcPr>
            <w:tcW w:w="14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Exercise</w:t>
            </w:r>
          </w:p>
        </w:tc>
        <w:tc>
          <w:tcPr>
            <w:tcW w:w="1840" w:type="dxa"/>
            <w:vAlign w:val="bottom"/>
            <w:gridSpan w:val="2"/>
          </w:tcPr>
          <w:p>
            <w:pPr>
              <w:jc w:val="right"/>
              <w:ind w:right="43"/>
              <w:spacing w:after="0" w:line="162" w:lineRule="exact"/>
              <w:rPr>
                <w:sz w:val="20"/>
                <w:szCs w:val="20"/>
                <w:color w:val="auto"/>
              </w:rPr>
            </w:pPr>
            <w:r>
              <w:rPr>
                <w:rFonts w:ascii="Arial" w:cs="Arial" w:eastAsia="Arial" w:hAnsi="Arial"/>
                <w:sz w:val="15"/>
                <w:szCs w:val="15"/>
                <w:b w:val="1"/>
                <w:bCs w:val="1"/>
                <w:color w:val="00A1DF"/>
              </w:rPr>
              <w:t>Acquired on Vesting</w:t>
            </w:r>
          </w:p>
        </w:tc>
        <w:tc>
          <w:tcPr>
            <w:tcW w:w="1500" w:type="dxa"/>
            <w:vAlign w:val="bottom"/>
            <w:gridSpan w:val="2"/>
          </w:tcPr>
          <w:p>
            <w:pPr>
              <w:jc w:val="right"/>
              <w:ind w:right="100"/>
              <w:spacing w:after="0" w:line="162" w:lineRule="exact"/>
              <w:rPr>
                <w:sz w:val="20"/>
                <w:szCs w:val="20"/>
                <w:color w:val="auto"/>
              </w:rPr>
            </w:pPr>
            <w:r>
              <w:rPr>
                <w:rFonts w:ascii="Arial" w:cs="Arial" w:eastAsia="Arial" w:hAnsi="Arial"/>
                <w:sz w:val="15"/>
                <w:szCs w:val="15"/>
                <w:b w:val="1"/>
                <w:bCs w:val="1"/>
                <w:color w:val="00A1DF"/>
              </w:rPr>
              <w:t>Vesting</w:t>
            </w:r>
          </w:p>
        </w:tc>
      </w:tr>
      <w:tr>
        <w:trPr>
          <w:trHeight w:val="202"/>
        </w:trPr>
        <w:tc>
          <w:tcPr>
            <w:tcW w:w="3240" w:type="dxa"/>
            <w:vAlign w:val="bottom"/>
          </w:tcPr>
          <w:p>
            <w:pPr>
              <w:ind w:left="60"/>
              <w:spacing w:after="0"/>
              <w:rPr>
                <w:sz w:val="20"/>
                <w:szCs w:val="20"/>
                <w:color w:val="auto"/>
              </w:rPr>
            </w:pPr>
            <w:r>
              <w:rPr>
                <w:rFonts w:ascii="Arial" w:cs="Arial" w:eastAsia="Arial" w:hAnsi="Arial"/>
                <w:sz w:val="15"/>
                <w:szCs w:val="15"/>
                <w:b w:val="1"/>
                <w:bCs w:val="1"/>
                <w:color w:val="00A1DF"/>
              </w:rPr>
              <w:t>Name</w:t>
            </w:r>
          </w:p>
        </w:tc>
        <w:tc>
          <w:tcPr>
            <w:tcW w:w="160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b w:val="1"/>
                <w:bCs w:val="1"/>
                <w:color w:val="00A1DF"/>
              </w:rPr>
              <w:t>Exercise (#)</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b w:val="1"/>
                <w:bCs w:val="1"/>
                <w:color w:val="00A1DF"/>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100" w:type="dxa"/>
            <w:vAlign w:val="bottom"/>
          </w:tcPr>
          <w:p>
            <w:pPr>
              <w:spacing w:after="0"/>
              <w:rPr>
                <w:sz w:val="17"/>
                <w:szCs w:val="17"/>
                <w:color w:val="auto"/>
              </w:rPr>
            </w:pPr>
          </w:p>
        </w:tc>
      </w:tr>
      <w:tr>
        <w:trPr>
          <w:trHeight w:val="35"/>
        </w:trPr>
        <w:tc>
          <w:tcPr>
            <w:tcW w:w="324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1440" w:type="dxa"/>
            <w:vAlign w:val="bottom"/>
            <w:tcBorders>
              <w:bottom w:val="single" w:sz="8" w:color="00A1DF"/>
            </w:tcBorders>
          </w:tcPr>
          <w:p>
            <w:pPr>
              <w:spacing w:after="0"/>
              <w:rPr>
                <w:sz w:val="3"/>
                <w:szCs w:val="3"/>
                <w:color w:val="auto"/>
              </w:rPr>
            </w:pPr>
          </w:p>
        </w:tc>
        <w:tc>
          <w:tcPr>
            <w:tcW w:w="1400" w:type="dxa"/>
            <w:vAlign w:val="bottom"/>
            <w:tcBorders>
              <w:bottom w:val="single" w:sz="8" w:color="00A1DF"/>
            </w:tcBorders>
          </w:tcPr>
          <w:p>
            <w:pPr>
              <w:spacing w:after="0"/>
              <w:rPr>
                <w:sz w:val="3"/>
                <w:szCs w:val="3"/>
                <w:color w:val="auto"/>
              </w:rPr>
            </w:pPr>
          </w:p>
        </w:tc>
        <w:tc>
          <w:tcPr>
            <w:tcW w:w="24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1400" w:type="dxa"/>
            <w:vAlign w:val="bottom"/>
            <w:tcBorders>
              <w:bottom w:val="single" w:sz="8" w:color="00A1DF"/>
            </w:tcBorders>
          </w:tcPr>
          <w:p>
            <w:pPr>
              <w:spacing w:after="0"/>
              <w:rPr>
                <w:sz w:val="3"/>
                <w:szCs w:val="3"/>
                <w:color w:val="auto"/>
              </w:rPr>
            </w:pPr>
          </w:p>
        </w:tc>
        <w:tc>
          <w:tcPr>
            <w:tcW w:w="100" w:type="dxa"/>
            <w:vAlign w:val="bottom"/>
            <w:tcBorders>
              <w:bottom w:val="single" w:sz="8" w:color="00A1DF"/>
            </w:tcBorders>
          </w:tcPr>
          <w:p>
            <w:pPr>
              <w:spacing w:after="0"/>
              <w:rPr>
                <w:sz w:val="3"/>
                <w:szCs w:val="3"/>
                <w:color w:val="auto"/>
              </w:rPr>
            </w:pPr>
          </w:p>
        </w:tc>
      </w:tr>
      <w:tr>
        <w:trPr>
          <w:trHeight w:val="178"/>
        </w:trPr>
        <w:tc>
          <w:tcPr>
            <w:tcW w:w="3240" w:type="dxa"/>
            <w:vAlign w:val="bottom"/>
          </w:tcPr>
          <w:p>
            <w:pPr>
              <w:ind w:left="60"/>
              <w:spacing w:after="0"/>
              <w:rPr>
                <w:sz w:val="20"/>
                <w:szCs w:val="20"/>
                <w:color w:val="auto"/>
              </w:rPr>
            </w:pPr>
            <w:r>
              <w:rPr>
                <w:rFonts w:ascii="Arial" w:cs="Arial" w:eastAsia="Arial" w:hAnsi="Arial"/>
                <w:sz w:val="15"/>
                <w:szCs w:val="15"/>
                <w:color w:val="auto"/>
              </w:rPr>
              <w:t>Mary T. Barra</w:t>
            </w:r>
          </w:p>
        </w:tc>
        <w:tc>
          <w:tcPr>
            <w:tcW w:w="1600" w:type="dxa"/>
            <w:vAlign w:val="bottom"/>
          </w:tcPr>
          <w:p>
            <w:pPr>
              <w:spacing w:after="0"/>
              <w:rPr>
                <w:sz w:val="15"/>
                <w:szCs w:val="15"/>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color w:val="auto"/>
              </w:rPr>
              <w:t>506,118</w:t>
            </w:r>
          </w:p>
        </w:tc>
        <w:tc>
          <w:tcPr>
            <w:tcW w:w="1400" w:type="dxa"/>
            <w:vAlign w:val="bottom"/>
          </w:tcPr>
          <w:p>
            <w:pPr>
              <w:jc w:val="right"/>
              <w:spacing w:after="0"/>
              <w:rPr>
                <w:sz w:val="20"/>
                <w:szCs w:val="20"/>
                <w:color w:val="auto"/>
              </w:rPr>
            </w:pPr>
            <w:r>
              <w:rPr>
                <w:rFonts w:ascii="Arial" w:cs="Arial" w:eastAsia="Arial" w:hAnsi="Arial"/>
                <w:sz w:val="15"/>
                <w:szCs w:val="15"/>
                <w:color w:val="auto"/>
              </w:rPr>
              <w:t>17,952,336</w:t>
            </w:r>
          </w:p>
        </w:tc>
        <w:tc>
          <w:tcPr>
            <w:tcW w:w="100" w:type="dxa"/>
            <w:vAlign w:val="bottom"/>
          </w:tcPr>
          <w:p>
            <w:pPr>
              <w:spacing w:after="0"/>
              <w:rPr>
                <w:sz w:val="15"/>
                <w:szCs w:val="15"/>
                <w:color w:val="auto"/>
              </w:rPr>
            </w:pPr>
          </w:p>
        </w:tc>
      </w:tr>
      <w:tr>
        <w:trPr>
          <w:trHeight w:val="32"/>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8"/>
        </w:trPr>
        <w:tc>
          <w:tcPr>
            <w:tcW w:w="3240" w:type="dxa"/>
            <w:vAlign w:val="bottom"/>
          </w:tcPr>
          <w:p>
            <w:pPr>
              <w:ind w:left="60"/>
              <w:spacing w:after="0"/>
              <w:rPr>
                <w:sz w:val="20"/>
                <w:szCs w:val="20"/>
                <w:color w:val="auto"/>
              </w:rPr>
            </w:pPr>
            <w:r>
              <w:rPr>
                <w:rFonts w:ascii="Arial" w:cs="Arial" w:eastAsia="Arial" w:hAnsi="Arial"/>
                <w:sz w:val="15"/>
                <w:szCs w:val="15"/>
                <w:color w:val="auto"/>
              </w:rPr>
              <w:t>Charles K. Stevens, III</w:t>
            </w:r>
          </w:p>
        </w:tc>
        <w:tc>
          <w:tcPr>
            <w:tcW w:w="3040" w:type="dxa"/>
            <w:vAlign w:val="bottom"/>
            <w:gridSpan w:val="2"/>
          </w:tcPr>
          <w:p>
            <w:pPr>
              <w:jc w:val="right"/>
              <w:ind w:right="43"/>
              <w:spacing w:after="0"/>
              <w:rPr>
                <w:sz w:val="20"/>
                <w:szCs w:val="20"/>
                <w:color w:val="auto"/>
              </w:rPr>
            </w:pPr>
            <w:r>
              <w:rPr>
                <w:rFonts w:ascii="Arial" w:cs="Arial" w:eastAsia="Arial" w:hAnsi="Arial"/>
                <w:sz w:val="15"/>
                <w:szCs w:val="15"/>
                <w:color w:val="auto"/>
              </w:rPr>
              <w:t>249,458</w:t>
            </w:r>
          </w:p>
        </w:tc>
        <w:tc>
          <w:tcPr>
            <w:tcW w:w="1400" w:type="dxa"/>
            <w:vAlign w:val="bottom"/>
          </w:tcPr>
          <w:p>
            <w:pPr>
              <w:jc w:val="right"/>
              <w:spacing w:after="0"/>
              <w:rPr>
                <w:sz w:val="20"/>
                <w:szCs w:val="20"/>
                <w:color w:val="auto"/>
              </w:rPr>
            </w:pPr>
            <w:r>
              <w:rPr>
                <w:rFonts w:ascii="Arial" w:cs="Arial" w:eastAsia="Arial" w:hAnsi="Arial"/>
                <w:sz w:val="15"/>
                <w:szCs w:val="15"/>
                <w:color w:val="auto"/>
              </w:rPr>
              <w:t>3,278,227</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color w:val="auto"/>
              </w:rPr>
              <w:t>126,236</w:t>
            </w:r>
          </w:p>
        </w:tc>
        <w:tc>
          <w:tcPr>
            <w:tcW w:w="1400" w:type="dxa"/>
            <w:vAlign w:val="bottom"/>
          </w:tcPr>
          <w:p>
            <w:pPr>
              <w:jc w:val="right"/>
              <w:spacing w:after="0"/>
              <w:rPr>
                <w:sz w:val="20"/>
                <w:szCs w:val="20"/>
                <w:color w:val="auto"/>
              </w:rPr>
            </w:pPr>
            <w:r>
              <w:rPr>
                <w:rFonts w:ascii="Arial" w:cs="Arial" w:eastAsia="Arial" w:hAnsi="Arial"/>
                <w:sz w:val="15"/>
                <w:szCs w:val="15"/>
                <w:color w:val="auto"/>
              </w:rPr>
              <w:t>4,477,131</w:t>
            </w:r>
          </w:p>
        </w:tc>
        <w:tc>
          <w:tcPr>
            <w:tcW w:w="100" w:type="dxa"/>
            <w:vAlign w:val="bottom"/>
          </w:tcPr>
          <w:p>
            <w:pPr>
              <w:spacing w:after="0"/>
              <w:rPr>
                <w:sz w:val="15"/>
                <w:szCs w:val="15"/>
                <w:color w:val="auto"/>
              </w:rPr>
            </w:pPr>
          </w:p>
        </w:tc>
      </w:tr>
      <w:tr>
        <w:trPr>
          <w:trHeight w:val="32"/>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8"/>
        </w:trPr>
        <w:tc>
          <w:tcPr>
            <w:tcW w:w="3240" w:type="dxa"/>
            <w:vAlign w:val="bottom"/>
          </w:tcPr>
          <w:p>
            <w:pPr>
              <w:ind w:left="60"/>
              <w:spacing w:after="0"/>
              <w:rPr>
                <w:sz w:val="20"/>
                <w:szCs w:val="20"/>
                <w:color w:val="auto"/>
              </w:rPr>
            </w:pPr>
            <w:r>
              <w:rPr>
                <w:rFonts w:ascii="Arial" w:cs="Arial" w:eastAsia="Arial" w:hAnsi="Arial"/>
                <w:sz w:val="15"/>
                <w:szCs w:val="15"/>
                <w:color w:val="auto"/>
              </w:rPr>
              <w:t>Daniel Ammann</w:t>
            </w:r>
          </w:p>
        </w:tc>
        <w:tc>
          <w:tcPr>
            <w:tcW w:w="1600" w:type="dxa"/>
            <w:vAlign w:val="bottom"/>
          </w:tcPr>
          <w:p>
            <w:pPr>
              <w:spacing w:after="0"/>
              <w:rPr>
                <w:sz w:val="15"/>
                <w:szCs w:val="15"/>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color w:val="auto"/>
              </w:rPr>
              <w:t>231,322</w:t>
            </w:r>
          </w:p>
        </w:tc>
        <w:tc>
          <w:tcPr>
            <w:tcW w:w="1400" w:type="dxa"/>
            <w:vAlign w:val="bottom"/>
          </w:tcPr>
          <w:p>
            <w:pPr>
              <w:jc w:val="right"/>
              <w:spacing w:after="0"/>
              <w:rPr>
                <w:sz w:val="20"/>
                <w:szCs w:val="20"/>
                <w:color w:val="auto"/>
              </w:rPr>
            </w:pPr>
            <w:r>
              <w:rPr>
                <w:rFonts w:ascii="Arial" w:cs="Arial" w:eastAsia="Arial" w:hAnsi="Arial"/>
                <w:sz w:val="15"/>
                <w:szCs w:val="15"/>
                <w:color w:val="auto"/>
              </w:rPr>
              <w:t>8,206,125</w:t>
            </w:r>
          </w:p>
        </w:tc>
        <w:tc>
          <w:tcPr>
            <w:tcW w:w="100" w:type="dxa"/>
            <w:vAlign w:val="bottom"/>
          </w:tcPr>
          <w:p>
            <w:pPr>
              <w:spacing w:after="0"/>
              <w:rPr>
                <w:sz w:val="15"/>
                <w:szCs w:val="15"/>
                <w:color w:val="auto"/>
              </w:rPr>
            </w:pPr>
          </w:p>
        </w:tc>
      </w:tr>
      <w:tr>
        <w:trPr>
          <w:trHeight w:val="32"/>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8"/>
        </w:trPr>
        <w:tc>
          <w:tcPr>
            <w:tcW w:w="3240" w:type="dxa"/>
            <w:vAlign w:val="bottom"/>
          </w:tcPr>
          <w:p>
            <w:pPr>
              <w:ind w:left="60"/>
              <w:spacing w:after="0"/>
              <w:rPr>
                <w:sz w:val="20"/>
                <w:szCs w:val="20"/>
                <w:color w:val="auto"/>
              </w:rPr>
            </w:pPr>
            <w:r>
              <w:rPr>
                <w:rFonts w:ascii="Arial" w:cs="Arial" w:eastAsia="Arial" w:hAnsi="Arial"/>
                <w:sz w:val="15"/>
                <w:szCs w:val="15"/>
                <w:color w:val="auto"/>
              </w:rPr>
              <w:t>Mark L. Reuss</w:t>
            </w:r>
          </w:p>
        </w:tc>
        <w:tc>
          <w:tcPr>
            <w:tcW w:w="3040" w:type="dxa"/>
            <w:vAlign w:val="bottom"/>
            <w:gridSpan w:val="2"/>
          </w:tcPr>
          <w:p>
            <w:pPr>
              <w:jc w:val="right"/>
              <w:ind w:right="43"/>
              <w:spacing w:after="0"/>
              <w:rPr>
                <w:sz w:val="20"/>
                <w:szCs w:val="20"/>
                <w:color w:val="auto"/>
              </w:rPr>
            </w:pPr>
            <w:r>
              <w:rPr>
                <w:rFonts w:ascii="Arial" w:cs="Arial" w:eastAsia="Arial" w:hAnsi="Arial"/>
                <w:sz w:val="15"/>
                <w:szCs w:val="15"/>
                <w:color w:val="auto"/>
              </w:rPr>
              <w:t>331,888</w:t>
            </w:r>
          </w:p>
        </w:tc>
        <w:tc>
          <w:tcPr>
            <w:tcW w:w="1400" w:type="dxa"/>
            <w:vAlign w:val="bottom"/>
          </w:tcPr>
          <w:p>
            <w:pPr>
              <w:jc w:val="right"/>
              <w:spacing w:after="0"/>
              <w:rPr>
                <w:sz w:val="20"/>
                <w:szCs w:val="20"/>
                <w:color w:val="auto"/>
              </w:rPr>
            </w:pPr>
            <w:r>
              <w:rPr>
                <w:rFonts w:ascii="Arial" w:cs="Arial" w:eastAsia="Arial" w:hAnsi="Arial"/>
                <w:sz w:val="15"/>
                <w:szCs w:val="15"/>
                <w:color w:val="auto"/>
              </w:rPr>
              <w:t>1,222,211</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color w:val="auto"/>
              </w:rPr>
              <w:t>254,800</w:t>
            </w:r>
          </w:p>
        </w:tc>
        <w:tc>
          <w:tcPr>
            <w:tcW w:w="1400" w:type="dxa"/>
            <w:vAlign w:val="bottom"/>
          </w:tcPr>
          <w:p>
            <w:pPr>
              <w:jc w:val="right"/>
              <w:spacing w:after="0"/>
              <w:rPr>
                <w:sz w:val="20"/>
                <w:szCs w:val="20"/>
                <w:color w:val="auto"/>
              </w:rPr>
            </w:pPr>
            <w:r>
              <w:rPr>
                <w:rFonts w:ascii="Arial" w:cs="Arial" w:eastAsia="Arial" w:hAnsi="Arial"/>
                <w:sz w:val="15"/>
                <w:szCs w:val="15"/>
                <w:color w:val="auto"/>
              </w:rPr>
              <w:t>9,032,512</w:t>
            </w:r>
          </w:p>
        </w:tc>
        <w:tc>
          <w:tcPr>
            <w:tcW w:w="100" w:type="dxa"/>
            <w:vAlign w:val="bottom"/>
          </w:tcPr>
          <w:p>
            <w:pPr>
              <w:spacing w:after="0"/>
              <w:rPr>
                <w:sz w:val="15"/>
                <w:szCs w:val="15"/>
                <w:color w:val="auto"/>
              </w:rPr>
            </w:pPr>
          </w:p>
        </w:tc>
      </w:tr>
      <w:tr>
        <w:trPr>
          <w:trHeight w:val="32"/>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8"/>
        </w:trPr>
        <w:tc>
          <w:tcPr>
            <w:tcW w:w="3240" w:type="dxa"/>
            <w:vAlign w:val="bottom"/>
          </w:tcPr>
          <w:p>
            <w:pPr>
              <w:ind w:left="60"/>
              <w:spacing w:after="0"/>
              <w:rPr>
                <w:sz w:val="20"/>
                <w:szCs w:val="20"/>
                <w:color w:val="auto"/>
              </w:rPr>
            </w:pPr>
            <w:r>
              <w:rPr>
                <w:rFonts w:ascii="Arial" w:cs="Arial" w:eastAsia="Arial" w:hAnsi="Arial"/>
                <w:sz w:val="15"/>
                <w:szCs w:val="15"/>
                <w:color w:val="auto"/>
              </w:rPr>
              <w:t>Alan S. Batey</w:t>
            </w:r>
          </w:p>
        </w:tc>
        <w:tc>
          <w:tcPr>
            <w:tcW w:w="3040" w:type="dxa"/>
            <w:vAlign w:val="bottom"/>
            <w:gridSpan w:val="2"/>
          </w:tcPr>
          <w:p>
            <w:pPr>
              <w:jc w:val="right"/>
              <w:ind w:right="43"/>
              <w:spacing w:after="0"/>
              <w:rPr>
                <w:sz w:val="20"/>
                <w:szCs w:val="20"/>
                <w:color w:val="auto"/>
              </w:rPr>
            </w:pPr>
            <w:r>
              <w:rPr>
                <w:rFonts w:ascii="Arial" w:cs="Arial" w:eastAsia="Arial" w:hAnsi="Arial"/>
                <w:sz w:val="15"/>
                <w:szCs w:val="15"/>
                <w:color w:val="auto"/>
              </w:rPr>
              <w:t>234,274</w:t>
            </w:r>
          </w:p>
        </w:tc>
        <w:tc>
          <w:tcPr>
            <w:tcW w:w="1400" w:type="dxa"/>
            <w:vAlign w:val="bottom"/>
          </w:tcPr>
          <w:p>
            <w:pPr>
              <w:jc w:val="right"/>
              <w:spacing w:after="0"/>
              <w:rPr>
                <w:sz w:val="20"/>
                <w:szCs w:val="20"/>
                <w:color w:val="auto"/>
              </w:rPr>
            </w:pPr>
            <w:r>
              <w:rPr>
                <w:rFonts w:ascii="Arial" w:cs="Arial" w:eastAsia="Arial" w:hAnsi="Arial"/>
                <w:sz w:val="15"/>
                <w:szCs w:val="15"/>
                <w:color w:val="auto"/>
              </w:rPr>
              <w:t>1,573,702</w:t>
            </w:r>
          </w:p>
        </w:tc>
        <w:tc>
          <w:tcPr>
            <w:tcW w:w="1840" w:type="dxa"/>
            <w:vAlign w:val="bottom"/>
            <w:gridSpan w:val="2"/>
          </w:tcPr>
          <w:p>
            <w:pPr>
              <w:jc w:val="right"/>
              <w:ind w:right="43"/>
              <w:spacing w:after="0"/>
              <w:rPr>
                <w:sz w:val="20"/>
                <w:szCs w:val="20"/>
                <w:color w:val="auto"/>
              </w:rPr>
            </w:pPr>
            <w:r>
              <w:rPr>
                <w:rFonts w:ascii="Arial" w:cs="Arial" w:eastAsia="Arial" w:hAnsi="Arial"/>
                <w:sz w:val="15"/>
                <w:szCs w:val="15"/>
                <w:color w:val="auto"/>
              </w:rPr>
              <w:t>135,982</w:t>
            </w:r>
          </w:p>
        </w:tc>
        <w:tc>
          <w:tcPr>
            <w:tcW w:w="1400" w:type="dxa"/>
            <w:vAlign w:val="bottom"/>
          </w:tcPr>
          <w:p>
            <w:pPr>
              <w:jc w:val="right"/>
              <w:spacing w:after="0"/>
              <w:rPr>
                <w:sz w:val="20"/>
                <w:szCs w:val="20"/>
                <w:color w:val="auto"/>
              </w:rPr>
            </w:pPr>
            <w:r>
              <w:rPr>
                <w:rFonts w:ascii="Arial" w:cs="Arial" w:eastAsia="Arial" w:hAnsi="Arial"/>
                <w:sz w:val="15"/>
                <w:szCs w:val="15"/>
                <w:color w:val="auto"/>
              </w:rPr>
              <w:t>4,824,134</w:t>
            </w:r>
          </w:p>
        </w:tc>
        <w:tc>
          <w:tcPr>
            <w:tcW w:w="100" w:type="dxa"/>
            <w:vAlign w:val="bottom"/>
          </w:tcPr>
          <w:p>
            <w:pPr>
              <w:spacing w:after="0"/>
              <w:rPr>
                <w:sz w:val="15"/>
                <w:szCs w:val="15"/>
                <w:color w:val="auto"/>
              </w:rPr>
            </w:pPr>
          </w:p>
        </w:tc>
      </w:tr>
      <w:tr>
        <w:trPr>
          <w:trHeight w:val="32"/>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9"/>
        </w:trPr>
        <w:tc>
          <w:tcPr>
            <w:tcW w:w="3240" w:type="dxa"/>
            <w:vAlign w:val="bottom"/>
            <w:tcBorders>
              <w:bottom w:val="single" w:sz="8" w:color="0033A0"/>
            </w:tcBorders>
          </w:tcPr>
          <w:p>
            <w:pPr>
              <w:ind w:left="60"/>
              <w:spacing w:after="0" w:line="169" w:lineRule="exact"/>
              <w:rPr>
                <w:sz w:val="20"/>
                <w:szCs w:val="20"/>
                <w:color w:val="auto"/>
              </w:rPr>
            </w:pPr>
            <w:r>
              <w:rPr>
                <w:rFonts w:ascii="Arial" w:cs="Arial" w:eastAsia="Arial" w:hAnsi="Arial"/>
                <w:sz w:val="15"/>
                <w:szCs w:val="15"/>
                <w:color w:val="auto"/>
              </w:rPr>
              <w:t>Karl-Thomas Neumann</w:t>
            </w:r>
          </w:p>
        </w:tc>
        <w:tc>
          <w:tcPr>
            <w:tcW w:w="3040" w:type="dxa"/>
            <w:vAlign w:val="bottom"/>
            <w:tcBorders>
              <w:bottom w:val="single" w:sz="8" w:color="0033A0"/>
            </w:tcBorders>
            <w:gridSpan w:val="2"/>
          </w:tcPr>
          <w:p>
            <w:pPr>
              <w:jc w:val="right"/>
              <w:ind w:right="43"/>
              <w:spacing w:after="0" w:line="169" w:lineRule="exact"/>
              <w:rPr>
                <w:sz w:val="20"/>
                <w:szCs w:val="20"/>
                <w:color w:val="auto"/>
              </w:rPr>
            </w:pPr>
            <w:r>
              <w:rPr>
                <w:rFonts w:ascii="Arial" w:cs="Arial" w:eastAsia="Arial" w:hAnsi="Arial"/>
                <w:sz w:val="15"/>
                <w:szCs w:val="15"/>
                <w:color w:val="auto"/>
              </w:rPr>
              <w:t>234,274</w:t>
            </w:r>
          </w:p>
        </w:tc>
        <w:tc>
          <w:tcPr>
            <w:tcW w:w="140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color w:val="auto"/>
              </w:rPr>
              <w:t>808,339</w:t>
            </w:r>
          </w:p>
        </w:tc>
        <w:tc>
          <w:tcPr>
            <w:tcW w:w="1840" w:type="dxa"/>
            <w:vAlign w:val="bottom"/>
            <w:tcBorders>
              <w:bottom w:val="single" w:sz="8" w:color="0033A0"/>
            </w:tcBorders>
            <w:gridSpan w:val="2"/>
          </w:tcPr>
          <w:p>
            <w:pPr>
              <w:jc w:val="right"/>
              <w:ind w:right="43"/>
              <w:spacing w:after="0" w:line="169" w:lineRule="exact"/>
              <w:rPr>
                <w:sz w:val="20"/>
                <w:szCs w:val="20"/>
                <w:color w:val="auto"/>
              </w:rPr>
            </w:pPr>
            <w:r>
              <w:rPr>
                <w:rFonts w:ascii="Arial" w:cs="Arial" w:eastAsia="Arial" w:hAnsi="Arial"/>
                <w:sz w:val="15"/>
                <w:szCs w:val="15"/>
                <w:color w:val="auto"/>
              </w:rPr>
              <w:t>158,341</w:t>
            </w:r>
          </w:p>
        </w:tc>
        <w:tc>
          <w:tcPr>
            <w:tcW w:w="140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color w:val="auto"/>
              </w:rPr>
              <w:t>5,665,176</w:t>
            </w:r>
          </w:p>
        </w:tc>
        <w:tc>
          <w:tcPr>
            <w:tcW w:w="100" w:type="dxa"/>
            <w:vAlign w:val="bottom"/>
            <w:tcBorders>
              <w:bottom w:val="single" w:sz="8" w:color="0033A0"/>
            </w:tcBorders>
          </w:tcPr>
          <w:p>
            <w:pPr>
              <w:spacing w:after="0"/>
              <w:rPr>
                <w:sz w:val="14"/>
                <w:szCs w:val="14"/>
                <w:color w:val="auto"/>
              </w:rPr>
            </w:pPr>
          </w:p>
        </w:tc>
      </w:tr>
    </w:tbl>
    <w:p>
      <w:pPr>
        <w:spacing w:after="0" w:line="58" w:lineRule="exact"/>
        <w:rPr>
          <w:sz w:val="20"/>
          <w:szCs w:val="20"/>
          <w:color w:val="auto"/>
        </w:rPr>
      </w:pPr>
    </w:p>
    <w:p>
      <w:pPr>
        <w:ind w:left="520" w:right="40" w:hanging="316"/>
        <w:spacing w:after="0" w:line="279" w:lineRule="auto"/>
        <w:tabs>
          <w:tab w:leader="none" w:pos="52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We computed the aggregate dollar value realized upon the exercise of Stock Options by multiplying the number of shares at exercise by the difference between the market price of our stock at exercise and the exercise price of the options.</w:t>
      </w:r>
    </w:p>
    <w:p>
      <w:pPr>
        <w:spacing w:after="0" w:line="17" w:lineRule="exact"/>
        <w:rPr>
          <w:rFonts w:ascii="Arial" w:cs="Arial" w:eastAsia="Arial" w:hAnsi="Arial"/>
          <w:sz w:val="14"/>
          <w:szCs w:val="14"/>
          <w:i w:val="1"/>
          <w:iCs w:val="1"/>
          <w:color w:val="auto"/>
        </w:rPr>
      </w:pPr>
    </w:p>
    <w:p>
      <w:pPr>
        <w:ind w:left="520" w:right="40" w:hanging="316"/>
        <w:spacing w:after="0" w:line="259" w:lineRule="auto"/>
        <w:tabs>
          <w:tab w:leader="none" w:pos="52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We computed the aggregate dollar value realized on vesting by multiplying the number of shares of stock vested by the closing price of common stock on the vesting date.</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25"/>
          <w:szCs w:val="25"/>
          <w:color w:val="0033A0"/>
        </w:rPr>
      </w:pPr>
      <w:r>
        <w:rPr>
          <w:rFonts w:ascii="Arial" w:cs="Arial" w:eastAsia="Arial" w:hAnsi="Arial"/>
          <w:sz w:val="25"/>
          <w:szCs w:val="25"/>
          <w:color w:val="auto"/>
        </w:rPr>
        <w:t>Pension Benefits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GM Salaried Retirement Plan</w:t>
      </w:r>
    </w:p>
    <w:p>
      <w:pPr>
        <w:spacing w:after="0" w:line="266"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Salaried Retirement Plan (“SRP”) is a</w:t>
      </w:r>
      <w:r>
        <w:rPr>
          <w:rFonts w:ascii="Arial" w:cs="Arial" w:eastAsia="Arial" w:hAnsi="Arial"/>
          <w:sz w:val="16"/>
          <w:szCs w:val="16"/>
          <w:b w:val="1"/>
          <w:bCs w:val="1"/>
          <w:color w:val="0033A0"/>
        </w:rPr>
        <w:t xml:space="preserve"> </w:t>
      </w:r>
      <w:r>
        <w:rPr>
          <w:rFonts w:ascii="Arial" w:cs="Arial" w:eastAsia="Arial" w:hAnsi="Arial"/>
          <w:sz w:val="16"/>
          <w:szCs w:val="16"/>
          <w:color w:val="000000"/>
        </w:rPr>
        <w:t>funded, tax-qualified retirement program that covers eligible employees hired prior to January 1, 2007. Employees who commenced service on or after January 1, 2007, are eligible to participate only in defined contribution plans. Employees are vested in the SRP after five years of qualifying service. The plan permitted employee contributions, which vested immediately, until December 31, 2006. All Defined Benefit accruals were frozen on September 30, 2012, with service continuing toward eligibility to retire.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0033A0"/>
        </w:rPr>
        <w:t xml:space="preserve">Service prior to January 1, 2001: </w:t>
      </w:r>
      <w:r>
        <w:rPr>
          <w:rFonts w:ascii="Arial" w:cs="Arial" w:eastAsia="Arial" w:hAnsi="Arial"/>
          <w:sz w:val="16"/>
          <w:szCs w:val="16"/>
          <w:color w:val="000000"/>
        </w:rPr>
        <w:t>The plan provided benefits on both a</w:t>
      </w:r>
      <w:r>
        <w:rPr>
          <w:rFonts w:ascii="Arial" w:cs="Arial" w:eastAsia="Arial" w:hAnsi="Arial"/>
          <w:sz w:val="16"/>
          <w:szCs w:val="16"/>
          <w:b w:val="1"/>
          <w:bCs w:val="1"/>
          <w:color w:val="0033A0"/>
        </w:rPr>
        <w:t xml:space="preserve"> </w:t>
      </w:r>
      <w:r>
        <w:rPr>
          <w:rFonts w:ascii="Arial" w:cs="Arial" w:eastAsia="Arial" w:hAnsi="Arial"/>
          <w:sz w:val="16"/>
          <w:szCs w:val="16"/>
          <w:color w:val="000000"/>
        </w:rPr>
        <w:t>contributory and noncontributory formula. The contributory formula factors the contributions of the executive and earnings for each fiscal year. The formulas were frozen effective December 31, 2006, and effective January 1, 2007, employees continued to participate in the SRP under a new formula that provided a pension accrual equal to 1.25% of the employee’s eligible earnings up to the IRS-prescribed limits for tax-qualified plans. The 1.25% accruals were frozen September 30, 2012.</w:t>
      </w:r>
    </w:p>
    <w:p>
      <w:pPr>
        <w:spacing w:after="0" w:line="75" w:lineRule="exact"/>
        <w:rPr>
          <w:sz w:val="20"/>
          <w:szCs w:val="20"/>
          <w:color w:val="auto"/>
        </w:rPr>
      </w:pPr>
    </w:p>
    <w:p>
      <w:pPr>
        <w:jc w:val="both"/>
        <w:ind w:left="220"/>
        <w:spacing w:after="0" w:line="259" w:lineRule="auto"/>
        <w:rPr>
          <w:sz w:val="20"/>
          <w:szCs w:val="20"/>
          <w:color w:val="auto"/>
        </w:rPr>
      </w:pPr>
      <w:r>
        <w:rPr>
          <w:rFonts w:ascii="Arial" w:cs="Arial" w:eastAsia="Arial" w:hAnsi="Arial"/>
          <w:sz w:val="16"/>
          <w:szCs w:val="16"/>
          <w:b w:val="1"/>
          <w:bCs w:val="1"/>
          <w:color w:val="0033A0"/>
        </w:rPr>
        <w:t xml:space="preserve">Service from January 1, 2001 to December 31, 2006: </w:t>
      </w:r>
      <w:r>
        <w:rPr>
          <w:rFonts w:ascii="Arial" w:cs="Arial" w:eastAsia="Arial" w:hAnsi="Arial"/>
          <w:sz w:val="16"/>
          <w:szCs w:val="16"/>
          <w:color w:val="000000"/>
        </w:rPr>
        <w:t>The plan</w:t>
      </w:r>
      <w:r>
        <w:rPr>
          <w:rFonts w:ascii="Arial" w:cs="Arial" w:eastAsia="Arial" w:hAnsi="Arial"/>
          <w:sz w:val="16"/>
          <w:szCs w:val="16"/>
          <w:b w:val="1"/>
          <w:bCs w:val="1"/>
          <w:color w:val="0033A0"/>
        </w:rPr>
        <w:t xml:space="preserve"> </w:t>
      </w:r>
      <w:r>
        <w:rPr>
          <w:rFonts w:ascii="Arial" w:cs="Arial" w:eastAsia="Arial" w:hAnsi="Arial"/>
          <w:sz w:val="16"/>
          <w:szCs w:val="16"/>
          <w:color w:val="000000"/>
        </w:rPr>
        <w:t>provided benefits under a cash balance formula with pay credits based on age through December 31, 2006, when the formula was frozen, with balances continuing to earn interest credits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The accumulated benefit an employee earns</w:t>
      </w:r>
      <w:r>
        <w:rPr>
          <w:rFonts w:ascii="Arial" w:cs="Arial" w:eastAsia="Arial" w:hAnsi="Arial"/>
          <w:sz w:val="16"/>
          <w:szCs w:val="16"/>
          <w:b w:val="1"/>
          <w:bCs w:val="1"/>
          <w:color w:val="0033A0"/>
        </w:rPr>
        <w:t xml:space="preserve"> </w:t>
      </w:r>
      <w:r>
        <w:rPr>
          <w:rFonts w:ascii="Arial" w:cs="Arial" w:eastAsia="Arial" w:hAnsi="Arial"/>
          <w:sz w:val="16"/>
          <w:szCs w:val="16"/>
          <w:color w:val="000000"/>
        </w:rPr>
        <w:t>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The plan also provides Social Security supplements for those hired prior to 1988. For employees hired on and after January 1, 1988, and prior to December 31, 2000, Social Security supplements are not payable, and age-reduction factors are greater for retirements prior to age 60. The plan provides both a spousal joint and survivor annuity and contingent annuitant optional form of payment. The employee may elect either a monthly annuity for life or a 100% lump sum of all benefits payable.</w:t>
      </w:r>
    </w:p>
    <w:p>
      <w:pPr>
        <w:spacing w:after="0" w:line="84"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b w:val="1"/>
          <w:bCs w:val="1"/>
          <w:color w:val="0033A0"/>
        </w:rPr>
        <w:t xml:space="preserve">Tax Code Limitations on Benefits: </w:t>
      </w:r>
      <w:r>
        <w:rPr>
          <w:rFonts w:ascii="Arial" w:cs="Arial" w:eastAsia="Arial" w:hAnsi="Arial"/>
          <w:sz w:val="16"/>
          <w:szCs w:val="16"/>
          <w:color w:val="000000"/>
        </w:rPr>
        <w:t>Section 415 of the IRC limits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benefits payable under the GM SRP. For 2017, the maximum single life annuity a NEO could have received under these limits was $215,000 per year. This ceiling is actuarially adjusted in accordance with IRS rules to reflect employee contributions, actual forms of distribution, and actual retirement dates.</w:t>
      </w:r>
    </w:p>
    <w:p>
      <w:pPr>
        <w:spacing w:after="0" w:line="1135"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63"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61</w:t>
      </w:r>
    </w:p>
    <w:p>
      <w:pPr>
        <w:sectPr>
          <w:pgSz w:w="11900" w:h="16838" w:orient="portrait"/>
          <w:cols w:equalWidth="0" w:num="1">
            <w:col w:w="11260"/>
          </w:cols>
          <w:pgMar w:left="240" w:top="459" w:right="3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GM Executive Retirement Plan</w:t>
      </w:r>
    </w:p>
    <w:p>
      <w:pPr>
        <w:spacing w:after="0" w:line="171"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Executive Retirement Plan (“DB ERP”) is an unfunded and non-tax-qualified retirement program that covers eligible</w:t>
      </w:r>
      <w:r>
        <w:rPr>
          <w:rFonts w:ascii="Arial" w:cs="Arial" w:eastAsia="Arial" w:hAnsi="Arial"/>
          <w:sz w:val="16"/>
          <w:szCs w:val="16"/>
          <w:b w:val="1"/>
          <w:bCs w:val="1"/>
          <w:color w:val="0033A0"/>
        </w:rPr>
        <w:t xml:space="preserve"> </w:t>
      </w:r>
      <w:r>
        <w:rPr>
          <w:rFonts w:ascii="Arial" w:cs="Arial" w:eastAsia="Arial" w:hAnsi="Arial"/>
          <w:sz w:val="16"/>
          <w:szCs w:val="16"/>
          <w:color w:val="000000"/>
        </w:rPr>
        <w:t>executives, including named executives, to provide retirement benefits above amounts available under our other pension programs.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b w:val="1"/>
          <w:bCs w:val="1"/>
          <w:color w:val="0033A0"/>
        </w:rPr>
        <w:t xml:space="preserve">Service Prior to January 1, 2007: </w:t>
      </w:r>
      <w:r>
        <w:rPr>
          <w:rFonts w:ascii="Arial" w:cs="Arial" w:eastAsia="Arial" w:hAnsi="Arial"/>
          <w:sz w:val="16"/>
          <w:szCs w:val="16"/>
          <w:color w:val="000000"/>
        </w:rPr>
        <w:t>The supplemental pension will equal the greater of (a) 2% of the average monthly base salary multiplied by all years</w:t>
      </w:r>
      <w:r>
        <w:rPr>
          <w:rFonts w:ascii="Arial" w:cs="Arial" w:eastAsia="Arial" w:hAnsi="Arial"/>
          <w:sz w:val="16"/>
          <w:szCs w:val="16"/>
          <w:b w:val="1"/>
          <w:bCs w:val="1"/>
          <w:color w:val="0033A0"/>
        </w:rPr>
        <w:t xml:space="preserve"> </w:t>
      </w:r>
      <w:r>
        <w:rPr>
          <w:rFonts w:ascii="Arial" w:cs="Arial" w:eastAsia="Arial" w:hAnsi="Arial"/>
          <w:sz w:val="16"/>
          <w:szCs w:val="16"/>
          <w:color w:val="000000"/>
        </w:rPr>
        <w:t>of contributory service less the sum of all benefits payable under the GM Salaried Retirement plus the maximum Social Security Benefit as of January 2007 multiplied by all years of noncontributory service or (b) 1.5% of the average monthly base salary plus annual incentive plan compensation multiplied by all years of contributory service, up to a maximum of 35 years less the sum of all benefits payable under the GM SRP plus 100% of the maximum Social Security benefit as of January 2007. In both cases, the base salary and annual incentive plan payments are determined using the highest 60 months out of the last 120 months prior to retirement.</w:t>
      </w:r>
    </w:p>
    <w:p>
      <w:pPr>
        <w:spacing w:after="0" w:line="74"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Service from January 1, 2007 to December 31, 2007: </w:t>
      </w:r>
      <w:r>
        <w:rPr>
          <w:rFonts w:ascii="Arial" w:cs="Arial" w:eastAsia="Arial" w:hAnsi="Arial"/>
          <w:sz w:val="16"/>
          <w:szCs w:val="16"/>
          <w:color w:val="000000"/>
        </w:rPr>
        <w:t>The supplemental pension will equal 1.25% multiplied by their annual base salary and is</w:t>
      </w:r>
      <w:r>
        <w:rPr>
          <w:rFonts w:ascii="Arial" w:cs="Arial" w:eastAsia="Arial" w:hAnsi="Arial"/>
          <w:sz w:val="16"/>
          <w:szCs w:val="16"/>
          <w:b w:val="1"/>
          <w:bCs w:val="1"/>
          <w:color w:val="0033A0"/>
        </w:rPr>
        <w:t xml:space="preserve"> </w:t>
      </w:r>
      <w:r>
        <w:rPr>
          <w:rFonts w:ascii="Arial" w:cs="Arial" w:eastAsia="Arial" w:hAnsi="Arial"/>
          <w:sz w:val="16"/>
          <w:szCs w:val="16"/>
          <w:color w:val="000000"/>
        </w:rPr>
        <w:t>applicable to amounts in excess of the IRS-prescribed limit applicable to tax-qualified plans.</w:t>
      </w:r>
    </w:p>
    <w:p>
      <w:pPr>
        <w:spacing w:after="0" w:line="48"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Service from January 1, 2008 to September 30, 2012: </w:t>
      </w:r>
      <w:r>
        <w:rPr>
          <w:rFonts w:ascii="Arial" w:cs="Arial" w:eastAsia="Arial" w:hAnsi="Arial"/>
          <w:sz w:val="16"/>
          <w:szCs w:val="16"/>
          <w:color w:val="000000"/>
        </w:rPr>
        <w:t>The supplemental pension will equal 1.25% multiplied by their annual base salary plus short-term incentive payments and is applicable to amounts in excess of the IRS-prescribed limit applicable to tax-qualified plans.</w:t>
      </w:r>
    </w:p>
    <w:p>
      <w:pPr>
        <w:spacing w:after="0" w:line="48"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however, employees who commenced service prior to January 1, 2007,</w:t>
      </w:r>
      <w:r>
        <w:rPr>
          <w:rFonts w:ascii="Arial" w:cs="Arial" w:eastAsia="Arial" w:hAnsi="Arial"/>
          <w:sz w:val="16"/>
          <w:szCs w:val="16"/>
          <w:b w:val="1"/>
          <w:bCs w:val="1"/>
          <w:color w:val="0033A0"/>
        </w:rPr>
        <w:t xml:space="preserve"> </w:t>
      </w:r>
      <w:r>
        <w:rPr>
          <w:rFonts w:ascii="Arial" w:cs="Arial" w:eastAsia="Arial" w:hAnsi="Arial"/>
          <w:sz w:val="16"/>
          <w:szCs w:val="16"/>
          <w:color w:val="000000"/>
        </w:rPr>
        <w:t>including NEOs, may retire at age 60 with 10 or more years of service without any reduction in benefits. Employees may also retire at age 55 with 10 or more years of service with benefits reduced using the same factors as are utilized for early retirement under the GM SRP. The GM DB ERP is payable as a five-year certain annuity, with payments starting upon the retirement of the executive and continuing for 60 months.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VML Pension Plan</w:t>
      </w:r>
    </w:p>
    <w:p>
      <w:pPr>
        <w:spacing w:after="0" w:line="185"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Vauxhall Motors (“VML”) Pension Plan is a funded defined benefit plan open to all GM United Kingdom employees prior to</w:t>
      </w:r>
      <w:r>
        <w:rPr>
          <w:rFonts w:ascii="Arial" w:cs="Arial" w:eastAsia="Arial" w:hAnsi="Arial"/>
          <w:sz w:val="16"/>
          <w:szCs w:val="16"/>
          <w:b w:val="1"/>
          <w:bCs w:val="1"/>
          <w:color w:val="0033A0"/>
        </w:rPr>
        <w:t xml:space="preserve"> </w:t>
      </w:r>
      <w:r>
        <w:rPr>
          <w:rFonts w:ascii="Arial" w:cs="Arial" w:eastAsia="Arial" w:hAnsi="Arial"/>
          <w:sz w:val="16"/>
          <w:szCs w:val="16"/>
          <w:color w:val="000000"/>
        </w:rPr>
        <w:t>October 2012, when it closed to new entrants.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33A0"/>
        </w:rPr>
        <w:t xml:space="preserve">Service Prior to May 31, 2009: </w:t>
      </w:r>
      <w:r>
        <w:rPr>
          <w:rFonts w:ascii="Arial" w:cs="Arial" w:eastAsia="Arial" w:hAnsi="Arial"/>
          <w:sz w:val="16"/>
          <w:szCs w:val="16"/>
          <w:color w:val="000000"/>
        </w:rPr>
        <w:t>The VML Pension Plan gave an annual pension equal to 1/55th times pensionable service times Final Pensionable Pay.</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Pensionable Pay is defined as basic pay less the lower earnings limit.</w:t>
      </w:r>
    </w:p>
    <w:p>
      <w:pPr>
        <w:spacing w:after="0" w:line="93"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Service from June 1, 2009: </w:t>
      </w:r>
      <w:r>
        <w:rPr>
          <w:rFonts w:ascii="Arial" w:cs="Arial" w:eastAsia="Arial" w:hAnsi="Arial"/>
          <w:sz w:val="16"/>
          <w:szCs w:val="16"/>
          <w:color w:val="000000"/>
        </w:rPr>
        <w:t>An annual pension equal to 1/60th times pensionable service times Final Pensionable Pay. Increases in pensionable pay is</w:t>
      </w:r>
      <w:r>
        <w:rPr>
          <w:rFonts w:ascii="Arial" w:cs="Arial" w:eastAsia="Arial" w:hAnsi="Arial"/>
          <w:sz w:val="16"/>
          <w:szCs w:val="16"/>
          <w:b w:val="1"/>
          <w:bCs w:val="1"/>
          <w:color w:val="0033A0"/>
        </w:rPr>
        <w:t xml:space="preserve"> </w:t>
      </w:r>
      <w:r>
        <w:rPr>
          <w:rFonts w:ascii="Arial" w:cs="Arial" w:eastAsia="Arial" w:hAnsi="Arial"/>
          <w:sz w:val="16"/>
          <w:szCs w:val="16"/>
          <w:color w:val="000000"/>
        </w:rPr>
        <w:t>limited to the rate of RPI inflation annually other than for one off increases due to promotions.</w:t>
      </w:r>
    </w:p>
    <w:p>
      <w:pPr>
        <w:spacing w:after="0" w:line="48"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Deferred members can take their pension from age 55 subject to a</w:t>
      </w:r>
      <w:r>
        <w:rPr>
          <w:rFonts w:ascii="Arial" w:cs="Arial" w:eastAsia="Arial" w:hAnsi="Arial"/>
          <w:sz w:val="16"/>
          <w:szCs w:val="16"/>
          <w:b w:val="1"/>
          <w:bCs w:val="1"/>
          <w:color w:val="0033A0"/>
        </w:rPr>
        <w:t xml:space="preserve"> </w:t>
      </w:r>
      <w:r>
        <w:rPr>
          <w:rFonts w:ascii="Arial" w:cs="Arial" w:eastAsia="Arial" w:hAnsi="Arial"/>
          <w:sz w:val="16"/>
          <w:szCs w:val="16"/>
          <w:color w:val="000000"/>
        </w:rPr>
        <w:t>reduction, using the plans early retirement factors.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Adam Opel AG Pension Plan</w:t>
      </w:r>
    </w:p>
    <w:p>
      <w:pPr>
        <w:spacing w:after="0" w:line="171"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Adam Opel AG (“Opel”) Pension Plan is a cash balance plan. Participants hired after 2006 accrue “pension elements” each</w:t>
      </w:r>
      <w:r>
        <w:rPr>
          <w:rFonts w:ascii="Arial" w:cs="Arial" w:eastAsia="Arial" w:hAnsi="Arial"/>
          <w:sz w:val="16"/>
          <w:szCs w:val="16"/>
          <w:b w:val="1"/>
          <w:bCs w:val="1"/>
          <w:color w:val="0033A0"/>
        </w:rPr>
        <w:t xml:space="preserve"> </w:t>
      </w:r>
      <w:r>
        <w:rPr>
          <w:rFonts w:ascii="Arial" w:cs="Arial" w:eastAsia="Arial" w:hAnsi="Arial"/>
          <w:sz w:val="16"/>
          <w:szCs w:val="16"/>
          <w:color w:val="000000"/>
        </w:rPr>
        <w:t>year. The pension element equals a “pay credit” multiplied by an “age factor.” Full vesting is provided after five years of service and 25 years of age.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Benefit Formula:</w:t>
      </w:r>
    </w:p>
    <w:p>
      <w:pPr>
        <w:spacing w:after="0" w:line="194"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b w:val="1"/>
          <w:bCs w:val="1"/>
          <w:color w:val="0033A0"/>
        </w:rPr>
        <w:t xml:space="preserve">Service from 2006: </w:t>
      </w:r>
      <w:r>
        <w:rPr>
          <w:rFonts w:ascii="Arial" w:cs="Arial" w:eastAsia="Arial" w:hAnsi="Arial"/>
          <w:sz w:val="16"/>
          <w:szCs w:val="16"/>
          <w:color w:val="000000"/>
        </w:rPr>
        <w:t>The pay credit is 1.75% times the annual income for the year, plus 10.5% times the portion of the annual income in excess of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social security threshold for the year. The age factor is designed to accumulate the pay credit with interest to age 60 and ranges from 4% for the youngest employees to 1% for the oldest. Between 60 and retirement, in addition to the pension elements continuing to accrue, the accumulated pension elements are increased at the minimum guaranteed rate of interest for German life insurance contracts.</w:t>
      </w:r>
    </w:p>
    <w:p>
      <w:pPr>
        <w:spacing w:after="0" w:line="70"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63. Participants must wait until normal retirement benefit age before</w:t>
      </w:r>
      <w:r>
        <w:rPr>
          <w:rFonts w:ascii="Arial" w:cs="Arial" w:eastAsia="Arial" w:hAnsi="Arial"/>
          <w:sz w:val="16"/>
          <w:szCs w:val="16"/>
          <w:b w:val="1"/>
          <w:bCs w:val="1"/>
          <w:color w:val="0033A0"/>
        </w:rPr>
        <w:t xml:space="preserve"> </w:t>
      </w:r>
      <w:r>
        <w:rPr>
          <w:rFonts w:ascii="Arial" w:cs="Arial" w:eastAsia="Arial" w:hAnsi="Arial"/>
          <w:sz w:val="16"/>
          <w:szCs w:val="16"/>
          <w:color w:val="000000"/>
        </w:rPr>
        <w:t>commencing benefits. The normal form of payment is 12 annual installments. Payments in six annual installments, a lump sum, or a lifelong annuity are available, but subject to Company consent.</w:t>
      </w:r>
    </w:p>
    <w:p>
      <w:pPr>
        <w:spacing w:after="0" w:line="127"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3400" w:type="dxa"/>
            <w:vAlign w:val="bottom"/>
            <w:tcBorders>
              <w:top w:val="single" w:sz="8" w:color="00A1DF"/>
            </w:tcBorders>
          </w:tcPr>
          <w:p>
            <w:pPr>
              <w:spacing w:after="0"/>
              <w:rPr>
                <w:sz w:val="13"/>
                <w:szCs w:val="13"/>
                <w:color w:val="auto"/>
              </w:rPr>
            </w:pPr>
          </w:p>
        </w:tc>
        <w:tc>
          <w:tcPr>
            <w:tcW w:w="3120" w:type="dxa"/>
            <w:vAlign w:val="bottom"/>
            <w:tcBorders>
              <w:top w:val="single" w:sz="8" w:color="00A1DF"/>
            </w:tcBorders>
          </w:tcPr>
          <w:p>
            <w:pPr>
              <w:spacing w:after="0"/>
              <w:rPr>
                <w:sz w:val="13"/>
                <w:szCs w:val="13"/>
                <w:color w:val="auto"/>
              </w:rPr>
            </w:pPr>
          </w:p>
        </w:tc>
        <w:tc>
          <w:tcPr>
            <w:tcW w:w="1640" w:type="dxa"/>
            <w:vAlign w:val="bottom"/>
            <w:tcBorders>
              <w:top w:val="single" w:sz="8" w:color="00A1DF"/>
            </w:tcBorders>
          </w:tcPr>
          <w:p>
            <w:pPr>
              <w:jc w:val="right"/>
              <w:ind w:right="76"/>
              <w:spacing w:after="0" w:line="154" w:lineRule="exact"/>
              <w:rPr>
                <w:sz w:val="20"/>
                <w:szCs w:val="20"/>
                <w:color w:val="auto"/>
              </w:rPr>
            </w:pPr>
            <w:r>
              <w:rPr>
                <w:rFonts w:ascii="Arial" w:cs="Arial" w:eastAsia="Arial" w:hAnsi="Arial"/>
                <w:sz w:val="15"/>
                <w:szCs w:val="15"/>
                <w:b w:val="1"/>
                <w:bCs w:val="1"/>
                <w:color w:val="00A1DF"/>
              </w:rPr>
              <w:t>Number of Years</w:t>
            </w:r>
          </w:p>
        </w:tc>
        <w:tc>
          <w:tcPr>
            <w:tcW w:w="1400" w:type="dxa"/>
            <w:vAlign w:val="bottom"/>
            <w:tcBorders>
              <w:top w:val="single" w:sz="8" w:color="00A1DF"/>
            </w:tcBorders>
          </w:tcPr>
          <w:p>
            <w:pPr>
              <w:spacing w:after="0"/>
              <w:rPr>
                <w:sz w:val="13"/>
                <w:szCs w:val="13"/>
                <w:color w:val="auto"/>
              </w:rPr>
            </w:pPr>
          </w:p>
        </w:tc>
        <w:tc>
          <w:tcPr>
            <w:tcW w:w="1460" w:type="dxa"/>
            <w:vAlign w:val="bottom"/>
            <w:tcBorders>
              <w:top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40" w:type="dxa"/>
            <w:vAlign w:val="bottom"/>
          </w:tcPr>
          <w:p>
            <w:pPr>
              <w:jc w:val="right"/>
              <w:ind w:right="76"/>
              <w:spacing w:after="0" w:line="162" w:lineRule="exact"/>
              <w:rPr>
                <w:sz w:val="20"/>
                <w:szCs w:val="20"/>
                <w:color w:val="auto"/>
              </w:rPr>
            </w:pPr>
            <w:r>
              <w:rPr>
                <w:rFonts w:ascii="Arial" w:cs="Arial" w:eastAsia="Arial" w:hAnsi="Arial"/>
                <w:sz w:val="15"/>
                <w:szCs w:val="15"/>
                <w:b w:val="1"/>
                <w:bCs w:val="1"/>
                <w:color w:val="00A1DF"/>
              </w:rPr>
              <w:t>of Eligible Credited</w:t>
            </w:r>
          </w:p>
        </w:tc>
        <w:tc>
          <w:tcPr>
            <w:tcW w:w="1400" w:type="dxa"/>
            <w:vAlign w:val="bottom"/>
          </w:tcPr>
          <w:p>
            <w:pPr>
              <w:jc w:val="right"/>
              <w:ind w:right="61"/>
              <w:spacing w:after="0" w:line="162" w:lineRule="exact"/>
              <w:rPr>
                <w:sz w:val="20"/>
                <w:szCs w:val="20"/>
                <w:color w:val="auto"/>
              </w:rPr>
            </w:pPr>
            <w:r>
              <w:rPr>
                <w:rFonts w:ascii="Arial" w:cs="Arial" w:eastAsia="Arial" w:hAnsi="Arial"/>
                <w:sz w:val="15"/>
                <w:szCs w:val="15"/>
                <w:b w:val="1"/>
                <w:bCs w:val="1"/>
                <w:color w:val="00A1DF"/>
              </w:rPr>
              <w:t>Present Value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40" w:type="dxa"/>
            <w:vAlign w:val="bottom"/>
          </w:tcPr>
          <w:p>
            <w:pPr>
              <w:jc w:val="right"/>
              <w:ind w:right="76"/>
              <w:spacing w:after="0" w:line="162" w:lineRule="exact"/>
              <w:rPr>
                <w:sz w:val="20"/>
                <w:szCs w:val="20"/>
                <w:color w:val="auto"/>
              </w:rPr>
            </w:pPr>
            <w:r>
              <w:rPr>
                <w:rFonts w:ascii="Arial" w:cs="Arial" w:eastAsia="Arial" w:hAnsi="Arial"/>
                <w:sz w:val="15"/>
                <w:szCs w:val="15"/>
                <w:b w:val="1"/>
                <w:bCs w:val="1"/>
                <w:color w:val="00A1DF"/>
              </w:rPr>
              <w:t>Service as of</w:t>
            </w:r>
          </w:p>
        </w:tc>
        <w:tc>
          <w:tcPr>
            <w:tcW w:w="1400" w:type="dxa"/>
            <w:vAlign w:val="bottom"/>
          </w:tcPr>
          <w:p>
            <w:pPr>
              <w:jc w:val="right"/>
              <w:ind w:right="61"/>
              <w:spacing w:after="0" w:line="162" w:lineRule="exact"/>
              <w:rPr>
                <w:sz w:val="20"/>
                <w:szCs w:val="20"/>
                <w:color w:val="auto"/>
              </w:rPr>
            </w:pPr>
            <w:r>
              <w:rPr>
                <w:rFonts w:ascii="Arial" w:cs="Arial" w:eastAsia="Arial" w:hAnsi="Arial"/>
                <w:sz w:val="15"/>
                <w:szCs w:val="15"/>
                <w:b w:val="1"/>
                <w:bCs w:val="1"/>
                <w:color w:val="00A1DF"/>
              </w:rPr>
              <w:t>of Accumulated</w:t>
            </w:r>
          </w:p>
        </w:tc>
        <w:tc>
          <w:tcPr>
            <w:tcW w:w="1460" w:type="dxa"/>
            <w:vAlign w:val="bottom"/>
          </w:tcPr>
          <w:p>
            <w:pPr>
              <w:jc w:val="right"/>
              <w:ind w:right="38"/>
              <w:spacing w:after="0" w:line="162" w:lineRule="exact"/>
              <w:rPr>
                <w:sz w:val="20"/>
                <w:szCs w:val="20"/>
                <w:color w:val="auto"/>
              </w:rPr>
            </w:pPr>
            <w:r>
              <w:rPr>
                <w:rFonts w:ascii="Arial" w:cs="Arial" w:eastAsia="Arial" w:hAnsi="Arial"/>
                <w:sz w:val="15"/>
                <w:szCs w:val="15"/>
                <w:b w:val="1"/>
                <w:bCs w:val="1"/>
                <w:color w:val="00A1DF"/>
              </w:rPr>
              <w:t>Payments During</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40" w:type="dxa"/>
            <w:vAlign w:val="bottom"/>
          </w:tcPr>
          <w:p>
            <w:pPr>
              <w:jc w:val="right"/>
              <w:ind w:right="76"/>
              <w:spacing w:after="0"/>
              <w:rPr>
                <w:sz w:val="20"/>
                <w:szCs w:val="20"/>
                <w:color w:val="auto"/>
              </w:rPr>
            </w:pPr>
            <w:r>
              <w:rPr>
                <w:rFonts w:ascii="Arial" w:cs="Arial" w:eastAsia="Arial" w:hAnsi="Arial"/>
                <w:sz w:val="2"/>
                <w:szCs w:val="2"/>
                <w:b w:val="1"/>
                <w:bCs w:val="1"/>
                <w:color w:val="00A1DF"/>
              </w:rPr>
              <w:t>December 31,</w:t>
            </w:r>
          </w:p>
        </w:tc>
        <w:tc>
          <w:tcPr>
            <w:tcW w:w="1400" w:type="dxa"/>
            <w:vAlign w:val="bottom"/>
          </w:tcPr>
          <w:p>
            <w:pPr>
              <w:jc w:val="right"/>
              <w:ind w:right="221"/>
              <w:spacing w:after="0"/>
              <w:rPr>
                <w:sz w:val="20"/>
                <w:szCs w:val="20"/>
                <w:color w:val="auto"/>
              </w:rPr>
            </w:pPr>
            <w:r>
              <w:rPr>
                <w:rFonts w:ascii="Arial" w:cs="Arial" w:eastAsia="Arial" w:hAnsi="Arial"/>
                <w:sz w:val="2"/>
                <w:szCs w:val="2"/>
                <w:b w:val="1"/>
                <w:bCs w:val="1"/>
                <w:color w:val="00A1DF"/>
              </w:rPr>
              <w:t>Benefits</w:t>
            </w:r>
          </w:p>
        </w:tc>
        <w:tc>
          <w:tcPr>
            <w:tcW w:w="1460" w:type="dxa"/>
            <w:vAlign w:val="bottom"/>
          </w:tcPr>
          <w:p>
            <w:pPr>
              <w:jc w:val="right"/>
              <w:ind w:right="38"/>
              <w:spacing w:after="0"/>
              <w:rPr>
                <w:sz w:val="20"/>
                <w:szCs w:val="20"/>
                <w:color w:val="auto"/>
              </w:rPr>
            </w:pPr>
            <w:r>
              <w:rPr>
                <w:rFonts w:ascii="Arial" w:cs="Arial" w:eastAsia="Arial" w:hAnsi="Arial"/>
                <w:sz w:val="2"/>
                <w:szCs w:val="2"/>
                <w:b w:val="1"/>
                <w:bCs w:val="1"/>
                <w:color w:val="00A1DF"/>
              </w:rPr>
              <w:t>Last Fiscal Year</w:t>
            </w:r>
          </w:p>
        </w:tc>
        <w:tc>
          <w:tcPr>
            <w:tcW w:w="0" w:type="dxa"/>
            <w:vAlign w:val="bottom"/>
          </w:tcPr>
          <w:p>
            <w:pPr>
              <w:spacing w:after="0" w:line="20" w:lineRule="exact"/>
              <w:rPr>
                <w:sz w:val="1"/>
                <w:szCs w:val="1"/>
                <w:color w:val="auto"/>
              </w:rPr>
            </w:pPr>
          </w:p>
        </w:tc>
      </w:tr>
      <w:tr>
        <w:trPr>
          <w:trHeight w:val="137"/>
        </w:trPr>
        <w:tc>
          <w:tcPr>
            <w:tcW w:w="3400" w:type="dxa"/>
            <w:vAlign w:val="bottom"/>
            <w:vMerge w:val="restart"/>
          </w:tcPr>
          <w:p>
            <w:pPr>
              <w:ind w:left="60"/>
              <w:spacing w:after="0" w:line="162" w:lineRule="exact"/>
              <w:rPr>
                <w:sz w:val="20"/>
                <w:szCs w:val="20"/>
                <w:color w:val="auto"/>
              </w:rPr>
            </w:pPr>
            <w:r>
              <w:rPr>
                <w:rFonts w:ascii="Arial" w:cs="Arial" w:eastAsia="Arial" w:hAnsi="Arial"/>
                <w:sz w:val="15"/>
                <w:szCs w:val="15"/>
                <w:b w:val="1"/>
                <w:bCs w:val="1"/>
                <w:color w:val="00A1DF"/>
              </w:rPr>
              <w:t>Name</w:t>
            </w:r>
          </w:p>
        </w:tc>
        <w:tc>
          <w:tcPr>
            <w:tcW w:w="3120" w:type="dxa"/>
            <w:vAlign w:val="bottom"/>
            <w:vMerge w:val="restart"/>
          </w:tcPr>
          <w:p>
            <w:pPr>
              <w:ind w:left="2220"/>
              <w:spacing w:after="0" w:line="162" w:lineRule="exact"/>
              <w:rPr>
                <w:sz w:val="20"/>
                <w:szCs w:val="20"/>
                <w:color w:val="auto"/>
              </w:rPr>
            </w:pPr>
            <w:r>
              <w:rPr>
                <w:rFonts w:ascii="Arial" w:cs="Arial" w:eastAsia="Arial" w:hAnsi="Arial"/>
                <w:sz w:val="15"/>
                <w:szCs w:val="15"/>
                <w:b w:val="1"/>
                <w:bCs w:val="1"/>
                <w:color w:val="00A1DF"/>
              </w:rPr>
              <w:t>Plan Name</w:t>
            </w:r>
          </w:p>
        </w:tc>
        <w:tc>
          <w:tcPr>
            <w:tcW w:w="1640" w:type="dxa"/>
            <w:vAlign w:val="bottom"/>
            <w:vMerge w:val="restart"/>
          </w:tcPr>
          <w:p>
            <w:pPr>
              <w:jc w:val="right"/>
              <w:ind w:right="236"/>
              <w:spacing w:after="0" w:line="162" w:lineRule="exact"/>
              <w:rPr>
                <w:sz w:val="20"/>
                <w:szCs w:val="20"/>
                <w:color w:val="auto"/>
              </w:rPr>
            </w:pPr>
            <w:r>
              <w:rPr>
                <w:rFonts w:ascii="Arial" w:cs="Arial" w:eastAsia="Arial" w:hAnsi="Arial"/>
                <w:sz w:val="15"/>
                <w:szCs w:val="15"/>
                <w:b w:val="1"/>
                <w:bCs w:val="1"/>
                <w:color w:val="00A1DF"/>
              </w:rPr>
              <w:t>2017</w:t>
            </w:r>
          </w:p>
        </w:tc>
        <w:tc>
          <w:tcPr>
            <w:tcW w:w="1400" w:type="dxa"/>
            <w:vAlign w:val="bottom"/>
          </w:tcPr>
          <w:p>
            <w:pPr>
              <w:jc w:val="right"/>
              <w:ind w:right="61"/>
              <w:spacing w:after="0" w:line="137" w:lineRule="exact"/>
              <w:rPr>
                <w:sz w:val="20"/>
                <w:szCs w:val="20"/>
                <w:color w:val="auto"/>
              </w:rPr>
            </w:pPr>
            <w:r>
              <w:rPr>
                <w:rFonts w:ascii="Arial" w:cs="Arial" w:eastAsia="Arial" w:hAnsi="Arial"/>
                <w:sz w:val="13"/>
                <w:szCs w:val="13"/>
                <w:b w:val="1"/>
                <w:bCs w:val="1"/>
                <w:color w:val="00A1DF"/>
              </w:rPr>
              <w:t>(2)</w:t>
            </w:r>
          </w:p>
        </w:tc>
        <w:tc>
          <w:tcPr>
            <w:tcW w:w="1460" w:type="dxa"/>
            <w:vAlign w:val="bottom"/>
            <w:vMerge w:val="restart"/>
          </w:tcPr>
          <w:p>
            <w:pPr>
              <w:jc w:val="right"/>
              <w:ind w:right="38"/>
              <w:spacing w:after="0" w:line="162" w:lineRule="exact"/>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25"/>
        </w:trPr>
        <w:tc>
          <w:tcPr>
            <w:tcW w:w="3400" w:type="dxa"/>
            <w:vAlign w:val="bottom"/>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1400" w:type="dxa"/>
            <w:vAlign w:val="bottom"/>
          </w:tcPr>
          <w:p>
            <w:pPr>
              <w:jc w:val="right"/>
              <w:ind w:right="61"/>
              <w:spacing w:after="0"/>
              <w:rPr>
                <w:sz w:val="20"/>
                <w:szCs w:val="20"/>
                <w:color w:val="auto"/>
              </w:rPr>
            </w:pPr>
            <w:r>
              <w:rPr>
                <w:rFonts w:ascii="Arial" w:cs="Arial" w:eastAsia="Arial" w:hAnsi="Arial"/>
                <w:sz w:val="2"/>
                <w:szCs w:val="2"/>
                <w:b w:val="1"/>
                <w:bCs w:val="1"/>
                <w:color w:val="00A1DF"/>
              </w:rPr>
              <w:t>($)</w:t>
            </w: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400" w:type="dxa"/>
            <w:vAlign w:val="bottom"/>
            <w:tcBorders>
              <w:bottom w:val="single" w:sz="8" w:color="00A1DF"/>
            </w:tcBorders>
          </w:tcPr>
          <w:p>
            <w:pPr>
              <w:spacing w:after="0"/>
              <w:rPr>
                <w:sz w:val="14"/>
                <w:szCs w:val="14"/>
                <w:color w:val="auto"/>
              </w:rPr>
            </w:pPr>
          </w:p>
        </w:tc>
        <w:tc>
          <w:tcPr>
            <w:tcW w:w="3120" w:type="dxa"/>
            <w:vAlign w:val="bottom"/>
            <w:tcBorders>
              <w:bottom w:val="single" w:sz="8" w:color="00A1DF"/>
            </w:tcBorders>
          </w:tcPr>
          <w:p>
            <w:pPr>
              <w:spacing w:after="0"/>
              <w:rPr>
                <w:sz w:val="14"/>
                <w:szCs w:val="14"/>
                <w:color w:val="auto"/>
              </w:rPr>
            </w:pPr>
          </w:p>
        </w:tc>
        <w:tc>
          <w:tcPr>
            <w:tcW w:w="1640" w:type="dxa"/>
            <w:vAlign w:val="bottom"/>
            <w:tcBorders>
              <w:bottom w:val="single" w:sz="8" w:color="00A1DF"/>
            </w:tcBorders>
          </w:tcPr>
          <w:p>
            <w:pPr>
              <w:jc w:val="right"/>
              <w:ind w:right="76"/>
              <w:spacing w:after="0"/>
              <w:rPr>
                <w:sz w:val="20"/>
                <w:szCs w:val="20"/>
                <w:color w:val="auto"/>
              </w:rPr>
            </w:pPr>
            <w:r>
              <w:rPr>
                <w:rFonts w:ascii="Arial" w:cs="Arial" w:eastAsia="Arial" w:hAnsi="Arial"/>
                <w:sz w:val="13"/>
                <w:szCs w:val="13"/>
                <w:b w:val="1"/>
                <w:bCs w:val="1"/>
                <w:color w:val="00A1DF"/>
              </w:rPr>
              <w:t>(1)</w:t>
            </w:r>
          </w:p>
        </w:tc>
        <w:tc>
          <w:tcPr>
            <w:tcW w:w="1400" w:type="dxa"/>
            <w:vAlign w:val="bottom"/>
            <w:tcBorders>
              <w:bottom w:val="single" w:sz="8" w:color="00A1DF"/>
            </w:tcBorders>
          </w:tcPr>
          <w:p>
            <w:pPr>
              <w:spacing w:after="0"/>
              <w:rPr>
                <w:sz w:val="14"/>
                <w:szCs w:val="14"/>
                <w:color w:val="auto"/>
              </w:rPr>
            </w:pPr>
          </w:p>
        </w:tc>
        <w:tc>
          <w:tcPr>
            <w:tcW w:w="1460" w:type="dxa"/>
            <w:vAlign w:val="bottom"/>
            <w:tcBorders>
              <w:bottom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0" w:type="dxa"/>
            <w:vAlign w:val="bottom"/>
          </w:tcPr>
          <w:p>
            <w:pPr>
              <w:ind w:left="60"/>
              <w:spacing w:after="0"/>
              <w:rPr>
                <w:sz w:val="20"/>
                <w:szCs w:val="20"/>
                <w:color w:val="auto"/>
              </w:rPr>
            </w:pPr>
            <w:r>
              <w:rPr>
                <w:rFonts w:ascii="Arial" w:cs="Arial" w:eastAsia="Arial" w:hAnsi="Arial"/>
                <w:sz w:val="15"/>
                <w:szCs w:val="15"/>
                <w:color w:val="auto"/>
              </w:rPr>
              <w:t>Mary T. Barra</w:t>
            </w:r>
          </w:p>
        </w:tc>
        <w:tc>
          <w:tcPr>
            <w:tcW w:w="3120" w:type="dxa"/>
            <w:vAlign w:val="bottom"/>
          </w:tcPr>
          <w:p>
            <w:pPr>
              <w:ind w:left="1740"/>
              <w:spacing w:after="0"/>
              <w:rPr>
                <w:sz w:val="20"/>
                <w:szCs w:val="20"/>
                <w:color w:val="auto"/>
              </w:rPr>
            </w:pPr>
            <w:r>
              <w:rPr>
                <w:rFonts w:ascii="Arial" w:cs="Arial" w:eastAsia="Arial" w:hAnsi="Arial"/>
                <w:sz w:val="15"/>
                <w:szCs w:val="15"/>
                <w:color w:val="auto"/>
              </w:rPr>
              <w:t>SRP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35.3</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1,095,092</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3120" w:type="dxa"/>
            <w:vAlign w:val="bottom"/>
          </w:tcPr>
          <w:p>
            <w:pPr>
              <w:ind w:left="1740"/>
              <w:spacing w:after="0"/>
              <w:rPr>
                <w:sz w:val="20"/>
                <w:szCs w:val="20"/>
                <w:color w:val="auto"/>
              </w:rPr>
            </w:pPr>
            <w:r>
              <w:rPr>
                <w:rFonts w:ascii="Arial" w:cs="Arial" w:eastAsia="Arial" w:hAnsi="Arial"/>
                <w:sz w:val="15"/>
                <w:szCs w:val="15"/>
                <w:color w:val="auto"/>
              </w:rPr>
              <w:t>DB ERP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35.3</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964,422</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4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400" w:type="dxa"/>
            <w:vAlign w:val="bottom"/>
          </w:tcPr>
          <w:p>
            <w:pPr>
              <w:ind w:left="60"/>
              <w:spacing w:after="0"/>
              <w:rPr>
                <w:sz w:val="20"/>
                <w:szCs w:val="20"/>
                <w:color w:val="auto"/>
              </w:rPr>
            </w:pPr>
            <w:r>
              <w:rPr>
                <w:rFonts w:ascii="Arial" w:cs="Arial" w:eastAsia="Arial" w:hAnsi="Arial"/>
                <w:sz w:val="15"/>
                <w:szCs w:val="15"/>
                <w:color w:val="auto"/>
              </w:rPr>
              <w:t>Charles K. Stevens, III</w:t>
            </w:r>
          </w:p>
        </w:tc>
        <w:tc>
          <w:tcPr>
            <w:tcW w:w="3120" w:type="dxa"/>
            <w:vAlign w:val="bottom"/>
          </w:tcPr>
          <w:p>
            <w:pPr>
              <w:ind w:left="1740"/>
              <w:spacing w:after="0"/>
              <w:rPr>
                <w:sz w:val="20"/>
                <w:szCs w:val="20"/>
                <w:color w:val="auto"/>
              </w:rPr>
            </w:pPr>
            <w:r>
              <w:rPr>
                <w:rFonts w:ascii="Arial" w:cs="Arial" w:eastAsia="Arial" w:hAnsi="Arial"/>
                <w:sz w:val="15"/>
                <w:szCs w:val="15"/>
                <w:color w:val="auto"/>
              </w:rPr>
              <w:t>SRP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38.5</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1,179,679</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3120" w:type="dxa"/>
            <w:vAlign w:val="bottom"/>
          </w:tcPr>
          <w:p>
            <w:pPr>
              <w:ind w:left="1740"/>
              <w:spacing w:after="0"/>
              <w:rPr>
                <w:sz w:val="20"/>
                <w:szCs w:val="20"/>
                <w:color w:val="auto"/>
              </w:rPr>
            </w:pPr>
            <w:r>
              <w:rPr>
                <w:rFonts w:ascii="Arial" w:cs="Arial" w:eastAsia="Arial" w:hAnsi="Arial"/>
                <w:sz w:val="15"/>
                <w:szCs w:val="15"/>
                <w:color w:val="auto"/>
              </w:rPr>
              <w:t>DB ERP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38.5</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436,059</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4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3400" w:type="dxa"/>
            <w:vAlign w:val="bottom"/>
            <w:shd w:val="clear" w:color="auto" w:fill="000000"/>
          </w:tcPr>
          <w:p>
            <w:pPr>
              <w:ind w:left="60"/>
              <w:spacing w:after="0" w:line="31" w:lineRule="exact"/>
              <w:rPr>
                <w:sz w:val="20"/>
                <w:szCs w:val="20"/>
                <w:color w:val="auto"/>
              </w:rPr>
            </w:pPr>
            <w:r>
              <w:rPr>
                <w:rFonts w:ascii="Arial" w:cs="Arial" w:eastAsia="Arial" w:hAnsi="Arial"/>
                <w:sz w:val="3"/>
                <w:szCs w:val="3"/>
                <w:color w:val="auto"/>
              </w:rPr>
              <w:t>Daniel Ammann</w:t>
            </w:r>
          </w:p>
        </w:tc>
        <w:tc>
          <w:tcPr>
            <w:tcW w:w="3120" w:type="dxa"/>
            <w:vAlign w:val="bottom"/>
            <w:shd w:val="clear" w:color="auto" w:fill="000000"/>
          </w:tcPr>
          <w:p>
            <w:pPr>
              <w:spacing w:after="0"/>
              <w:rPr>
                <w:sz w:val="2"/>
                <w:szCs w:val="2"/>
                <w:color w:val="auto"/>
              </w:rPr>
            </w:pPr>
          </w:p>
        </w:tc>
        <w:tc>
          <w:tcPr>
            <w:tcW w:w="1640" w:type="dxa"/>
            <w:vAlign w:val="bottom"/>
            <w:shd w:val="clear" w:color="auto" w:fill="000000"/>
          </w:tcPr>
          <w:p>
            <w:pPr>
              <w:jc w:val="right"/>
              <w:ind w:right="76"/>
              <w:spacing w:after="0" w:line="31" w:lineRule="exact"/>
              <w:rPr>
                <w:sz w:val="20"/>
                <w:szCs w:val="20"/>
                <w:color w:val="auto"/>
              </w:rPr>
            </w:pPr>
            <w:r>
              <w:rPr>
                <w:rFonts w:ascii="Arial" w:cs="Arial" w:eastAsia="Arial" w:hAnsi="Arial"/>
                <w:sz w:val="3"/>
                <w:szCs w:val="3"/>
                <w:color w:val="auto"/>
              </w:rPr>
              <w:t>—</w:t>
            </w:r>
          </w:p>
        </w:tc>
        <w:tc>
          <w:tcPr>
            <w:tcW w:w="1400" w:type="dxa"/>
            <w:vAlign w:val="bottom"/>
            <w:shd w:val="clear" w:color="auto" w:fill="000000"/>
          </w:tcPr>
          <w:p>
            <w:pPr>
              <w:jc w:val="right"/>
              <w:ind w:right="61"/>
              <w:spacing w:after="0" w:line="31" w:lineRule="exact"/>
              <w:rPr>
                <w:sz w:val="20"/>
                <w:szCs w:val="20"/>
                <w:color w:val="auto"/>
              </w:rPr>
            </w:pPr>
            <w:r>
              <w:rPr>
                <w:rFonts w:ascii="Arial" w:cs="Arial" w:eastAsia="Arial" w:hAnsi="Arial"/>
                <w:sz w:val="3"/>
                <w:szCs w:val="3"/>
                <w:color w:val="auto"/>
              </w:rPr>
              <w:t>—</w:t>
            </w:r>
          </w:p>
        </w:tc>
        <w:tc>
          <w:tcPr>
            <w:tcW w:w="1460" w:type="dxa"/>
            <w:vAlign w:val="bottom"/>
            <w:shd w:val="clear" w:color="auto" w:fill="000000"/>
          </w:tcPr>
          <w:p>
            <w:pPr>
              <w:jc w:val="right"/>
              <w:ind w:right="38"/>
              <w:spacing w:after="0" w:line="31"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56"/>
        </w:trPr>
        <w:tc>
          <w:tcPr>
            <w:tcW w:w="3400" w:type="dxa"/>
            <w:vAlign w:val="bottom"/>
          </w:tcPr>
          <w:p>
            <w:pPr>
              <w:ind w:left="1140"/>
              <w:spacing w:after="0"/>
              <w:rPr>
                <w:sz w:val="20"/>
                <w:szCs w:val="20"/>
                <w:color w:val="auto"/>
              </w:rPr>
            </w:pPr>
            <w:r>
              <w:rPr>
                <w:rFonts w:ascii="Arial" w:cs="Arial" w:eastAsia="Arial" w:hAnsi="Arial"/>
                <w:sz w:val="13"/>
                <w:szCs w:val="13"/>
                <w:color w:val="auto"/>
              </w:rPr>
              <w:t>(3)</w:t>
            </w:r>
          </w:p>
        </w:tc>
        <w:tc>
          <w:tcPr>
            <w:tcW w:w="3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340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400" w:type="dxa"/>
            <w:vAlign w:val="bottom"/>
          </w:tcPr>
          <w:p>
            <w:pPr>
              <w:ind w:left="60"/>
              <w:spacing w:after="0"/>
              <w:rPr>
                <w:sz w:val="20"/>
                <w:szCs w:val="20"/>
                <w:color w:val="auto"/>
              </w:rPr>
            </w:pPr>
            <w:r>
              <w:rPr>
                <w:rFonts w:ascii="Arial" w:cs="Arial" w:eastAsia="Arial" w:hAnsi="Arial"/>
                <w:sz w:val="15"/>
                <w:szCs w:val="15"/>
                <w:color w:val="auto"/>
              </w:rPr>
              <w:t>Mark L. Reuss</w:t>
            </w:r>
          </w:p>
        </w:tc>
        <w:tc>
          <w:tcPr>
            <w:tcW w:w="3120" w:type="dxa"/>
            <w:vAlign w:val="bottom"/>
          </w:tcPr>
          <w:p>
            <w:pPr>
              <w:ind w:left="1740"/>
              <w:spacing w:after="0"/>
              <w:rPr>
                <w:sz w:val="20"/>
                <w:szCs w:val="20"/>
                <w:color w:val="auto"/>
              </w:rPr>
            </w:pPr>
            <w:r>
              <w:rPr>
                <w:rFonts w:ascii="Arial" w:cs="Arial" w:eastAsia="Arial" w:hAnsi="Arial"/>
                <w:sz w:val="15"/>
                <w:szCs w:val="15"/>
                <w:color w:val="auto"/>
              </w:rPr>
              <w:t>SRP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30.8</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884,761</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3120" w:type="dxa"/>
            <w:vAlign w:val="bottom"/>
          </w:tcPr>
          <w:p>
            <w:pPr>
              <w:ind w:left="1740"/>
              <w:spacing w:after="0"/>
              <w:rPr>
                <w:sz w:val="20"/>
                <w:szCs w:val="20"/>
                <w:color w:val="auto"/>
              </w:rPr>
            </w:pPr>
            <w:r>
              <w:rPr>
                <w:rFonts w:ascii="Arial" w:cs="Arial" w:eastAsia="Arial" w:hAnsi="Arial"/>
                <w:sz w:val="15"/>
                <w:szCs w:val="15"/>
                <w:color w:val="auto"/>
              </w:rPr>
              <w:t>DB ERP</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30.8</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602,652</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4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3400" w:type="dxa"/>
            <w:vAlign w:val="bottom"/>
            <w:shd w:val="clear" w:color="auto" w:fill="000000"/>
          </w:tcPr>
          <w:p>
            <w:pPr>
              <w:ind w:left="60"/>
              <w:spacing w:after="0" w:line="31" w:lineRule="exact"/>
              <w:rPr>
                <w:sz w:val="20"/>
                <w:szCs w:val="20"/>
                <w:color w:val="auto"/>
              </w:rPr>
            </w:pPr>
            <w:r>
              <w:rPr>
                <w:rFonts w:ascii="Arial" w:cs="Arial" w:eastAsia="Arial" w:hAnsi="Arial"/>
                <w:sz w:val="3"/>
                <w:szCs w:val="3"/>
                <w:color w:val="auto"/>
              </w:rPr>
              <w:t>Alan S. Batey</w:t>
            </w:r>
          </w:p>
        </w:tc>
        <w:tc>
          <w:tcPr>
            <w:tcW w:w="3120" w:type="dxa"/>
            <w:vAlign w:val="bottom"/>
            <w:shd w:val="clear" w:color="auto" w:fill="000000"/>
          </w:tcPr>
          <w:p>
            <w:pPr>
              <w:ind w:left="1740"/>
              <w:spacing w:after="0" w:line="31" w:lineRule="exact"/>
              <w:rPr>
                <w:sz w:val="20"/>
                <w:szCs w:val="20"/>
                <w:color w:val="auto"/>
              </w:rPr>
            </w:pPr>
            <w:r>
              <w:rPr>
                <w:rFonts w:ascii="Arial" w:cs="Arial" w:eastAsia="Arial" w:hAnsi="Arial"/>
                <w:sz w:val="3"/>
                <w:szCs w:val="3"/>
                <w:color w:val="auto"/>
              </w:rPr>
              <w:t>SRP</w:t>
            </w:r>
          </w:p>
        </w:tc>
        <w:tc>
          <w:tcPr>
            <w:tcW w:w="1640" w:type="dxa"/>
            <w:vAlign w:val="bottom"/>
            <w:shd w:val="clear" w:color="auto" w:fill="000000"/>
          </w:tcPr>
          <w:p>
            <w:pPr>
              <w:jc w:val="right"/>
              <w:ind w:right="76"/>
              <w:spacing w:after="0" w:line="31" w:lineRule="exact"/>
              <w:rPr>
                <w:sz w:val="20"/>
                <w:szCs w:val="20"/>
                <w:color w:val="auto"/>
              </w:rPr>
            </w:pPr>
            <w:r>
              <w:rPr>
                <w:rFonts w:ascii="Arial" w:cs="Arial" w:eastAsia="Arial" w:hAnsi="Arial"/>
                <w:sz w:val="3"/>
                <w:szCs w:val="3"/>
                <w:color w:val="auto"/>
              </w:rPr>
              <w:t>38.3</w:t>
            </w:r>
          </w:p>
        </w:tc>
        <w:tc>
          <w:tcPr>
            <w:tcW w:w="1400" w:type="dxa"/>
            <w:vAlign w:val="bottom"/>
            <w:shd w:val="clear" w:color="auto" w:fill="000000"/>
          </w:tcPr>
          <w:p>
            <w:pPr>
              <w:jc w:val="right"/>
              <w:ind w:right="61"/>
              <w:spacing w:after="0" w:line="31" w:lineRule="exact"/>
              <w:rPr>
                <w:sz w:val="20"/>
                <w:szCs w:val="20"/>
                <w:color w:val="auto"/>
              </w:rPr>
            </w:pPr>
            <w:r>
              <w:rPr>
                <w:rFonts w:ascii="Arial" w:cs="Arial" w:eastAsia="Arial" w:hAnsi="Arial"/>
                <w:sz w:val="3"/>
                <w:szCs w:val="3"/>
                <w:color w:val="auto"/>
              </w:rPr>
              <w:t>52,949</w:t>
            </w:r>
          </w:p>
        </w:tc>
        <w:tc>
          <w:tcPr>
            <w:tcW w:w="1460" w:type="dxa"/>
            <w:vAlign w:val="bottom"/>
            <w:shd w:val="clear" w:color="auto" w:fill="000000"/>
          </w:tcPr>
          <w:p>
            <w:pPr>
              <w:jc w:val="right"/>
              <w:ind w:right="38"/>
              <w:spacing w:after="0" w:line="31"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56"/>
        </w:trPr>
        <w:tc>
          <w:tcPr>
            <w:tcW w:w="3400" w:type="dxa"/>
            <w:vAlign w:val="bottom"/>
          </w:tcPr>
          <w:p>
            <w:pPr>
              <w:ind w:left="980"/>
              <w:spacing w:after="0"/>
              <w:rPr>
                <w:sz w:val="20"/>
                <w:szCs w:val="20"/>
                <w:color w:val="auto"/>
              </w:rPr>
            </w:pPr>
            <w:r>
              <w:rPr>
                <w:rFonts w:ascii="Arial" w:cs="Arial" w:eastAsia="Arial" w:hAnsi="Arial"/>
                <w:sz w:val="13"/>
                <w:szCs w:val="13"/>
                <w:color w:val="auto"/>
              </w:rPr>
              <w:t>(4)</w:t>
            </w:r>
          </w:p>
        </w:tc>
        <w:tc>
          <w:tcPr>
            <w:tcW w:w="3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3120" w:type="dxa"/>
            <w:vAlign w:val="bottom"/>
          </w:tcPr>
          <w:p>
            <w:pPr>
              <w:ind w:left="1740"/>
              <w:spacing w:after="0"/>
              <w:rPr>
                <w:sz w:val="20"/>
                <w:szCs w:val="20"/>
                <w:color w:val="auto"/>
              </w:rPr>
            </w:pPr>
            <w:r>
              <w:rPr>
                <w:rFonts w:ascii="Arial" w:cs="Arial" w:eastAsia="Arial" w:hAnsi="Arial"/>
                <w:sz w:val="15"/>
                <w:szCs w:val="15"/>
                <w:color w:val="auto"/>
              </w:rPr>
              <w:t>VML Pension Plan</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31.8</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2,767,045</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4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60"/>
              <w:spacing w:after="0"/>
              <w:rPr>
                <w:sz w:val="20"/>
                <w:szCs w:val="20"/>
                <w:color w:val="auto"/>
              </w:rPr>
            </w:pPr>
            <w:r>
              <w:rPr>
                <w:rFonts w:ascii="Arial" w:cs="Arial" w:eastAsia="Arial" w:hAnsi="Arial"/>
                <w:sz w:val="15"/>
                <w:szCs w:val="15"/>
                <w:color w:val="auto"/>
              </w:rPr>
              <w:t>Karl-Thomas Neumann</w:t>
            </w:r>
          </w:p>
        </w:tc>
        <w:tc>
          <w:tcPr>
            <w:tcW w:w="3120" w:type="dxa"/>
            <w:vAlign w:val="bottom"/>
          </w:tcPr>
          <w:p>
            <w:pPr>
              <w:ind w:left="1740"/>
              <w:spacing w:after="0"/>
              <w:rPr>
                <w:sz w:val="20"/>
                <w:szCs w:val="20"/>
                <w:color w:val="auto"/>
              </w:rPr>
            </w:pPr>
            <w:r>
              <w:rPr>
                <w:rFonts w:ascii="Arial" w:cs="Arial" w:eastAsia="Arial" w:hAnsi="Arial"/>
                <w:sz w:val="15"/>
                <w:szCs w:val="15"/>
                <w:color w:val="auto"/>
              </w:rPr>
              <w:t>Opel</w:t>
            </w:r>
          </w:p>
        </w:tc>
        <w:tc>
          <w:tcPr>
            <w:tcW w:w="1640" w:type="dxa"/>
            <w:vAlign w:val="bottom"/>
          </w:tcPr>
          <w:p>
            <w:pPr>
              <w:jc w:val="right"/>
              <w:ind w:right="76"/>
              <w:spacing w:after="0"/>
              <w:rPr>
                <w:sz w:val="20"/>
                <w:szCs w:val="20"/>
                <w:color w:val="auto"/>
              </w:rPr>
            </w:pPr>
            <w:r>
              <w:rPr>
                <w:rFonts w:ascii="Arial" w:cs="Arial" w:eastAsia="Arial" w:hAnsi="Arial"/>
                <w:sz w:val="15"/>
                <w:szCs w:val="15"/>
                <w:color w:val="auto"/>
              </w:rPr>
              <w:t>4.8</w:t>
            </w:r>
          </w:p>
        </w:tc>
        <w:tc>
          <w:tcPr>
            <w:tcW w:w="1400" w:type="dxa"/>
            <w:vAlign w:val="bottom"/>
          </w:tcPr>
          <w:p>
            <w:pPr>
              <w:jc w:val="right"/>
              <w:ind w:right="61"/>
              <w:spacing w:after="0"/>
              <w:rPr>
                <w:sz w:val="20"/>
                <w:szCs w:val="20"/>
                <w:color w:val="auto"/>
              </w:rPr>
            </w:pPr>
            <w:r>
              <w:rPr>
                <w:rFonts w:ascii="Arial" w:cs="Arial" w:eastAsia="Arial" w:hAnsi="Arial"/>
                <w:sz w:val="15"/>
                <w:szCs w:val="15"/>
                <w:color w:val="auto"/>
              </w:rPr>
              <w:t>490,007</w:t>
            </w:r>
          </w:p>
        </w:tc>
        <w:tc>
          <w:tcPr>
            <w:tcW w:w="146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3400" w:type="dxa"/>
            <w:vAlign w:val="bottom"/>
            <w:tcBorders>
              <w:bottom w:val="single" w:sz="8" w:color="0033A0"/>
            </w:tcBorders>
          </w:tcPr>
          <w:p>
            <w:pPr>
              <w:spacing w:after="0"/>
              <w:rPr>
                <w:sz w:val="3"/>
                <w:szCs w:val="3"/>
                <w:color w:val="auto"/>
              </w:rPr>
            </w:pPr>
          </w:p>
        </w:tc>
        <w:tc>
          <w:tcPr>
            <w:tcW w:w="3120" w:type="dxa"/>
            <w:vAlign w:val="bottom"/>
            <w:tcBorders>
              <w:bottom w:val="single" w:sz="8" w:color="0033A0"/>
            </w:tcBorders>
          </w:tcPr>
          <w:p>
            <w:pPr>
              <w:spacing w:after="0"/>
              <w:rPr>
                <w:sz w:val="3"/>
                <w:szCs w:val="3"/>
                <w:color w:val="auto"/>
              </w:rPr>
            </w:pPr>
          </w:p>
        </w:tc>
        <w:tc>
          <w:tcPr>
            <w:tcW w:w="1640" w:type="dxa"/>
            <w:vAlign w:val="bottom"/>
            <w:tcBorders>
              <w:bottom w:val="single" w:sz="8" w:color="0033A0"/>
            </w:tcBorders>
          </w:tcPr>
          <w:p>
            <w:pPr>
              <w:spacing w:after="0"/>
              <w:rPr>
                <w:sz w:val="3"/>
                <w:szCs w:val="3"/>
                <w:color w:val="auto"/>
              </w:rPr>
            </w:pPr>
          </w:p>
        </w:tc>
        <w:tc>
          <w:tcPr>
            <w:tcW w:w="1400" w:type="dxa"/>
            <w:vAlign w:val="bottom"/>
            <w:tcBorders>
              <w:bottom w:val="single" w:sz="8" w:color="0033A0"/>
            </w:tcBorders>
          </w:tcPr>
          <w:p>
            <w:pPr>
              <w:spacing w:after="0"/>
              <w:rPr>
                <w:sz w:val="3"/>
                <w:szCs w:val="3"/>
                <w:color w:val="auto"/>
              </w:rPr>
            </w:pPr>
          </w:p>
        </w:tc>
        <w:tc>
          <w:tcPr>
            <w:tcW w:w="146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Eligible service recognizes credited service under the frozen qualified SRP in addition to future service to determine retirement eligibility.</w:t>
      </w:r>
    </w:p>
    <w:p>
      <w:pPr>
        <w:spacing w:after="0" w:line="68" w:lineRule="exact"/>
        <w:rPr>
          <w:rFonts w:ascii="Arial" w:cs="Arial" w:eastAsia="Arial" w:hAnsi="Arial"/>
          <w:sz w:val="14"/>
          <w:szCs w:val="14"/>
          <w:i w:val="1"/>
          <w:iCs w:val="1"/>
          <w:color w:val="auto"/>
        </w:rPr>
      </w:pPr>
    </w:p>
    <w:p>
      <w:pPr>
        <w:jc w:val="both"/>
        <w:ind w:left="520" w:right="40" w:hanging="316"/>
        <w:spacing w:after="0" w:line="251" w:lineRule="auto"/>
        <w:tabs>
          <w:tab w:leader="none" w:pos="52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2017, FASB ASC Section 718, “Compensation-Retirement Benefits” except where needed to meet proxy statement requirements. The discount rates used for calculations as of December 31, 2017 for the SRP are 3.69%; for the ERP are 3.32%; for the VML Pension Plan are 2.52%; and for the Opel Pension Plan are 1.54%.</w:t>
      </w:r>
    </w:p>
    <w:p>
      <w:pPr>
        <w:spacing w:after="0" w:line="35" w:lineRule="exact"/>
        <w:rPr>
          <w:rFonts w:ascii="Arial" w:cs="Arial" w:eastAsia="Arial" w:hAnsi="Arial"/>
          <w:sz w:val="14"/>
          <w:szCs w:val="14"/>
          <w:i w:val="1"/>
          <w:iCs w:val="1"/>
          <w:color w:val="auto"/>
        </w:rPr>
      </w:pPr>
    </w:p>
    <w:p>
      <w:pPr>
        <w:ind w:left="520" w:hanging="316"/>
        <w:spacing w:after="0"/>
        <w:tabs>
          <w:tab w:leader="none" w:pos="52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Mr. Ammann is eligible to participate only in defined contribution plans offered by the Company.</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Mr. Batey is a participant in the VML Pension Plan from his service in the United Kingdom.</w:t>
      </w:r>
    </w:p>
    <w:p>
      <w:pPr>
        <w:spacing w:after="0" w:line="349"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25"/>
          <w:szCs w:val="25"/>
          <w:color w:val="0033A0"/>
        </w:rPr>
      </w:pPr>
      <w:r>
        <w:rPr>
          <w:rFonts w:ascii="Arial" w:cs="Arial" w:eastAsia="Arial" w:hAnsi="Arial"/>
          <w:sz w:val="25"/>
          <w:szCs w:val="25"/>
          <w:color w:val="auto"/>
        </w:rPr>
        <w:t>Nonqualified Deferred Compensation Plan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maintain certain deferred compensation programs and arrangements for executives, including the NEOs.</w:t>
      </w:r>
    </w:p>
    <w:p>
      <w:pPr>
        <w:spacing w:after="0" w:line="93" w:lineRule="exact"/>
        <w:rPr>
          <w:sz w:val="20"/>
          <w:szCs w:val="20"/>
          <w:color w:val="auto"/>
        </w:rPr>
      </w:pPr>
    </w:p>
    <w:p>
      <w:pPr>
        <w:jc w:val="both"/>
        <w:ind w:left="200" w:right="40"/>
        <w:spacing w:after="0" w:line="259" w:lineRule="auto"/>
        <w:rPr>
          <w:sz w:val="20"/>
          <w:szCs w:val="20"/>
          <w:color w:val="auto"/>
        </w:rPr>
      </w:pPr>
      <w:r>
        <w:rPr>
          <w:rFonts w:ascii="Arial" w:cs="Arial" w:eastAsia="Arial" w:hAnsi="Arial"/>
          <w:sz w:val="16"/>
          <w:szCs w:val="16"/>
          <w:b w:val="1"/>
          <w:bCs w:val="1"/>
          <w:color w:val="0033A0"/>
        </w:rPr>
        <w:t xml:space="preserve">DC ERP </w:t>
      </w:r>
      <w:r>
        <w:rPr>
          <w:rFonts w:ascii="Arial" w:cs="Arial" w:eastAsia="Arial" w:hAnsi="Arial"/>
          <w:sz w:val="16"/>
          <w:szCs w:val="16"/>
          <w:color w:val="000000"/>
        </w:rPr>
        <w:t>– Allows for the equalization of benefits for highly compensated salaried employees under the RSP when such employees’ contribution and</w:t>
      </w:r>
      <w:r>
        <w:rPr>
          <w:rFonts w:ascii="Arial" w:cs="Arial" w:eastAsia="Arial" w:hAnsi="Arial"/>
          <w:sz w:val="16"/>
          <w:szCs w:val="16"/>
          <w:b w:val="1"/>
          <w:bCs w:val="1"/>
          <w:color w:val="0033A0"/>
        </w:rPr>
        <w:t xml:space="preserve"> </w:t>
      </w:r>
      <w:r>
        <w:rPr>
          <w:rFonts w:ascii="Arial" w:cs="Arial" w:eastAsia="Arial" w:hAnsi="Arial"/>
          <w:sz w:val="16"/>
          <w:szCs w:val="16"/>
          <w:color w:val="000000"/>
        </w:rPr>
        <w:t>benefit levels exceed the maximum limitations on contributions and benefits imposed by Section 2004 of ERISA, as amended, and Section 401(a)(17) and 415 of the IRC, as amended. The DC ERP is maintained as an unfunded plan, and we bear all expenses for administration of the plan and payment of amounts to participants.</w:t>
      </w:r>
    </w:p>
    <w:p>
      <w:pPr>
        <w:spacing w:after="0" w:line="90"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Aggregate account balances disclosed below include both vested and unvested contributions by GM. Contributions made prior to 2007 were vested immediately. Contributions made between January 1, 2007, and September 30, 2012, vest when the participant attains age 55 with 10 years of service. Contributions made on October 1, 2012, and later vest when the participant attains three years of service, regardless of age.</w:t>
      </w:r>
    </w:p>
    <w:p>
      <w:pPr>
        <w:spacing w:after="0" w:line="93"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The table below reflects December 31, 2017, balances for the nonqualified deferred compensation plan and any contributions, earnings, or withdrawals during the year.</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3080" w:type="dxa"/>
            <w:vAlign w:val="bottom"/>
            <w:tcBorders>
              <w:top w:val="single" w:sz="8" w:color="00A1DF"/>
            </w:tcBorders>
          </w:tcPr>
          <w:p>
            <w:pPr>
              <w:spacing w:after="0"/>
              <w:rPr>
                <w:sz w:val="13"/>
                <w:szCs w:val="13"/>
                <w:color w:val="auto"/>
              </w:rPr>
            </w:pPr>
          </w:p>
        </w:tc>
        <w:tc>
          <w:tcPr>
            <w:tcW w:w="2060" w:type="dxa"/>
            <w:vAlign w:val="bottom"/>
            <w:tcBorders>
              <w:top w:val="single" w:sz="8" w:color="00A1DF"/>
            </w:tcBorders>
          </w:tcPr>
          <w:p>
            <w:pPr>
              <w:spacing w:after="0"/>
              <w:rPr>
                <w:sz w:val="13"/>
                <w:szCs w:val="13"/>
                <w:color w:val="auto"/>
              </w:rPr>
            </w:pPr>
          </w:p>
        </w:tc>
        <w:tc>
          <w:tcPr>
            <w:tcW w:w="1160" w:type="dxa"/>
            <w:vAlign w:val="bottom"/>
            <w:tcBorders>
              <w:top w:val="single" w:sz="8" w:color="00A1DF"/>
            </w:tcBorders>
          </w:tcPr>
          <w:p>
            <w:pPr>
              <w:spacing w:after="0"/>
              <w:rPr>
                <w:sz w:val="13"/>
                <w:szCs w:val="13"/>
                <w:color w:val="auto"/>
              </w:rPr>
            </w:pPr>
          </w:p>
        </w:tc>
        <w:tc>
          <w:tcPr>
            <w:tcW w:w="1160" w:type="dxa"/>
            <w:vAlign w:val="bottom"/>
            <w:tcBorders>
              <w:top w:val="single" w:sz="8" w:color="00A1DF"/>
            </w:tcBorders>
          </w:tcPr>
          <w:p>
            <w:pPr>
              <w:jc w:val="right"/>
              <w:ind w:right="10"/>
              <w:spacing w:after="0" w:line="154" w:lineRule="exact"/>
              <w:rPr>
                <w:sz w:val="20"/>
                <w:szCs w:val="20"/>
                <w:color w:val="auto"/>
              </w:rPr>
            </w:pPr>
            <w:r>
              <w:rPr>
                <w:rFonts w:ascii="Arial" w:cs="Arial" w:eastAsia="Arial" w:hAnsi="Arial"/>
                <w:sz w:val="15"/>
                <w:szCs w:val="15"/>
                <w:b w:val="1"/>
                <w:bCs w:val="1"/>
                <w:color w:val="00A1DF"/>
              </w:rPr>
              <w:t>Registrant</w:t>
            </w:r>
          </w:p>
        </w:tc>
        <w:tc>
          <w:tcPr>
            <w:tcW w:w="1120" w:type="dxa"/>
            <w:vAlign w:val="bottom"/>
            <w:tcBorders>
              <w:top w:val="single" w:sz="8" w:color="00A1DF"/>
            </w:tcBorders>
          </w:tcPr>
          <w:p>
            <w:pPr>
              <w:jc w:val="right"/>
              <w:ind w:right="10"/>
              <w:spacing w:after="0" w:line="154" w:lineRule="exact"/>
              <w:rPr>
                <w:sz w:val="20"/>
                <w:szCs w:val="20"/>
                <w:color w:val="auto"/>
              </w:rPr>
            </w:pPr>
            <w:r>
              <w:rPr>
                <w:rFonts w:ascii="Arial" w:cs="Arial" w:eastAsia="Arial" w:hAnsi="Arial"/>
                <w:sz w:val="15"/>
                <w:szCs w:val="15"/>
                <w:b w:val="1"/>
                <w:bCs w:val="1"/>
                <w:color w:val="00A1DF"/>
              </w:rPr>
              <w:t>Aggregate</w:t>
            </w:r>
          </w:p>
        </w:tc>
        <w:tc>
          <w:tcPr>
            <w:tcW w:w="1120" w:type="dxa"/>
            <w:vAlign w:val="bottom"/>
            <w:tcBorders>
              <w:top w:val="single" w:sz="8" w:color="00A1DF"/>
            </w:tcBorders>
          </w:tcPr>
          <w:p>
            <w:pPr>
              <w:jc w:val="right"/>
              <w:ind w:right="9"/>
              <w:spacing w:after="0" w:line="154" w:lineRule="exact"/>
              <w:rPr>
                <w:sz w:val="20"/>
                <w:szCs w:val="20"/>
                <w:color w:val="auto"/>
              </w:rPr>
            </w:pPr>
            <w:r>
              <w:rPr>
                <w:rFonts w:ascii="Arial" w:cs="Arial" w:eastAsia="Arial" w:hAnsi="Arial"/>
                <w:sz w:val="15"/>
                <w:szCs w:val="15"/>
                <w:b w:val="1"/>
                <w:bCs w:val="1"/>
                <w:color w:val="00A1DF"/>
              </w:rPr>
              <w:t>Aggregate</w:t>
            </w:r>
          </w:p>
        </w:tc>
        <w:tc>
          <w:tcPr>
            <w:tcW w:w="1320" w:type="dxa"/>
            <w:vAlign w:val="bottom"/>
            <w:tcBorders>
              <w:top w:val="single" w:sz="8" w:color="00A1DF"/>
            </w:tcBorders>
          </w:tcPr>
          <w:p>
            <w:pPr>
              <w:jc w:val="right"/>
              <w:ind w:right="30"/>
              <w:spacing w:after="0" w:line="154" w:lineRule="exact"/>
              <w:rPr>
                <w:sz w:val="20"/>
                <w:szCs w:val="20"/>
                <w:color w:val="auto"/>
              </w:rPr>
            </w:pPr>
            <w:r>
              <w:rPr>
                <w:rFonts w:ascii="Arial" w:cs="Arial" w:eastAsia="Arial" w:hAnsi="Arial"/>
                <w:sz w:val="15"/>
                <w:szCs w:val="15"/>
                <w:b w:val="1"/>
                <w:bCs w:val="1"/>
                <w:color w:val="00A1DF"/>
              </w:rPr>
              <w:t>Aggregate</w:t>
            </w:r>
          </w:p>
        </w:tc>
      </w:tr>
      <w:tr>
        <w:trPr>
          <w:trHeight w:val="162"/>
        </w:trPr>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jc w:val="right"/>
              <w:ind w:right="30"/>
              <w:spacing w:after="0" w:line="162" w:lineRule="exact"/>
              <w:rPr>
                <w:sz w:val="20"/>
                <w:szCs w:val="20"/>
                <w:color w:val="auto"/>
              </w:rPr>
            </w:pPr>
            <w:r>
              <w:rPr>
                <w:rFonts w:ascii="Arial" w:cs="Arial" w:eastAsia="Arial" w:hAnsi="Arial"/>
                <w:sz w:val="15"/>
                <w:szCs w:val="15"/>
                <w:b w:val="1"/>
                <w:bCs w:val="1"/>
                <w:color w:val="00A1DF"/>
              </w:rPr>
              <w:t>Executive</w:t>
            </w:r>
          </w:p>
        </w:tc>
        <w:tc>
          <w:tcPr>
            <w:tcW w:w="116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Contributions</w:t>
            </w:r>
          </w:p>
        </w:tc>
        <w:tc>
          <w:tcPr>
            <w:tcW w:w="112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Earnings</w:t>
            </w:r>
          </w:p>
        </w:tc>
        <w:tc>
          <w:tcPr>
            <w:tcW w:w="1120" w:type="dxa"/>
            <w:vAlign w:val="bottom"/>
          </w:tcPr>
          <w:p>
            <w:pPr>
              <w:jc w:val="right"/>
              <w:ind w:right="9"/>
              <w:spacing w:after="0" w:line="162" w:lineRule="exact"/>
              <w:rPr>
                <w:sz w:val="20"/>
                <w:szCs w:val="20"/>
                <w:color w:val="auto"/>
              </w:rPr>
            </w:pPr>
            <w:r>
              <w:rPr>
                <w:rFonts w:ascii="Arial" w:cs="Arial" w:eastAsia="Arial" w:hAnsi="Arial"/>
                <w:sz w:val="15"/>
                <w:szCs w:val="15"/>
                <w:b w:val="1"/>
                <w:bCs w:val="1"/>
                <w:color w:val="00A1DF"/>
              </w:rPr>
              <w:t>Withdrawals</w:t>
            </w:r>
          </w:p>
        </w:tc>
        <w:tc>
          <w:tcPr>
            <w:tcW w:w="1320" w:type="dxa"/>
            <w:vAlign w:val="bottom"/>
          </w:tcPr>
          <w:p>
            <w:pPr>
              <w:jc w:val="right"/>
              <w:ind w:right="30"/>
              <w:spacing w:after="0" w:line="162" w:lineRule="exact"/>
              <w:rPr>
                <w:sz w:val="20"/>
                <w:szCs w:val="20"/>
                <w:color w:val="auto"/>
              </w:rPr>
            </w:pPr>
            <w:r>
              <w:rPr>
                <w:rFonts w:ascii="Arial" w:cs="Arial" w:eastAsia="Arial" w:hAnsi="Arial"/>
                <w:sz w:val="15"/>
                <w:szCs w:val="15"/>
                <w:b w:val="1"/>
                <w:bCs w:val="1"/>
                <w:color w:val="00A1DF"/>
              </w:rPr>
              <w:t>Balance at 2017</w:t>
            </w:r>
          </w:p>
        </w:tc>
      </w:tr>
      <w:tr>
        <w:trPr>
          <w:trHeight w:val="162"/>
        </w:trPr>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Contributions</w:t>
            </w:r>
          </w:p>
        </w:tc>
        <w:tc>
          <w:tcPr>
            <w:tcW w:w="116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in the Last</w:t>
            </w:r>
          </w:p>
        </w:tc>
        <w:tc>
          <w:tcPr>
            <w:tcW w:w="1120" w:type="dxa"/>
            <w:vAlign w:val="bottom"/>
          </w:tcPr>
          <w:p>
            <w:pPr>
              <w:jc w:val="right"/>
              <w:ind w:right="10"/>
              <w:spacing w:after="0" w:line="162" w:lineRule="exact"/>
              <w:rPr>
                <w:sz w:val="20"/>
                <w:szCs w:val="20"/>
                <w:color w:val="auto"/>
              </w:rPr>
            </w:pPr>
            <w:r>
              <w:rPr>
                <w:rFonts w:ascii="Arial" w:cs="Arial" w:eastAsia="Arial" w:hAnsi="Arial"/>
                <w:sz w:val="15"/>
                <w:szCs w:val="15"/>
                <w:b w:val="1"/>
                <w:bCs w:val="1"/>
                <w:color w:val="00A1DF"/>
              </w:rPr>
              <w:t>in the Last</w:t>
            </w:r>
          </w:p>
        </w:tc>
        <w:tc>
          <w:tcPr>
            <w:tcW w:w="1120" w:type="dxa"/>
            <w:vAlign w:val="bottom"/>
          </w:tcPr>
          <w:p>
            <w:pPr>
              <w:jc w:val="right"/>
              <w:ind w:right="9"/>
              <w:spacing w:after="0" w:line="162" w:lineRule="exact"/>
              <w:rPr>
                <w:sz w:val="20"/>
                <w:szCs w:val="20"/>
                <w:color w:val="auto"/>
              </w:rPr>
            </w:pPr>
            <w:r>
              <w:rPr>
                <w:rFonts w:ascii="Arial" w:cs="Arial" w:eastAsia="Arial" w:hAnsi="Arial"/>
                <w:sz w:val="15"/>
                <w:szCs w:val="15"/>
                <w:b w:val="1"/>
                <w:bCs w:val="1"/>
                <w:color w:val="00A1DF"/>
              </w:rPr>
              <w:t>and</w:t>
            </w:r>
          </w:p>
        </w:tc>
        <w:tc>
          <w:tcPr>
            <w:tcW w:w="1320" w:type="dxa"/>
            <w:vAlign w:val="bottom"/>
          </w:tcPr>
          <w:p>
            <w:pPr>
              <w:jc w:val="right"/>
              <w:ind w:right="30"/>
              <w:spacing w:after="0" w:line="162" w:lineRule="exact"/>
              <w:rPr>
                <w:sz w:val="20"/>
                <w:szCs w:val="20"/>
                <w:color w:val="auto"/>
              </w:rPr>
            </w:pPr>
            <w:r>
              <w:rPr>
                <w:rFonts w:ascii="Arial" w:cs="Arial" w:eastAsia="Arial" w:hAnsi="Arial"/>
                <w:sz w:val="15"/>
                <w:szCs w:val="15"/>
                <w:b w:val="1"/>
                <w:bCs w:val="1"/>
                <w:color w:val="00A1DF"/>
              </w:rPr>
              <w:t>Fiscal</w:t>
            </w:r>
          </w:p>
        </w:tc>
      </w:tr>
      <w:tr>
        <w:trPr>
          <w:trHeight w:val="25"/>
        </w:trPr>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60" w:type="dxa"/>
            <w:vAlign w:val="bottom"/>
          </w:tcPr>
          <w:p>
            <w:pPr>
              <w:jc w:val="right"/>
              <w:ind w:right="30"/>
              <w:spacing w:after="0"/>
              <w:rPr>
                <w:sz w:val="20"/>
                <w:szCs w:val="20"/>
                <w:color w:val="auto"/>
              </w:rPr>
            </w:pPr>
            <w:r>
              <w:rPr>
                <w:rFonts w:ascii="Arial" w:cs="Arial" w:eastAsia="Arial" w:hAnsi="Arial"/>
                <w:sz w:val="2"/>
                <w:szCs w:val="2"/>
                <w:b w:val="1"/>
                <w:bCs w:val="1"/>
                <w:color w:val="00A1DF"/>
              </w:rPr>
              <w:t>in the Last</w:t>
            </w:r>
          </w:p>
        </w:tc>
        <w:tc>
          <w:tcPr>
            <w:tcW w:w="1160" w:type="dxa"/>
            <w:vAlign w:val="bottom"/>
          </w:tcPr>
          <w:p>
            <w:pPr>
              <w:jc w:val="right"/>
              <w:ind w:right="170"/>
              <w:spacing w:after="0"/>
              <w:rPr>
                <w:sz w:val="20"/>
                <w:szCs w:val="20"/>
                <w:color w:val="auto"/>
              </w:rPr>
            </w:pPr>
            <w:r>
              <w:rPr>
                <w:rFonts w:ascii="Arial" w:cs="Arial" w:eastAsia="Arial" w:hAnsi="Arial"/>
                <w:sz w:val="2"/>
                <w:szCs w:val="2"/>
                <w:b w:val="1"/>
                <w:bCs w:val="1"/>
                <w:color w:val="00A1DF"/>
              </w:rPr>
              <w:t>Fiscal Year</w:t>
            </w:r>
          </w:p>
        </w:tc>
        <w:tc>
          <w:tcPr>
            <w:tcW w:w="1120" w:type="dxa"/>
            <w:vAlign w:val="bottom"/>
          </w:tcPr>
          <w:p>
            <w:pPr>
              <w:jc w:val="right"/>
              <w:ind w:right="170"/>
              <w:spacing w:after="0"/>
              <w:rPr>
                <w:sz w:val="20"/>
                <w:szCs w:val="20"/>
                <w:color w:val="auto"/>
              </w:rPr>
            </w:pPr>
            <w:r>
              <w:rPr>
                <w:rFonts w:ascii="Arial" w:cs="Arial" w:eastAsia="Arial" w:hAnsi="Arial"/>
                <w:sz w:val="2"/>
                <w:szCs w:val="2"/>
                <w:b w:val="1"/>
                <w:bCs w:val="1"/>
                <w:color w:val="00A1DF"/>
              </w:rPr>
              <w:t>Fiscal Year</w:t>
            </w:r>
          </w:p>
        </w:tc>
        <w:tc>
          <w:tcPr>
            <w:tcW w:w="1120" w:type="dxa"/>
            <w:vAlign w:val="bottom"/>
          </w:tcPr>
          <w:p>
            <w:pPr>
              <w:jc w:val="right"/>
              <w:ind w:right="9"/>
              <w:spacing w:after="0"/>
              <w:rPr>
                <w:sz w:val="20"/>
                <w:szCs w:val="20"/>
                <w:color w:val="auto"/>
              </w:rPr>
            </w:pPr>
            <w:r>
              <w:rPr>
                <w:rFonts w:ascii="Arial" w:cs="Arial" w:eastAsia="Arial" w:hAnsi="Arial"/>
                <w:sz w:val="2"/>
                <w:szCs w:val="2"/>
                <w:b w:val="1"/>
                <w:bCs w:val="1"/>
                <w:color w:val="00A1DF"/>
              </w:rPr>
              <w:t>Distributions</w:t>
            </w:r>
          </w:p>
        </w:tc>
        <w:tc>
          <w:tcPr>
            <w:tcW w:w="1320" w:type="dxa"/>
            <w:vAlign w:val="bottom"/>
          </w:tcPr>
          <w:p>
            <w:pPr>
              <w:jc w:val="right"/>
              <w:ind w:right="190"/>
              <w:spacing w:after="0"/>
              <w:rPr>
                <w:sz w:val="20"/>
                <w:szCs w:val="20"/>
                <w:color w:val="auto"/>
              </w:rPr>
            </w:pPr>
            <w:r>
              <w:rPr>
                <w:rFonts w:ascii="Arial" w:cs="Arial" w:eastAsia="Arial" w:hAnsi="Arial"/>
                <w:sz w:val="2"/>
                <w:szCs w:val="2"/>
                <w:b w:val="1"/>
                <w:bCs w:val="1"/>
                <w:color w:val="00A1DF"/>
              </w:rPr>
              <w:t>Year End</w:t>
            </w:r>
          </w:p>
        </w:tc>
      </w:tr>
      <w:tr>
        <w:trPr>
          <w:trHeight w:val="137"/>
        </w:trPr>
        <w:tc>
          <w:tcPr>
            <w:tcW w:w="30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jc w:val="right"/>
              <w:ind w:right="10"/>
              <w:spacing w:after="0" w:line="137" w:lineRule="exact"/>
              <w:rPr>
                <w:sz w:val="20"/>
                <w:szCs w:val="20"/>
                <w:color w:val="auto"/>
              </w:rPr>
            </w:pPr>
            <w:r>
              <w:rPr>
                <w:rFonts w:ascii="Arial" w:cs="Arial" w:eastAsia="Arial" w:hAnsi="Arial"/>
                <w:sz w:val="13"/>
                <w:szCs w:val="13"/>
                <w:b w:val="1"/>
                <w:bCs w:val="1"/>
                <w:color w:val="00A1DF"/>
              </w:rPr>
              <w:t>(1)</w:t>
            </w:r>
          </w:p>
        </w:tc>
        <w:tc>
          <w:tcPr>
            <w:tcW w:w="1120" w:type="dxa"/>
            <w:vAlign w:val="bottom"/>
          </w:tcPr>
          <w:p>
            <w:pPr>
              <w:jc w:val="right"/>
              <w:ind w:right="10"/>
              <w:spacing w:after="0" w:line="137" w:lineRule="exact"/>
              <w:rPr>
                <w:sz w:val="20"/>
                <w:szCs w:val="20"/>
                <w:color w:val="auto"/>
              </w:rPr>
            </w:pPr>
            <w:r>
              <w:rPr>
                <w:rFonts w:ascii="Arial" w:cs="Arial" w:eastAsia="Arial" w:hAnsi="Arial"/>
                <w:sz w:val="13"/>
                <w:szCs w:val="13"/>
                <w:b w:val="1"/>
                <w:bCs w:val="1"/>
                <w:color w:val="00A1DF"/>
              </w:rPr>
              <w:t>(2)</w:t>
            </w:r>
          </w:p>
        </w:tc>
        <w:tc>
          <w:tcPr>
            <w:tcW w:w="1120" w:type="dxa"/>
            <w:vAlign w:val="bottom"/>
          </w:tcPr>
          <w:p>
            <w:pPr>
              <w:spacing w:after="0"/>
              <w:rPr>
                <w:sz w:val="11"/>
                <w:szCs w:val="11"/>
                <w:color w:val="auto"/>
              </w:rPr>
            </w:pPr>
          </w:p>
        </w:tc>
        <w:tc>
          <w:tcPr>
            <w:tcW w:w="1320" w:type="dxa"/>
            <w:vAlign w:val="bottom"/>
          </w:tcPr>
          <w:p>
            <w:pPr>
              <w:jc w:val="right"/>
              <w:ind w:right="30"/>
              <w:spacing w:after="0" w:line="137" w:lineRule="exact"/>
              <w:rPr>
                <w:sz w:val="20"/>
                <w:szCs w:val="20"/>
                <w:color w:val="auto"/>
              </w:rPr>
            </w:pPr>
            <w:r>
              <w:rPr>
                <w:rFonts w:ascii="Arial" w:cs="Arial" w:eastAsia="Arial" w:hAnsi="Arial"/>
                <w:sz w:val="13"/>
                <w:szCs w:val="13"/>
                <w:b w:val="1"/>
                <w:bCs w:val="1"/>
                <w:color w:val="00A1DF"/>
              </w:rPr>
              <w:t>(3)</w:t>
            </w:r>
          </w:p>
        </w:tc>
      </w:tr>
      <w:tr>
        <w:trPr>
          <w:trHeight w:val="197"/>
        </w:trPr>
        <w:tc>
          <w:tcPr>
            <w:tcW w:w="308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w:t>
            </w:r>
          </w:p>
        </w:tc>
        <w:tc>
          <w:tcPr>
            <w:tcW w:w="20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Plan</w:t>
            </w:r>
          </w:p>
        </w:tc>
        <w:tc>
          <w:tcPr>
            <w:tcW w:w="116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Fiscal Year</w:t>
            </w:r>
          </w:p>
        </w:tc>
        <w:tc>
          <w:tcPr>
            <w:tcW w:w="116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w:t>
            </w:r>
          </w:p>
        </w:tc>
        <w:tc>
          <w:tcPr>
            <w:tcW w:w="1120" w:type="dxa"/>
            <w:vAlign w:val="bottom"/>
            <w:tcBorders>
              <w:bottom w:val="single" w:sz="8" w:color="00A1DF"/>
            </w:tcBorders>
          </w:tcPr>
          <w:p>
            <w:pPr>
              <w:jc w:val="right"/>
              <w:ind w:right="10"/>
              <w:spacing w:after="0"/>
              <w:rPr>
                <w:sz w:val="20"/>
                <w:szCs w:val="20"/>
                <w:color w:val="auto"/>
              </w:rPr>
            </w:pPr>
            <w:r>
              <w:rPr>
                <w:rFonts w:ascii="Arial" w:cs="Arial" w:eastAsia="Arial" w:hAnsi="Arial"/>
                <w:sz w:val="15"/>
                <w:szCs w:val="15"/>
                <w:b w:val="1"/>
                <w:bCs w:val="1"/>
                <w:color w:val="00A1DF"/>
              </w:rPr>
              <w:t>($)</w:t>
            </w:r>
          </w:p>
        </w:tc>
        <w:tc>
          <w:tcPr>
            <w:tcW w:w="1120" w:type="dxa"/>
            <w:vAlign w:val="bottom"/>
            <w:tcBorders>
              <w:bottom w:val="single" w:sz="8" w:color="00A1DF"/>
            </w:tcBorders>
          </w:tcPr>
          <w:p>
            <w:pPr>
              <w:jc w:val="right"/>
              <w:ind w:right="9"/>
              <w:spacing w:after="0"/>
              <w:rPr>
                <w:sz w:val="20"/>
                <w:szCs w:val="20"/>
                <w:color w:val="auto"/>
              </w:rPr>
            </w:pPr>
            <w:r>
              <w:rPr>
                <w:rFonts w:ascii="Arial" w:cs="Arial" w:eastAsia="Arial" w:hAnsi="Arial"/>
                <w:sz w:val="15"/>
                <w:szCs w:val="15"/>
                <w:b w:val="1"/>
                <w:bCs w:val="1"/>
                <w:color w:val="00A1DF"/>
              </w:rPr>
              <w:t>($)</w:t>
            </w:r>
          </w:p>
        </w:tc>
        <w:tc>
          <w:tcPr>
            <w:tcW w:w="1320" w:type="dxa"/>
            <w:vAlign w:val="bottom"/>
            <w:tcBorders>
              <w:bottom w:val="single" w:sz="8" w:color="00A1DF"/>
            </w:tcBorders>
          </w:tcPr>
          <w:p>
            <w:pPr>
              <w:jc w:val="right"/>
              <w:ind w:right="30"/>
              <w:spacing w:after="0"/>
              <w:rPr>
                <w:sz w:val="20"/>
                <w:szCs w:val="20"/>
                <w:color w:val="auto"/>
              </w:rPr>
            </w:pPr>
            <w:r>
              <w:rPr>
                <w:rFonts w:ascii="Arial" w:cs="Arial" w:eastAsia="Arial" w:hAnsi="Arial"/>
                <w:sz w:val="15"/>
                <w:szCs w:val="15"/>
                <w:b w:val="1"/>
                <w:bCs w:val="1"/>
                <w:color w:val="00A1DF"/>
              </w:rPr>
              <w:t>($)</w:t>
            </w:r>
          </w:p>
        </w:tc>
      </w:tr>
      <w:tr>
        <w:trPr>
          <w:trHeight w:val="156"/>
        </w:trPr>
        <w:tc>
          <w:tcPr>
            <w:tcW w:w="3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Mary T. Barra</w:t>
            </w:r>
          </w:p>
        </w:tc>
        <w:tc>
          <w:tcPr>
            <w:tcW w:w="2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602,664</w:t>
            </w:r>
          </w:p>
        </w:tc>
        <w:tc>
          <w:tcPr>
            <w:tcW w:w="11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222,246</w:t>
            </w:r>
          </w:p>
        </w:tc>
        <w:tc>
          <w:tcPr>
            <w:tcW w:w="112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1,743,016</w:t>
            </w:r>
          </w:p>
        </w:tc>
      </w:tr>
      <w:tr>
        <w:trPr>
          <w:trHeight w:val="156"/>
        </w:trPr>
        <w:tc>
          <w:tcPr>
            <w:tcW w:w="3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Charles K. Stevens, III</w:t>
            </w:r>
          </w:p>
        </w:tc>
        <w:tc>
          <w:tcPr>
            <w:tcW w:w="2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261,261</w:t>
            </w:r>
          </w:p>
        </w:tc>
        <w:tc>
          <w:tcPr>
            <w:tcW w:w="11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95,126</w:t>
            </w:r>
          </w:p>
        </w:tc>
        <w:tc>
          <w:tcPr>
            <w:tcW w:w="112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782,634</w:t>
            </w:r>
          </w:p>
        </w:tc>
      </w:tr>
      <w:tr>
        <w:trPr>
          <w:trHeight w:val="156"/>
        </w:trPr>
        <w:tc>
          <w:tcPr>
            <w:tcW w:w="3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Daniel Ammann</w:t>
            </w:r>
          </w:p>
        </w:tc>
        <w:tc>
          <w:tcPr>
            <w:tcW w:w="2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238,774</w:t>
            </w:r>
          </w:p>
        </w:tc>
        <w:tc>
          <w:tcPr>
            <w:tcW w:w="11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42,341</w:t>
            </w:r>
          </w:p>
        </w:tc>
        <w:tc>
          <w:tcPr>
            <w:tcW w:w="112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640,999</w:t>
            </w:r>
          </w:p>
        </w:tc>
      </w:tr>
      <w:tr>
        <w:trPr>
          <w:trHeight w:val="156"/>
        </w:trPr>
        <w:tc>
          <w:tcPr>
            <w:tcW w:w="3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Mark L. Reuss</w:t>
            </w:r>
          </w:p>
        </w:tc>
        <w:tc>
          <w:tcPr>
            <w:tcW w:w="2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271,200</w:t>
            </w:r>
          </w:p>
        </w:tc>
        <w:tc>
          <w:tcPr>
            <w:tcW w:w="11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104,822</w:t>
            </w:r>
          </w:p>
        </w:tc>
        <w:tc>
          <w:tcPr>
            <w:tcW w:w="112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795,468</w:t>
            </w:r>
          </w:p>
        </w:tc>
      </w:tr>
      <w:tr>
        <w:trPr>
          <w:trHeight w:val="156"/>
        </w:trPr>
        <w:tc>
          <w:tcPr>
            <w:tcW w:w="3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Alan S. Batey</w:t>
            </w:r>
          </w:p>
        </w:tc>
        <w:tc>
          <w:tcPr>
            <w:tcW w:w="2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224,626</w:t>
            </w:r>
          </w:p>
        </w:tc>
        <w:tc>
          <w:tcPr>
            <w:tcW w:w="1120" w:type="dxa"/>
            <w:vAlign w:val="bottom"/>
            <w:tcBorders>
              <w:bottom w:val="single" w:sz="8" w:color="auto"/>
            </w:tcBorders>
          </w:tcPr>
          <w:p>
            <w:pPr>
              <w:jc w:val="right"/>
              <w:ind w:right="10"/>
              <w:spacing w:after="0" w:line="156" w:lineRule="exact"/>
              <w:rPr>
                <w:sz w:val="20"/>
                <w:szCs w:val="20"/>
                <w:color w:val="auto"/>
              </w:rPr>
            </w:pPr>
            <w:r>
              <w:rPr>
                <w:rFonts w:ascii="Arial" w:cs="Arial" w:eastAsia="Arial" w:hAnsi="Arial"/>
                <w:sz w:val="15"/>
                <w:szCs w:val="15"/>
                <w:color w:val="auto"/>
              </w:rPr>
              <w:t>83,770</w:t>
            </w:r>
          </w:p>
        </w:tc>
        <w:tc>
          <w:tcPr>
            <w:tcW w:w="112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30"/>
              <w:spacing w:after="0" w:line="156" w:lineRule="exact"/>
              <w:rPr>
                <w:sz w:val="20"/>
                <w:szCs w:val="20"/>
                <w:color w:val="auto"/>
              </w:rPr>
            </w:pPr>
            <w:r>
              <w:rPr>
                <w:rFonts w:ascii="Arial" w:cs="Arial" w:eastAsia="Arial" w:hAnsi="Arial"/>
                <w:sz w:val="15"/>
                <w:szCs w:val="15"/>
                <w:color w:val="auto"/>
              </w:rPr>
              <w:t>664,358</w:t>
            </w:r>
          </w:p>
        </w:tc>
      </w:tr>
      <w:tr>
        <w:trPr>
          <w:trHeight w:val="156"/>
        </w:trPr>
        <w:tc>
          <w:tcPr>
            <w:tcW w:w="3080" w:type="dxa"/>
            <w:vAlign w:val="bottom"/>
            <w:tcBorders>
              <w:bottom w:val="single" w:sz="8" w:color="0033A0"/>
            </w:tcBorders>
          </w:tcPr>
          <w:p>
            <w:pPr>
              <w:ind w:left="60"/>
              <w:spacing w:after="0" w:line="156" w:lineRule="exact"/>
              <w:rPr>
                <w:sz w:val="20"/>
                <w:szCs w:val="20"/>
                <w:color w:val="auto"/>
              </w:rPr>
            </w:pPr>
            <w:r>
              <w:rPr>
                <w:rFonts w:ascii="Arial" w:cs="Arial" w:eastAsia="Arial" w:hAnsi="Arial"/>
                <w:sz w:val="15"/>
                <w:szCs w:val="15"/>
                <w:color w:val="auto"/>
              </w:rPr>
              <w:t>Karl-Thomas Neumann</w:t>
            </w:r>
          </w:p>
        </w:tc>
        <w:tc>
          <w:tcPr>
            <w:tcW w:w="2060" w:type="dxa"/>
            <w:vAlign w:val="bottom"/>
            <w:tcBorders>
              <w:bottom w:val="single" w:sz="8" w:color="0033A0"/>
            </w:tcBorders>
          </w:tcPr>
          <w:p>
            <w:pPr>
              <w:jc w:val="right"/>
              <w:spacing w:after="0" w:line="156" w:lineRule="exact"/>
              <w:rPr>
                <w:sz w:val="20"/>
                <w:szCs w:val="20"/>
                <w:color w:val="auto"/>
              </w:rPr>
            </w:pPr>
            <w:r>
              <w:rPr>
                <w:rFonts w:ascii="Arial" w:cs="Arial" w:eastAsia="Arial" w:hAnsi="Arial"/>
                <w:sz w:val="15"/>
                <w:szCs w:val="15"/>
                <w:color w:val="auto"/>
              </w:rPr>
              <w:t>DC ERP</w:t>
            </w:r>
          </w:p>
        </w:tc>
        <w:tc>
          <w:tcPr>
            <w:tcW w:w="1160" w:type="dxa"/>
            <w:vAlign w:val="bottom"/>
            <w:tcBorders>
              <w:bottom w:val="single" w:sz="8" w:color="0033A0"/>
            </w:tcBorders>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0033A0"/>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0033A0"/>
            </w:tcBorders>
          </w:tcPr>
          <w:p>
            <w:pPr>
              <w:jc w:val="right"/>
              <w:ind w:right="10"/>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0033A0"/>
            </w:tcBorders>
          </w:tcPr>
          <w:p>
            <w:pPr>
              <w:jc w:val="right"/>
              <w:ind w:right="9"/>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0033A0"/>
            </w:tcBorders>
          </w:tcPr>
          <w:p>
            <w:pPr>
              <w:jc w:val="right"/>
              <w:ind w:right="30"/>
              <w:spacing w:after="0" w:line="156" w:lineRule="exact"/>
              <w:rPr>
                <w:sz w:val="20"/>
                <w:szCs w:val="20"/>
                <w:color w:val="auto"/>
              </w:rPr>
            </w:pPr>
            <w:r>
              <w:rPr>
                <w:rFonts w:ascii="Arial" w:cs="Arial" w:eastAsia="Arial" w:hAnsi="Arial"/>
                <w:sz w:val="15"/>
                <w:szCs w:val="15"/>
                <w:color w:val="auto"/>
              </w:rPr>
              <w:t>—</w:t>
            </w:r>
          </w:p>
        </w:tc>
      </w:tr>
    </w:tbl>
    <w:p>
      <w:pPr>
        <w:spacing w:after="0" w:line="58" w:lineRule="exact"/>
        <w:rPr>
          <w:sz w:val="20"/>
          <w:szCs w:val="20"/>
          <w:color w:val="auto"/>
        </w:rPr>
      </w:pPr>
    </w:p>
    <w:p>
      <w:pPr>
        <w:ind w:left="520" w:hanging="316"/>
        <w:spacing w:after="0"/>
        <w:tabs>
          <w:tab w:leader="none" w:pos="5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The full amount shown under Registrant Contributions is included in the All Other Compensation column of the Summary Compensation Table.</w:t>
      </w:r>
    </w:p>
    <w:p>
      <w:pPr>
        <w:spacing w:after="0" w:line="68" w:lineRule="exact"/>
        <w:rPr>
          <w:rFonts w:ascii="Arial" w:cs="Arial" w:eastAsia="Arial" w:hAnsi="Arial"/>
          <w:sz w:val="14"/>
          <w:szCs w:val="14"/>
          <w:i w:val="1"/>
          <w:iCs w:val="1"/>
          <w:color w:val="auto"/>
        </w:rPr>
      </w:pPr>
    </w:p>
    <w:p>
      <w:pPr>
        <w:ind w:left="520" w:right="40" w:hanging="316"/>
        <w:spacing w:after="0" w:line="279" w:lineRule="auto"/>
        <w:tabs>
          <w:tab w:leader="none" w:pos="5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Earnings that may be included in the Aggregate Earnings in the Last Fiscal Year column are not reported in the Change in Pension Value and Non-qualified Deferred Compensation totals in the Summary Compensation Table, because we do not pay above-market earnings on deferred compensation.</w:t>
      </w:r>
    </w:p>
    <w:p>
      <w:pPr>
        <w:spacing w:after="0" w:line="17" w:lineRule="exact"/>
        <w:rPr>
          <w:rFonts w:ascii="Arial" w:cs="Arial" w:eastAsia="Arial" w:hAnsi="Arial"/>
          <w:sz w:val="14"/>
          <w:szCs w:val="14"/>
          <w:i w:val="1"/>
          <w:iCs w:val="1"/>
          <w:color w:val="auto"/>
        </w:rPr>
      </w:pPr>
    </w:p>
    <w:p>
      <w:pPr>
        <w:ind w:left="520" w:right="40" w:hanging="316"/>
        <w:spacing w:after="0" w:line="279" w:lineRule="auto"/>
        <w:tabs>
          <w:tab w:leader="none" w:pos="5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amounts have been included in the Summary Compensation Table in prior years: $797,224 (Ms. Barra), $386,918 (Mr. Stevens), $337,559 (Mr. Ammann), $382,466 (Mr. Reuss), and $150,466 (Mr. Batey).</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94"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25"/>
          <w:szCs w:val="25"/>
          <w:color w:val="0033A0"/>
        </w:rPr>
      </w:pPr>
      <w:r>
        <w:rPr>
          <w:rFonts w:ascii="Arial" w:cs="Arial" w:eastAsia="Arial" w:hAnsi="Arial"/>
          <w:sz w:val="25"/>
          <w:szCs w:val="25"/>
          <w:color w:val="auto"/>
        </w:rPr>
        <w:t>Potential Payments Upon Termination</w:t>
      </w:r>
    </w:p>
    <w:p>
      <w:pPr>
        <w:spacing w:after="0" w:line="28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severance pay under the GM Executive Severance Program.</w:t>
      </w:r>
    </w:p>
    <w:p>
      <w:pPr>
        <w:spacing w:after="0" w:line="9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table below shows the potential payments to each NEO assuming a termination of employment on December 31, 2017, due to each of the following: voluntary separation or termination for cause; qualifying termination under the Executive Severance Program; full career status retirement; disability; death; and change in control with termination of employment. Each of the separation events is described in more detail below. These provisions are generally applicable to participants in each of the applicable plans, and they are not reserved only for NEOs. The payments below are in addition to the present value of the accumulated benefits from each NEOs qualified and nonqualified pension plans shown in the Pension Benefits table on page 63, and the aggregate balance due to each NEO that is shown in the Nonqualified Deferred Compensation table above.</w:t>
      </w:r>
    </w:p>
    <w:p>
      <w:pPr>
        <w:spacing w:after="0" w:line="104"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For purposes of the following table, the Company describes these terminations and potential payments:</w:t>
      </w:r>
    </w:p>
    <w:p>
      <w:pPr>
        <w:spacing w:after="0" w:line="81" w:lineRule="exact"/>
        <w:rPr>
          <w:sz w:val="20"/>
          <w:szCs w:val="20"/>
          <w:color w:val="auto"/>
        </w:rPr>
      </w:pPr>
    </w:p>
    <w:p>
      <w:pPr>
        <w:jc w:val="both"/>
        <w:ind w:left="400" w:right="20" w:hanging="189"/>
        <w:spacing w:after="0" w:line="251" w:lineRule="auto"/>
        <w:tabs>
          <w:tab w:leader="none" w:pos="400" w:val="left"/>
        </w:tabs>
        <w:numPr>
          <w:ilvl w:val="0"/>
          <w:numId w:val="132"/>
        </w:numPr>
        <w:rPr>
          <w:rFonts w:ascii="Arial" w:cs="Arial" w:eastAsia="Arial" w:hAnsi="Arial"/>
          <w:sz w:val="16"/>
          <w:szCs w:val="16"/>
          <w:color w:val="0033A0"/>
        </w:rPr>
      </w:pPr>
      <w:r>
        <w:rPr>
          <w:rFonts w:ascii="Arial" w:cs="Arial" w:eastAsia="Arial" w:hAnsi="Arial"/>
          <w:sz w:val="16"/>
          <w:szCs w:val="16"/>
          <w:b w:val="1"/>
          <w:bCs w:val="1"/>
          <w:color w:val="auto"/>
        </w:rPr>
        <w:t xml:space="preserve">Voluntary Separation or Termination for Cause </w:t>
      </w:r>
      <w:r>
        <w:rPr>
          <w:rFonts w:ascii="Arial" w:cs="Arial" w:eastAsia="Arial" w:hAnsi="Arial"/>
          <w:sz w:val="16"/>
          <w:szCs w:val="16"/>
          <w:color w:val="auto"/>
        </w:rPr>
        <w:t>– A 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occurs when an executive voluntarily terminates employment with the Company.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executives generally forfeit all outstanding equity awards and are not eligible for any award or payment under the STIP. Full career status retirements receive different treatment, as discussed below.</w:t>
      </w:r>
    </w:p>
    <w:p>
      <w:pPr>
        <w:spacing w:after="0" w:line="88" w:lineRule="exact"/>
        <w:rPr>
          <w:rFonts w:ascii="Arial" w:cs="Arial" w:eastAsia="Arial" w:hAnsi="Arial"/>
          <w:sz w:val="16"/>
          <w:szCs w:val="16"/>
          <w:color w:val="0033A0"/>
        </w:rPr>
      </w:pPr>
    </w:p>
    <w:p>
      <w:pPr>
        <w:jc w:val="both"/>
        <w:ind w:left="400" w:right="20" w:hanging="189"/>
        <w:spacing w:after="0" w:line="250" w:lineRule="auto"/>
        <w:tabs>
          <w:tab w:leader="none" w:pos="400" w:val="left"/>
        </w:tabs>
        <w:numPr>
          <w:ilvl w:val="0"/>
          <w:numId w:val="132"/>
        </w:numPr>
        <w:rPr>
          <w:rFonts w:ascii="Arial" w:cs="Arial" w:eastAsia="Arial" w:hAnsi="Arial"/>
          <w:sz w:val="16"/>
          <w:szCs w:val="16"/>
          <w:color w:val="0033A0"/>
        </w:rPr>
      </w:pPr>
      <w:r>
        <w:rPr>
          <w:rFonts w:ascii="Arial" w:cs="Arial" w:eastAsia="Arial" w:hAnsi="Arial"/>
          <w:sz w:val="16"/>
          <w:szCs w:val="16"/>
          <w:b w:val="1"/>
          <w:bCs w:val="1"/>
          <w:color w:val="auto"/>
        </w:rPr>
        <w:t xml:space="preserve">Executive Severance Program </w:t>
      </w:r>
      <w:r>
        <w:rPr>
          <w:rFonts w:ascii="Arial" w:cs="Arial" w:eastAsia="Arial" w:hAnsi="Arial"/>
          <w:sz w:val="16"/>
          <w:szCs w:val="16"/>
          <w:color w:val="auto"/>
        </w:rPr>
        <w:t>– A separation occurs when 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position is eliminated or the Company and an executive agree to mutually end the employment relationship. An executive will be eligible to receive severance pay from the Company calculated based on their position and reflected as a multiple of base salary, COBRA, as well as a STIP award at target. An executive will receive cash payments of the value of the equity awards that are scheduled to vest within the next year after separation at the time of vesting if the executive enters into a mutual separation agreement. All unvested Stock Options are usually forfeited. An executive is also eligible for outplacement assistance based on position.</w:t>
      </w:r>
    </w:p>
    <w:p>
      <w:pPr>
        <w:spacing w:after="0" w:line="93" w:lineRule="exact"/>
        <w:rPr>
          <w:rFonts w:ascii="Arial" w:cs="Arial" w:eastAsia="Arial" w:hAnsi="Arial"/>
          <w:sz w:val="16"/>
          <w:szCs w:val="16"/>
          <w:color w:val="0033A0"/>
        </w:rPr>
      </w:pPr>
    </w:p>
    <w:p>
      <w:pPr>
        <w:jc w:val="both"/>
        <w:ind w:left="400" w:right="20" w:hanging="189"/>
        <w:spacing w:after="0" w:line="254" w:lineRule="auto"/>
        <w:tabs>
          <w:tab w:leader="none" w:pos="400" w:val="left"/>
        </w:tabs>
        <w:numPr>
          <w:ilvl w:val="0"/>
          <w:numId w:val="132"/>
        </w:numPr>
        <w:rPr>
          <w:rFonts w:ascii="Arial" w:cs="Arial" w:eastAsia="Arial" w:hAnsi="Arial"/>
          <w:sz w:val="16"/>
          <w:szCs w:val="16"/>
          <w:color w:val="0033A0"/>
        </w:rPr>
      </w:pPr>
      <w:r>
        <w:rPr>
          <w:rFonts w:ascii="Arial" w:cs="Arial" w:eastAsia="Arial" w:hAnsi="Arial"/>
          <w:sz w:val="16"/>
          <w:szCs w:val="16"/>
          <w:b w:val="1"/>
          <w:bCs w:val="1"/>
          <w:color w:val="auto"/>
        </w:rPr>
        <w:t xml:space="preserve">Full Career Status Retirement </w:t>
      </w:r>
      <w:r>
        <w:rPr>
          <w:rFonts w:ascii="Arial" w:cs="Arial" w:eastAsia="Arial" w:hAnsi="Arial"/>
          <w:sz w:val="16"/>
          <w:szCs w:val="16"/>
          <w:color w:val="auto"/>
        </w:rPr>
        <w:t>– A full career status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occurs when an executive reaches the age of 55 with 10 or more years of continuous service or age 62 or older and the executive voluntarily separates from the Company. If an executive enters into a separation or severance agreement, they cannot also elect full career status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the event of full career status retirement, the executive is generally eligible for a prorated STIP award based on months of active service in the performance year as of their termination date and once final performance has been determined. RSUs granted within one year prior to the date of retirement are prorated based on months of active service prior to the date of retirement. RSUs granted more than one year prior to the date of retirement continue to vest in accordance with their vesting schedule. PSUs granted within one year prior to the date of retirement are prorated based on months of active service prior to the date of retirement and will be adjusted for final corporate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corporate performance and be settled following approval of such performance. Stock options granted within one year prior to the date of retirement are prorated based on months of active service prior to the date of retirement. Stock options granted more than one year prior to the date of retirement will continue to vest in accordance with their vesting schedule. As of December 31, 2017, only Ms. Barra and Mr. Stevens were eligible for full career status retirement.</w:t>
      </w:r>
    </w:p>
    <w:p>
      <w:pPr>
        <w:spacing w:after="0" w:line="285" w:lineRule="exact"/>
        <w:rPr>
          <w:sz w:val="20"/>
          <w:szCs w:val="20"/>
          <w:color w:val="auto"/>
        </w:rPr>
      </w:pPr>
    </w:p>
    <w:p>
      <w:pPr>
        <w:jc w:val="both"/>
        <w:ind w:left="200" w:hanging="191"/>
        <w:spacing w:after="0" w:line="249" w:lineRule="auto"/>
        <w:tabs>
          <w:tab w:leader="none" w:pos="200" w:val="left"/>
        </w:tabs>
        <w:numPr>
          <w:ilvl w:val="0"/>
          <w:numId w:val="133"/>
        </w:numPr>
        <w:rPr>
          <w:rFonts w:ascii="Arial" w:cs="Arial" w:eastAsia="Arial" w:hAnsi="Arial"/>
          <w:sz w:val="16"/>
          <w:szCs w:val="16"/>
          <w:color w:val="0033A0"/>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 Disability occurs when an executive terminates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by reason of their inability to engage in any gainful activity due to a medically determinable physical or mental impairment that can be expected to result in death or can be expected to last for a continuous period of not less than 12 months. Executives are eligible for a full-year STIP award related to the year in which termination occurs once final performance has been determined. Unvested RSUs continue to vest according to their vesting schedule. Unvested PSUs vest immediately upon such termination and will remain outstanding until the end of the performance period, at which time they will be adjusted for final corporate performance and be settled following approval of such performance. Stock options will continue to vest in accordance with their vesting schedule.</w:t>
      </w:r>
    </w:p>
    <w:p>
      <w:pPr>
        <w:spacing w:after="0" w:line="97" w:lineRule="exact"/>
        <w:rPr>
          <w:rFonts w:ascii="Arial" w:cs="Arial" w:eastAsia="Arial" w:hAnsi="Arial"/>
          <w:sz w:val="16"/>
          <w:szCs w:val="16"/>
          <w:color w:val="0033A0"/>
        </w:rPr>
      </w:pPr>
    </w:p>
    <w:p>
      <w:pPr>
        <w:jc w:val="both"/>
        <w:ind w:left="200" w:hanging="191"/>
        <w:spacing w:after="0" w:line="251" w:lineRule="auto"/>
        <w:tabs>
          <w:tab w:leader="none" w:pos="200" w:val="left"/>
        </w:tabs>
        <w:numPr>
          <w:ilvl w:val="0"/>
          <w:numId w:val="133"/>
        </w:numPr>
        <w:rPr>
          <w:rFonts w:ascii="Arial" w:cs="Arial" w:eastAsia="Arial" w:hAnsi="Arial"/>
          <w:sz w:val="16"/>
          <w:szCs w:val="16"/>
          <w:color w:val="0033A0"/>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 Following the death of an executive, the beneficiary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will be eligible to receive the target STIP award subject to adjustment for final corporate and individual performance following determination of the final award. RSUs immediately vest in full and are settled within 90 days of death. PSUs vest immediately upon death and will remain outstanding until the end of the performance period, at which time they will be adjusted for final corporate performance and be settled following approval of such performance. Stock options vest immediately upon death.</w:t>
      </w:r>
    </w:p>
    <w:p>
      <w:pPr>
        <w:spacing w:after="0" w:line="91" w:lineRule="exact"/>
        <w:rPr>
          <w:rFonts w:ascii="Arial" w:cs="Arial" w:eastAsia="Arial" w:hAnsi="Arial"/>
          <w:sz w:val="16"/>
          <w:szCs w:val="16"/>
          <w:color w:val="0033A0"/>
        </w:rPr>
      </w:pPr>
    </w:p>
    <w:p>
      <w:pPr>
        <w:jc w:val="both"/>
        <w:ind w:left="200" w:hanging="191"/>
        <w:spacing w:after="0" w:line="256" w:lineRule="auto"/>
        <w:tabs>
          <w:tab w:leader="none" w:pos="200" w:val="left"/>
        </w:tabs>
        <w:numPr>
          <w:ilvl w:val="0"/>
          <w:numId w:val="133"/>
        </w:numPr>
        <w:rPr>
          <w:rFonts w:ascii="Arial" w:cs="Arial" w:eastAsia="Arial" w:hAnsi="Arial"/>
          <w:sz w:val="16"/>
          <w:szCs w:val="16"/>
          <w:color w:val="0033A0"/>
        </w:rPr>
      </w:pPr>
      <w:r>
        <w:rPr>
          <w:rFonts w:ascii="Arial" w:cs="Arial" w:eastAsia="Arial" w:hAnsi="Arial"/>
          <w:sz w:val="16"/>
          <w:szCs w:val="16"/>
          <w:b w:val="1"/>
          <w:bCs w:val="1"/>
          <w:color w:val="auto"/>
        </w:rPr>
        <w:t xml:space="preserve">Change in Control (Double Trigger) </w:t>
      </w:r>
      <w:r>
        <w:rPr>
          <w:rFonts w:ascii="Arial" w:cs="Arial" w:eastAsia="Arial" w:hAnsi="Arial"/>
          <w:sz w:val="16"/>
          <w:szCs w:val="16"/>
          <w:color w:val="auto"/>
        </w:rPr>
        <w:t>– In the event of a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resulting from a change in control, an executive will be eligible for severance under the GM Executive Severance Program that provides a severance payment based on position and multiple of base salary and</w:t>
      </w:r>
    </w:p>
    <w:p>
      <w:pPr>
        <w:spacing w:after="0" w:line="414"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86"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327" w:lineRule="exact"/>
        <w:rPr>
          <w:sz w:val="20"/>
          <w:szCs w:val="20"/>
          <w:color w:val="auto"/>
        </w:rPr>
      </w:pPr>
    </w:p>
    <w:p>
      <w:pPr>
        <w:jc w:val="both"/>
        <w:ind w:left="400"/>
        <w:spacing w:after="0" w:line="249" w:lineRule="auto"/>
        <w:rPr>
          <w:sz w:val="20"/>
          <w:szCs w:val="20"/>
          <w:color w:val="auto"/>
        </w:rPr>
      </w:pPr>
      <w:r>
        <w:rPr>
          <w:rFonts w:ascii="Arial" w:cs="Arial" w:eastAsia="Arial" w:hAnsi="Arial"/>
          <w:sz w:val="16"/>
          <w:szCs w:val="16"/>
          <w:color w:val="auto"/>
        </w:rPr>
        <w:t>COBRA. Executives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387" w:lineRule="exact"/>
        <w:rPr>
          <w:sz w:val="20"/>
          <w:szCs w:val="20"/>
          <w:color w:val="auto"/>
        </w:rPr>
      </w:pPr>
    </w:p>
    <w:p>
      <w:pPr>
        <w:sectPr>
          <w:pgSz w:w="11900" w:h="16838" w:orient="portrait"/>
          <w:cols w:equalWidth="0" w:num="2">
            <w:col w:w="5480" w:space="540"/>
            <w:col w:w="5240"/>
          </w:cols>
          <w:pgMar w:left="240" w:top="459" w:right="399" w:bottom="1440"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Amounts shown in the following table are calculated by assuming that the relevant employment termination event occurred on December 31, 2017.</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1660" w:type="dxa"/>
            <w:vAlign w:val="bottom"/>
            <w:tcBorders>
              <w:top w:val="single" w:sz="8" w:color="00A1DF"/>
            </w:tcBorders>
          </w:tcPr>
          <w:p>
            <w:pPr>
              <w:spacing w:after="0"/>
              <w:rPr>
                <w:sz w:val="13"/>
                <w:szCs w:val="13"/>
                <w:color w:val="auto"/>
              </w:rPr>
            </w:pPr>
          </w:p>
        </w:tc>
        <w:tc>
          <w:tcPr>
            <w:tcW w:w="1320" w:type="dxa"/>
            <w:vAlign w:val="bottom"/>
            <w:tcBorders>
              <w:top w:val="single" w:sz="8" w:color="00A1DF"/>
            </w:tcBorders>
          </w:tcPr>
          <w:p>
            <w:pPr>
              <w:spacing w:after="0"/>
              <w:rPr>
                <w:sz w:val="13"/>
                <w:szCs w:val="13"/>
                <w:color w:val="auto"/>
              </w:rPr>
            </w:pPr>
          </w:p>
        </w:tc>
        <w:tc>
          <w:tcPr>
            <w:tcW w:w="1360" w:type="dxa"/>
            <w:vAlign w:val="bottom"/>
            <w:tcBorders>
              <w:top w:val="single" w:sz="8" w:color="00A1DF"/>
            </w:tcBorders>
          </w:tcPr>
          <w:p>
            <w:pPr>
              <w:spacing w:after="0"/>
              <w:rPr>
                <w:sz w:val="13"/>
                <w:szCs w:val="13"/>
                <w:color w:val="auto"/>
              </w:rPr>
            </w:pPr>
          </w:p>
        </w:tc>
        <w:tc>
          <w:tcPr>
            <w:tcW w:w="1240" w:type="dxa"/>
            <w:vAlign w:val="bottom"/>
            <w:tcBorders>
              <w:top w:val="single" w:sz="8" w:color="00A1DF"/>
            </w:tcBorders>
          </w:tcPr>
          <w:p>
            <w:pPr>
              <w:jc w:val="right"/>
              <w:ind w:right="84"/>
              <w:spacing w:after="0" w:line="154" w:lineRule="exact"/>
              <w:rPr>
                <w:sz w:val="20"/>
                <w:szCs w:val="20"/>
                <w:color w:val="auto"/>
              </w:rPr>
            </w:pPr>
            <w:r>
              <w:rPr>
                <w:rFonts w:ascii="Arial" w:cs="Arial" w:eastAsia="Arial" w:hAnsi="Arial"/>
                <w:sz w:val="15"/>
                <w:szCs w:val="15"/>
                <w:b w:val="1"/>
                <w:bCs w:val="1"/>
                <w:color w:val="00A1DF"/>
              </w:rPr>
              <w:t>Voluntary</w:t>
            </w:r>
          </w:p>
        </w:tc>
        <w:tc>
          <w:tcPr>
            <w:tcW w:w="1040" w:type="dxa"/>
            <w:vAlign w:val="bottom"/>
            <w:tcBorders>
              <w:top w:val="single" w:sz="8" w:color="00A1DF"/>
            </w:tcBorders>
          </w:tcPr>
          <w:p>
            <w:pPr>
              <w:spacing w:after="0"/>
              <w:rPr>
                <w:sz w:val="13"/>
                <w:szCs w:val="13"/>
                <w:color w:val="auto"/>
              </w:rPr>
            </w:pPr>
          </w:p>
        </w:tc>
        <w:tc>
          <w:tcPr>
            <w:tcW w:w="1220" w:type="dxa"/>
            <w:vAlign w:val="bottom"/>
            <w:tcBorders>
              <w:top w:val="single" w:sz="8" w:color="00A1DF"/>
            </w:tcBorders>
          </w:tcPr>
          <w:p>
            <w:pPr>
              <w:spacing w:after="0"/>
              <w:rPr>
                <w:sz w:val="13"/>
                <w:szCs w:val="13"/>
                <w:color w:val="auto"/>
              </w:rPr>
            </w:pPr>
          </w:p>
        </w:tc>
        <w:tc>
          <w:tcPr>
            <w:tcW w:w="1080" w:type="dxa"/>
            <w:vAlign w:val="bottom"/>
            <w:tcBorders>
              <w:top w:val="single" w:sz="8" w:color="00A1DF"/>
            </w:tcBorders>
          </w:tcPr>
          <w:p>
            <w:pPr>
              <w:spacing w:after="0"/>
              <w:rPr>
                <w:sz w:val="13"/>
                <w:szCs w:val="13"/>
                <w:color w:val="auto"/>
              </w:rPr>
            </w:pPr>
          </w:p>
        </w:tc>
        <w:tc>
          <w:tcPr>
            <w:tcW w:w="1000" w:type="dxa"/>
            <w:vAlign w:val="bottom"/>
            <w:tcBorders>
              <w:top w:val="single" w:sz="8" w:color="00A1DF"/>
            </w:tcBorders>
          </w:tcPr>
          <w:p>
            <w:pPr>
              <w:spacing w:after="0"/>
              <w:rPr>
                <w:sz w:val="13"/>
                <w:szCs w:val="13"/>
                <w:color w:val="auto"/>
              </w:rPr>
            </w:pPr>
          </w:p>
        </w:tc>
        <w:tc>
          <w:tcPr>
            <w:tcW w:w="1100" w:type="dxa"/>
            <w:vAlign w:val="bottom"/>
            <w:tcBorders>
              <w:top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00A1DF"/>
              </w:rPr>
              <w:t>Separation or</w:t>
            </w:r>
          </w:p>
        </w:tc>
        <w:tc>
          <w:tcPr>
            <w:tcW w:w="10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Executive</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Change in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ind w:left="200"/>
              <w:spacing w:after="0" w:line="162" w:lineRule="exact"/>
              <w:rPr>
                <w:sz w:val="20"/>
                <w:szCs w:val="20"/>
                <w:color w:val="auto"/>
              </w:rPr>
            </w:pPr>
            <w:r>
              <w:rPr>
                <w:rFonts w:ascii="Arial" w:cs="Arial" w:eastAsia="Arial" w:hAnsi="Arial"/>
                <w:sz w:val="15"/>
                <w:szCs w:val="15"/>
                <w:b w:val="1"/>
                <w:bCs w:val="1"/>
                <w:color w:val="00A1DF"/>
              </w:rPr>
              <w:t>Compensation</w:t>
            </w:r>
          </w:p>
        </w:tc>
        <w:tc>
          <w:tcPr>
            <w:tcW w:w="124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00A1DF"/>
              </w:rPr>
              <w:t>Termination</w:t>
            </w:r>
          </w:p>
        </w:tc>
        <w:tc>
          <w:tcPr>
            <w:tcW w:w="10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Severance</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00A1DF"/>
              </w:rPr>
              <w:t>Control with</w:t>
            </w:r>
          </w:p>
        </w:tc>
        <w:tc>
          <w:tcPr>
            <w:tcW w:w="0" w:type="dxa"/>
            <w:vAlign w:val="bottom"/>
          </w:tcPr>
          <w:p>
            <w:pPr>
              <w:spacing w:after="0"/>
              <w:rPr>
                <w:sz w:val="1"/>
                <w:szCs w:val="1"/>
                <w:color w:val="auto"/>
              </w:rPr>
            </w:pPr>
          </w:p>
        </w:tc>
      </w:tr>
      <w:tr>
        <w:trPr>
          <w:trHeight w:val="197"/>
        </w:trPr>
        <w:tc>
          <w:tcPr>
            <w:tcW w:w="166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Name</w:t>
            </w:r>
          </w:p>
        </w:tc>
        <w:tc>
          <w:tcPr>
            <w:tcW w:w="1320" w:type="dxa"/>
            <w:vAlign w:val="bottom"/>
            <w:tcBorders>
              <w:bottom w:val="single" w:sz="8" w:color="00A1DF"/>
            </w:tcBorders>
          </w:tcPr>
          <w:p>
            <w:pPr>
              <w:spacing w:after="0"/>
              <w:rPr>
                <w:sz w:val="17"/>
                <w:szCs w:val="17"/>
                <w:color w:val="auto"/>
              </w:rPr>
            </w:pPr>
          </w:p>
        </w:tc>
        <w:tc>
          <w:tcPr>
            <w:tcW w:w="1360" w:type="dxa"/>
            <w:vAlign w:val="bottom"/>
            <w:tcBorders>
              <w:bottom w:val="single" w:sz="8" w:color="00A1DF"/>
            </w:tcBorders>
          </w:tcPr>
          <w:p>
            <w:pPr>
              <w:ind w:left="180"/>
              <w:spacing w:after="0"/>
              <w:rPr>
                <w:sz w:val="20"/>
                <w:szCs w:val="20"/>
                <w:color w:val="auto"/>
              </w:rPr>
            </w:pPr>
            <w:r>
              <w:rPr>
                <w:rFonts w:ascii="Arial" w:cs="Arial" w:eastAsia="Arial" w:hAnsi="Arial"/>
                <w:sz w:val="15"/>
                <w:szCs w:val="15"/>
                <w:b w:val="1"/>
                <w:bCs w:val="1"/>
                <w:color w:val="00A1DF"/>
              </w:rPr>
              <w:t>Element</w:t>
            </w:r>
            <w:r>
              <w:rPr>
                <w:rFonts w:ascii="Arial" w:cs="Arial" w:eastAsia="Arial" w:hAnsi="Arial"/>
                <w:sz w:val="13"/>
                <w:szCs w:val="13"/>
                <w:b w:val="1"/>
                <w:bCs w:val="1"/>
                <w:color w:val="00A1DF"/>
              </w:rPr>
              <w:t>(1)(2)(3)</w:t>
            </w:r>
          </w:p>
        </w:tc>
        <w:tc>
          <w:tcPr>
            <w:tcW w:w="1240" w:type="dxa"/>
            <w:vAlign w:val="bottom"/>
            <w:tcBorders>
              <w:bottom w:val="single" w:sz="8" w:color="00A1DF"/>
            </w:tcBorders>
          </w:tcPr>
          <w:p>
            <w:pPr>
              <w:jc w:val="right"/>
              <w:ind w:right="84"/>
              <w:spacing w:after="0"/>
              <w:rPr>
                <w:sz w:val="20"/>
                <w:szCs w:val="20"/>
                <w:color w:val="auto"/>
              </w:rPr>
            </w:pPr>
            <w:r>
              <w:rPr>
                <w:rFonts w:ascii="Arial" w:cs="Arial" w:eastAsia="Arial" w:hAnsi="Arial"/>
                <w:sz w:val="15"/>
                <w:szCs w:val="15"/>
                <w:b w:val="1"/>
                <w:bCs w:val="1"/>
                <w:color w:val="00A1DF"/>
              </w:rPr>
              <w:t>for Cause</w:t>
            </w:r>
          </w:p>
        </w:tc>
        <w:tc>
          <w:tcPr>
            <w:tcW w:w="104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Program</w:t>
            </w:r>
          </w:p>
        </w:tc>
        <w:tc>
          <w:tcPr>
            <w:tcW w:w="1220" w:type="dxa"/>
            <w:vAlign w:val="bottom"/>
            <w:tcBorders>
              <w:bottom w:val="single" w:sz="8" w:color="00A1DF"/>
            </w:tcBorders>
          </w:tcPr>
          <w:p>
            <w:pPr>
              <w:jc w:val="right"/>
              <w:ind w:right="64"/>
              <w:spacing w:after="0"/>
              <w:rPr>
                <w:sz w:val="20"/>
                <w:szCs w:val="20"/>
                <w:color w:val="auto"/>
              </w:rPr>
            </w:pPr>
            <w:r>
              <w:rPr>
                <w:rFonts w:ascii="Arial" w:cs="Arial" w:eastAsia="Arial" w:hAnsi="Arial"/>
                <w:sz w:val="15"/>
                <w:szCs w:val="15"/>
                <w:b w:val="1"/>
                <w:bCs w:val="1"/>
                <w:color w:val="00A1DF"/>
              </w:rPr>
              <w:t>Retirement</w:t>
            </w:r>
            <w:r>
              <w:rPr>
                <w:rFonts w:ascii="Arial" w:cs="Arial" w:eastAsia="Arial" w:hAnsi="Arial"/>
                <w:sz w:val="13"/>
                <w:szCs w:val="13"/>
                <w:b w:val="1"/>
                <w:bCs w:val="1"/>
                <w:color w:val="00A1DF"/>
              </w:rPr>
              <w:t>(4)</w:t>
            </w:r>
          </w:p>
        </w:tc>
        <w:tc>
          <w:tcPr>
            <w:tcW w:w="1080" w:type="dxa"/>
            <w:vAlign w:val="bottom"/>
            <w:tcBorders>
              <w:bottom w:val="single" w:sz="8" w:color="00A1DF"/>
            </w:tcBorders>
          </w:tcPr>
          <w:p>
            <w:pPr>
              <w:jc w:val="right"/>
              <w:ind w:right="84"/>
              <w:spacing w:after="0"/>
              <w:rPr>
                <w:sz w:val="20"/>
                <w:szCs w:val="20"/>
                <w:color w:val="auto"/>
              </w:rPr>
            </w:pPr>
            <w:r>
              <w:rPr>
                <w:rFonts w:ascii="Arial" w:cs="Arial" w:eastAsia="Arial" w:hAnsi="Arial"/>
                <w:sz w:val="15"/>
                <w:szCs w:val="15"/>
                <w:b w:val="1"/>
                <w:bCs w:val="1"/>
                <w:color w:val="00A1DF"/>
              </w:rPr>
              <w:t>Disability</w:t>
            </w:r>
          </w:p>
        </w:tc>
        <w:tc>
          <w:tcPr>
            <w:tcW w:w="1000" w:type="dxa"/>
            <w:vAlign w:val="bottom"/>
            <w:tcBorders>
              <w:bottom w:val="single" w:sz="8" w:color="00A1DF"/>
            </w:tcBorders>
          </w:tcPr>
          <w:p>
            <w:pPr>
              <w:jc w:val="right"/>
              <w:ind w:right="24"/>
              <w:spacing w:after="0"/>
              <w:rPr>
                <w:sz w:val="20"/>
                <w:szCs w:val="20"/>
                <w:color w:val="auto"/>
              </w:rPr>
            </w:pPr>
            <w:r>
              <w:rPr>
                <w:rFonts w:ascii="Arial" w:cs="Arial" w:eastAsia="Arial" w:hAnsi="Arial"/>
                <w:sz w:val="15"/>
                <w:szCs w:val="15"/>
                <w:b w:val="1"/>
                <w:bCs w:val="1"/>
                <w:color w:val="00A1DF"/>
              </w:rPr>
              <w:t>Death</w:t>
            </w:r>
          </w:p>
        </w:tc>
        <w:tc>
          <w:tcPr>
            <w:tcW w:w="1100" w:type="dxa"/>
            <w:vAlign w:val="bottom"/>
            <w:tcBorders>
              <w:bottom w:val="single" w:sz="8" w:color="00A1DF"/>
            </w:tcBorders>
          </w:tcPr>
          <w:p>
            <w:pPr>
              <w:jc w:val="right"/>
              <w:ind w:right="44"/>
              <w:spacing w:after="0"/>
              <w:rPr>
                <w:sz w:val="20"/>
                <w:szCs w:val="20"/>
                <w:color w:val="auto"/>
              </w:rPr>
            </w:pPr>
            <w:r>
              <w:rPr>
                <w:rFonts w:ascii="Arial" w:cs="Arial" w:eastAsia="Arial" w:hAnsi="Arial"/>
                <w:sz w:val="15"/>
                <w:szCs w:val="15"/>
                <w:b w:val="1"/>
                <w:bCs w:val="1"/>
                <w:color w:val="00A1DF"/>
              </w:rPr>
              <w:t>Termination</w:t>
            </w:r>
          </w:p>
        </w:tc>
        <w:tc>
          <w:tcPr>
            <w:tcW w:w="0" w:type="dxa"/>
            <w:vAlign w:val="bottom"/>
          </w:tcPr>
          <w:p>
            <w:pPr>
              <w:spacing w:after="0"/>
              <w:rPr>
                <w:sz w:val="1"/>
                <w:szCs w:val="1"/>
                <w:color w:val="auto"/>
              </w:rPr>
            </w:pPr>
          </w:p>
        </w:tc>
      </w:tr>
      <w:tr>
        <w:trPr>
          <w:trHeight w:val="180"/>
        </w:trPr>
        <w:tc>
          <w:tcPr>
            <w:tcW w:w="1660" w:type="dxa"/>
            <w:vAlign w:val="bottom"/>
          </w:tcPr>
          <w:p>
            <w:pPr>
              <w:ind w:left="60"/>
              <w:spacing w:after="0"/>
              <w:rPr>
                <w:sz w:val="20"/>
                <w:szCs w:val="20"/>
                <w:color w:val="auto"/>
              </w:rPr>
            </w:pPr>
            <w:r>
              <w:rPr>
                <w:rFonts w:ascii="Arial" w:cs="Arial" w:eastAsia="Arial" w:hAnsi="Arial"/>
                <w:sz w:val="15"/>
                <w:szCs w:val="15"/>
                <w:color w:val="auto"/>
              </w:rPr>
              <w:t>Mary T. Barra</w:t>
            </w: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4,261,875</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4,246,875</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4,200,000</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4,326,000</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4,326,000</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4,326,000</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4,200,000</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22,277,081</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57,633,624</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68,476,813</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68,476,813</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68,476,813</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30,738,956</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61,959,624</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72,802,813</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72,802,813</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76,923,688</w:t>
            </w:r>
          </w:p>
        </w:tc>
        <w:tc>
          <w:tcPr>
            <w:tcW w:w="0" w:type="dxa"/>
            <w:vAlign w:val="bottom"/>
          </w:tcPr>
          <w:p>
            <w:pPr>
              <w:spacing w:after="0"/>
              <w:rPr>
                <w:sz w:val="1"/>
                <w:szCs w:val="1"/>
                <w:color w:val="auto"/>
              </w:rPr>
            </w:pPr>
          </w:p>
        </w:tc>
      </w:tr>
      <w:tr>
        <w:trPr>
          <w:trHeight w:val="180"/>
        </w:trPr>
        <w:tc>
          <w:tcPr>
            <w:tcW w:w="1660" w:type="dxa"/>
            <w:vAlign w:val="bottom"/>
          </w:tcPr>
          <w:p>
            <w:pPr>
              <w:ind w:left="60"/>
              <w:spacing w:after="0"/>
              <w:rPr>
                <w:sz w:val="20"/>
                <w:szCs w:val="20"/>
                <w:color w:val="auto"/>
              </w:rPr>
            </w:pPr>
            <w:r>
              <w:rPr>
                <w:rFonts w:ascii="Arial" w:cs="Arial" w:eastAsia="Arial" w:hAnsi="Arial"/>
                <w:sz w:val="15"/>
                <w:szCs w:val="15"/>
                <w:color w:val="auto"/>
              </w:rPr>
              <w:t>Charles K. Stevens, III</w:t>
            </w: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1,700,156</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1,685,156</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1,375,000</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1,416,250</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1,416,250</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1,416,250</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1,375,000</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5,378,585</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14,461,449</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17,568,456</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17,568,456</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17,568,456</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8,453,741</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15,877,699</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18,984,706</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18,984,706</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20,628,612</w:t>
            </w:r>
          </w:p>
        </w:tc>
        <w:tc>
          <w:tcPr>
            <w:tcW w:w="0" w:type="dxa"/>
            <w:vAlign w:val="bottom"/>
          </w:tcPr>
          <w:p>
            <w:pPr>
              <w:spacing w:after="0"/>
              <w:rPr>
                <w:sz w:val="1"/>
                <w:szCs w:val="1"/>
                <w:color w:val="auto"/>
              </w:rPr>
            </w:pPr>
          </w:p>
        </w:tc>
      </w:tr>
      <w:tr>
        <w:trPr>
          <w:trHeight w:val="180"/>
        </w:trPr>
        <w:tc>
          <w:tcPr>
            <w:tcW w:w="1660" w:type="dxa"/>
            <w:vAlign w:val="bottom"/>
          </w:tcPr>
          <w:p>
            <w:pPr>
              <w:ind w:left="60"/>
              <w:spacing w:after="0"/>
              <w:rPr>
                <w:sz w:val="20"/>
                <w:szCs w:val="20"/>
                <w:color w:val="auto"/>
              </w:rPr>
            </w:pPr>
            <w:r>
              <w:rPr>
                <w:rFonts w:ascii="Arial" w:cs="Arial" w:eastAsia="Arial" w:hAnsi="Arial"/>
                <w:sz w:val="15"/>
                <w:szCs w:val="15"/>
                <w:color w:val="auto"/>
              </w:rPr>
              <w:t>Daniel Ammann</w:t>
            </w: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2,206,187</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2,191,187</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1,812,500</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1,866,875</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1,866,875</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1,812,500</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8,332,365</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25,514,022</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25,514,022</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25,514,022</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12,351,052</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27,380,897</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27,380,897</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29,517,709</w:t>
            </w:r>
          </w:p>
        </w:tc>
        <w:tc>
          <w:tcPr>
            <w:tcW w:w="0" w:type="dxa"/>
            <w:vAlign w:val="bottom"/>
          </w:tcPr>
          <w:p>
            <w:pPr>
              <w:spacing w:after="0"/>
              <w:rPr>
                <w:sz w:val="1"/>
                <w:szCs w:val="1"/>
                <w:color w:val="auto"/>
              </w:rPr>
            </w:pPr>
          </w:p>
        </w:tc>
      </w:tr>
      <w:tr>
        <w:trPr>
          <w:trHeight w:val="180"/>
        </w:trPr>
        <w:tc>
          <w:tcPr>
            <w:tcW w:w="1660" w:type="dxa"/>
            <w:vAlign w:val="bottom"/>
          </w:tcPr>
          <w:p>
            <w:pPr>
              <w:ind w:left="60"/>
              <w:spacing w:after="0"/>
              <w:rPr>
                <w:sz w:val="20"/>
                <w:szCs w:val="20"/>
                <w:color w:val="auto"/>
              </w:rPr>
            </w:pPr>
            <w:r>
              <w:rPr>
                <w:rFonts w:ascii="Arial" w:cs="Arial" w:eastAsia="Arial" w:hAnsi="Arial"/>
                <w:sz w:val="15"/>
                <w:szCs w:val="15"/>
                <w:color w:val="auto"/>
              </w:rPr>
              <w:t>Mark L. Reuss</w:t>
            </w: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1,850,156</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1,835,156</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1,500,000</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1,545,000</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1,545,000</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1,500,000</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7,070,775</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21,387,781</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21,387,781</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21,387,781</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10,420,931</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22,932,781</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22,932,781</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24,722,937</w:t>
            </w:r>
          </w:p>
        </w:tc>
        <w:tc>
          <w:tcPr>
            <w:tcW w:w="0" w:type="dxa"/>
            <w:vAlign w:val="bottom"/>
          </w:tcPr>
          <w:p>
            <w:pPr>
              <w:spacing w:after="0"/>
              <w:rPr>
                <w:sz w:val="1"/>
                <w:szCs w:val="1"/>
                <w:color w:val="auto"/>
              </w:rPr>
            </w:pPr>
          </w:p>
        </w:tc>
      </w:tr>
      <w:tr>
        <w:trPr>
          <w:trHeight w:val="180"/>
        </w:trPr>
        <w:tc>
          <w:tcPr>
            <w:tcW w:w="1660" w:type="dxa"/>
            <w:vAlign w:val="bottom"/>
          </w:tcPr>
          <w:p>
            <w:pPr>
              <w:ind w:left="60"/>
              <w:spacing w:after="0"/>
              <w:rPr>
                <w:sz w:val="20"/>
                <w:szCs w:val="20"/>
                <w:color w:val="auto"/>
              </w:rPr>
            </w:pPr>
            <w:r>
              <w:rPr>
                <w:rFonts w:ascii="Arial" w:cs="Arial" w:eastAsia="Arial" w:hAnsi="Arial"/>
                <w:sz w:val="15"/>
                <w:szCs w:val="15"/>
                <w:color w:val="auto"/>
              </w:rPr>
              <w:t>Alan S. Batey</w:t>
            </w: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Cash</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1,587,656</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1,572,656</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1,281,250</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1,319,688</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1,319,688</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1,281,250</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4,984,671</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14,834,154</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14,834,154</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14,834,154</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7,853,577</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16,153,842</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16,153,842</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17,688,060</w:t>
            </w:r>
          </w:p>
        </w:tc>
        <w:tc>
          <w:tcPr>
            <w:tcW w:w="0" w:type="dxa"/>
            <w:vAlign w:val="bottom"/>
          </w:tcPr>
          <w:p>
            <w:pPr>
              <w:spacing w:after="0"/>
              <w:rPr>
                <w:sz w:val="1"/>
                <w:szCs w:val="1"/>
                <w:color w:val="auto"/>
              </w:rPr>
            </w:pPr>
          </w:p>
        </w:tc>
      </w:tr>
      <w:tr>
        <w:trPr>
          <w:trHeight w:val="115"/>
        </w:trPr>
        <w:tc>
          <w:tcPr>
            <w:tcW w:w="1660" w:type="dxa"/>
            <w:vAlign w:val="bottom"/>
          </w:tcPr>
          <w:p>
            <w:pPr>
              <w:ind w:left="60"/>
              <w:spacing w:after="0" w:line="115" w:lineRule="exact"/>
              <w:rPr>
                <w:sz w:val="20"/>
                <w:szCs w:val="20"/>
                <w:color w:val="auto"/>
              </w:rPr>
            </w:pPr>
            <w:r>
              <w:rPr>
                <w:rFonts w:ascii="Arial" w:cs="Arial" w:eastAsia="Arial" w:hAnsi="Arial"/>
                <w:sz w:val="13"/>
                <w:szCs w:val="13"/>
                <w:color w:val="auto"/>
              </w:rPr>
              <w:t>Karl-Thomas Neumann</w:t>
            </w:r>
          </w:p>
        </w:tc>
        <w:tc>
          <w:tcPr>
            <w:tcW w:w="1320" w:type="dxa"/>
            <w:vAlign w:val="bottom"/>
            <w:vMerge w:val="restart"/>
          </w:tcPr>
          <w:p>
            <w:pPr>
              <w:jc w:val="right"/>
              <w:ind w:right="1115"/>
              <w:spacing w:after="0"/>
              <w:rPr>
                <w:sz w:val="20"/>
                <w:szCs w:val="20"/>
                <w:color w:val="auto"/>
              </w:rPr>
            </w:pPr>
            <w:r>
              <w:rPr>
                <w:rFonts w:ascii="Arial" w:cs="Arial" w:eastAsia="Arial" w:hAnsi="Arial"/>
                <w:sz w:val="13"/>
                <w:szCs w:val="13"/>
                <w:color w:val="auto"/>
                <w:w w:val="75"/>
              </w:rPr>
              <w:t>(5)</w:t>
            </w:r>
          </w:p>
        </w:tc>
        <w:tc>
          <w:tcPr>
            <w:tcW w:w="1360" w:type="dxa"/>
            <w:vAlign w:val="bottom"/>
          </w:tcPr>
          <w:p>
            <w:pPr>
              <w:ind w:left="180"/>
              <w:spacing w:after="0" w:line="115" w:lineRule="exact"/>
              <w:rPr>
                <w:sz w:val="20"/>
                <w:szCs w:val="20"/>
                <w:color w:val="auto"/>
              </w:rPr>
            </w:pPr>
            <w:r>
              <w:rPr>
                <w:rFonts w:ascii="Arial" w:cs="Arial" w:eastAsia="Arial" w:hAnsi="Arial"/>
                <w:sz w:val="13"/>
                <w:szCs w:val="13"/>
                <w:color w:val="auto"/>
              </w:rPr>
              <w:t>Cash</w:t>
            </w:r>
          </w:p>
        </w:tc>
        <w:tc>
          <w:tcPr>
            <w:tcW w:w="1240" w:type="dxa"/>
            <w:vAlign w:val="bottom"/>
          </w:tcPr>
          <w:p>
            <w:pPr>
              <w:jc w:val="right"/>
              <w:ind w:right="84"/>
              <w:spacing w:after="0" w:line="11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44"/>
              <w:spacing w:after="0" w:line="11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64"/>
              <w:spacing w:after="0" w:line="115"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84"/>
              <w:spacing w:after="0" w:line="11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24"/>
              <w:spacing w:after="0" w:line="11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44"/>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8"/>
        </w:trPr>
        <w:tc>
          <w:tcPr>
            <w:tcW w:w="166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STIP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LTIP</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0033A0"/>
            </w:tcBorders>
          </w:tcPr>
          <w:p>
            <w:pPr>
              <w:spacing w:after="0"/>
              <w:rPr>
                <w:sz w:val="16"/>
                <w:szCs w:val="16"/>
                <w:color w:val="auto"/>
              </w:rPr>
            </w:pPr>
          </w:p>
        </w:tc>
        <w:tc>
          <w:tcPr>
            <w:tcW w:w="1320" w:type="dxa"/>
            <w:vAlign w:val="bottom"/>
            <w:tcBorders>
              <w:bottom w:val="single" w:sz="8" w:color="0033A0"/>
            </w:tcBorders>
          </w:tcPr>
          <w:p>
            <w:pPr>
              <w:spacing w:after="0"/>
              <w:rPr>
                <w:sz w:val="16"/>
                <w:szCs w:val="16"/>
                <w:color w:val="auto"/>
              </w:rPr>
            </w:pPr>
          </w:p>
        </w:tc>
        <w:tc>
          <w:tcPr>
            <w:tcW w:w="1360" w:type="dxa"/>
            <w:vAlign w:val="bottom"/>
            <w:tcBorders>
              <w:bottom w:val="single" w:sz="8" w:color="0033A0"/>
            </w:tcBorders>
          </w:tcPr>
          <w:p>
            <w:pPr>
              <w:ind w:left="180"/>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bottom w:val="single" w:sz="8" w:color="0033A0"/>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0033A0"/>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0033A0"/>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0033A0"/>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0033A0"/>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20" w:right="40" w:hanging="316"/>
        <w:spacing w:after="0" w:line="260" w:lineRule="auto"/>
        <w:tabs>
          <w:tab w:leader="none" w:pos="52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Cash amounts shown for Executive Severance Program and Change in Control with Termination are based on the Executive Severance Program. Payments are 2X Base for the CEO and 1.5X Base for all other NEOs. Under the Executive Severance Program, the CEO is eligible for a cash payment equal to 24 months of COBRA premiums, and the other NEOs, 18 months of COBRA premiums. There are no cash payments due upon Full Career Status Retirement, Disability, or Death.</w:t>
      </w:r>
    </w:p>
    <w:p>
      <w:pPr>
        <w:spacing w:after="0" w:line="30" w:lineRule="exact"/>
        <w:rPr>
          <w:rFonts w:ascii="Arial" w:cs="Arial" w:eastAsia="Arial" w:hAnsi="Arial"/>
          <w:sz w:val="14"/>
          <w:szCs w:val="14"/>
          <w:i w:val="1"/>
          <w:iCs w:val="1"/>
          <w:color w:val="auto"/>
        </w:rPr>
      </w:pPr>
    </w:p>
    <w:p>
      <w:pPr>
        <w:jc w:val="both"/>
        <w:ind w:left="520" w:right="40" w:hanging="316"/>
        <w:spacing w:after="0" w:line="260" w:lineRule="auto"/>
        <w:tabs>
          <w:tab w:leader="none" w:pos="52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STIP values shown for Full Career Status Retirement, Disability, and Death are based on the actual full-year performance at the overall corporate achievement. STIP amounts shown for Executive Severance Program and Change in Control with Termination reflect target-level performance. Executives forfeit STIP awards for Voluntary Separation or Termination for Cause.</w:t>
      </w:r>
    </w:p>
    <w:p>
      <w:pPr>
        <w:spacing w:after="0" w:line="30" w:lineRule="exact"/>
        <w:rPr>
          <w:rFonts w:ascii="Arial" w:cs="Arial" w:eastAsia="Arial" w:hAnsi="Arial"/>
          <w:sz w:val="14"/>
          <w:szCs w:val="14"/>
          <w:i w:val="1"/>
          <w:iCs w:val="1"/>
          <w:color w:val="auto"/>
        </w:rPr>
      </w:pPr>
    </w:p>
    <w:p>
      <w:pPr>
        <w:jc w:val="both"/>
        <w:ind w:left="520" w:right="40" w:hanging="316"/>
        <w:spacing w:after="0" w:line="260" w:lineRule="auto"/>
        <w:tabs>
          <w:tab w:leader="none" w:pos="52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LTIP amounts reflect the value of unvested RSU awards, PSU awards, and Stock Options that may vest upon termination. The value of the awards is based on GM’s closing stock price on December 29, 2017, of $40.99. For the Executive Severance Program, RSU awards and PSU awards are delivered in cash once vested; the value displayed reflects the value of awards that would be subject to payment based on awards outstanding as of December 31, 2017.</w:t>
      </w:r>
    </w:p>
    <w:p>
      <w:pPr>
        <w:spacing w:after="0" w:line="30" w:lineRule="exact"/>
        <w:rPr>
          <w:rFonts w:ascii="Arial" w:cs="Arial" w:eastAsia="Arial" w:hAnsi="Arial"/>
          <w:sz w:val="14"/>
          <w:szCs w:val="14"/>
          <w:i w:val="1"/>
          <w:iCs w:val="1"/>
          <w:color w:val="auto"/>
        </w:rPr>
      </w:pPr>
    </w:p>
    <w:p>
      <w:pPr>
        <w:ind w:left="520" w:hanging="316"/>
        <w:spacing w:after="0"/>
        <w:tabs>
          <w:tab w:leader="none" w:pos="52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Only Ms. Barra and Mr. Stevens were eligible for retirement as of December 31, 2017.</w:t>
      </w:r>
    </w:p>
    <w:p>
      <w:pPr>
        <w:spacing w:after="0" w:line="68" w:lineRule="exact"/>
        <w:rPr>
          <w:rFonts w:ascii="Arial" w:cs="Arial" w:eastAsia="Arial" w:hAnsi="Arial"/>
          <w:sz w:val="14"/>
          <w:szCs w:val="14"/>
          <w:i w:val="1"/>
          <w:iCs w:val="1"/>
          <w:color w:val="auto"/>
        </w:rPr>
      </w:pPr>
    </w:p>
    <w:p>
      <w:pPr>
        <w:ind w:left="520" w:right="40" w:hanging="316"/>
        <w:spacing w:after="0" w:line="259" w:lineRule="auto"/>
        <w:tabs>
          <w:tab w:leader="none" w:pos="520" w:val="left"/>
        </w:tabs>
        <w:numPr>
          <w:ilvl w:val="0"/>
          <w:numId w:val="134"/>
        </w:numPr>
        <w:rPr>
          <w:rFonts w:ascii="Arial" w:cs="Arial" w:eastAsia="Arial" w:hAnsi="Arial"/>
          <w:sz w:val="14"/>
          <w:szCs w:val="14"/>
          <w:i w:val="1"/>
          <w:iCs w:val="1"/>
          <w:color w:val="auto"/>
        </w:rPr>
      </w:pPr>
      <w:r>
        <w:rPr>
          <w:rFonts w:ascii="Arial" w:cs="Arial" w:eastAsia="Arial" w:hAnsi="Arial"/>
          <w:sz w:val="14"/>
          <w:szCs w:val="14"/>
          <w:i w:val="1"/>
          <w:iCs w:val="1"/>
          <w:color w:val="auto"/>
        </w:rPr>
        <w:t>Dr. Neumann left the Company on March 1, 2018. Dr. Neumann’s termination constituted a Voluntary Separation, and no payments were made, as reflected in the table.</w:t>
      </w:r>
    </w:p>
    <w:p>
      <w:pPr>
        <w:spacing w:after="0" w:line="293"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65</w:t>
      </w:r>
    </w:p>
    <w:p>
      <w:pPr>
        <w:sectPr>
          <w:pgSz w:w="11900" w:h="16838" w:orient="portrait"/>
          <w:cols w:equalWidth="0" w:num="1">
            <w:col w:w="11260"/>
          </w:cols>
          <w:pgMar w:left="240" w:top="459" w:right="3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4"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25"/>
          <w:szCs w:val="25"/>
          <w:color w:val="0033A0"/>
        </w:rPr>
      </w:pPr>
      <w:r>
        <w:rPr>
          <w:rFonts w:ascii="Arial" w:cs="Arial" w:eastAsia="Arial" w:hAnsi="Arial"/>
          <w:sz w:val="25"/>
          <w:szCs w:val="25"/>
          <w:color w:val="auto"/>
        </w:rPr>
        <w:t>CEO Pay Ratio</w:t>
      </w:r>
    </w:p>
    <w:p>
      <w:pPr>
        <w:spacing w:after="0" w:line="18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Our CEO, who leads our global workforce of 180,000 (103,000 are located in the United States and 77,000 are non-U.S. employees) had $21,958,048 in Annual Total Compensation in 2017 as reported in the Summary Compensation Table.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identify our median employee, we:</w:t>
      </w:r>
    </w:p>
    <w:p>
      <w:pPr>
        <w:spacing w:after="0" w:line="127" w:lineRule="exact"/>
        <w:rPr>
          <w:sz w:val="20"/>
          <w:szCs w:val="20"/>
          <w:color w:val="auto"/>
        </w:rPr>
      </w:pPr>
    </w:p>
    <w:p>
      <w:pPr>
        <w:jc w:val="both"/>
        <w:ind w:left="960" w:hanging="432"/>
        <w:spacing w:after="0" w:line="251" w:lineRule="auto"/>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Excluded all employees (7,519) in the following 26 countries under the SEC’s 5% de minimis exemption: Argentina (199), Belarus (2), Switzerland (26), Chile (215), China (802), Colombia (1,204), Germany (16), Ecuador (853), Egypt (837), Great Britain (57), Indonesia (52), Ireland (195), Israel (187), Italy (705), Japan (42), New Zealand (39), Peru (45), Philippines (277), Russia (117), Singapore (89), Taiwan (9), Uruguay (12), Uzbekistan (8), Venezuela (34), Vietnam (375), and South Africa (1,122)</w:t>
      </w:r>
    </w:p>
    <w:p>
      <w:pPr>
        <w:spacing w:after="0" w:line="108" w:lineRule="exact"/>
        <w:rPr>
          <w:rFonts w:ascii="Arial" w:cs="Arial" w:eastAsia="Arial" w:hAnsi="Arial"/>
          <w:sz w:val="16"/>
          <w:szCs w:val="16"/>
          <w:color w:val="auto"/>
        </w:rPr>
      </w:pPr>
    </w:p>
    <w:p>
      <w:pPr>
        <w:ind w:left="960" w:hanging="432"/>
        <w:spacing w:after="0"/>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Calculated year-to-date payroll as of November 1, 2017 on all employees, excluding the CEO</w:t>
      </w:r>
    </w:p>
    <w:p>
      <w:pPr>
        <w:spacing w:after="0" w:line="126" w:lineRule="exact"/>
        <w:rPr>
          <w:rFonts w:ascii="Arial" w:cs="Arial" w:eastAsia="Arial" w:hAnsi="Arial"/>
          <w:sz w:val="16"/>
          <w:szCs w:val="16"/>
          <w:color w:val="auto"/>
        </w:rPr>
      </w:pPr>
    </w:p>
    <w:p>
      <w:pPr>
        <w:ind w:left="960" w:hanging="432"/>
        <w:spacing w:after="0"/>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Identified the middle 51 employees using year-to-date payroll as a consistently applied compensation measure</w:t>
      </w:r>
    </w:p>
    <w:p>
      <w:pPr>
        <w:spacing w:after="0" w:line="126" w:lineRule="exact"/>
        <w:rPr>
          <w:rFonts w:ascii="Arial" w:cs="Arial" w:eastAsia="Arial" w:hAnsi="Arial"/>
          <w:sz w:val="16"/>
          <w:szCs w:val="16"/>
          <w:color w:val="auto"/>
        </w:rPr>
      </w:pPr>
    </w:p>
    <w:p>
      <w:pPr>
        <w:ind w:left="960" w:hanging="432"/>
        <w:spacing w:after="0" w:line="260" w:lineRule="auto"/>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Calculated annual total compensation for the 51 middle employees based on the same SEC requirements that apply for determining total compensation of each NEO in the Summary Compensation Table</w:t>
      </w:r>
    </w:p>
    <w:p>
      <w:pPr>
        <w:spacing w:after="0" w:line="101" w:lineRule="exact"/>
        <w:rPr>
          <w:rFonts w:ascii="Arial" w:cs="Arial" w:eastAsia="Arial" w:hAnsi="Arial"/>
          <w:sz w:val="16"/>
          <w:szCs w:val="16"/>
          <w:color w:val="auto"/>
        </w:rPr>
      </w:pPr>
    </w:p>
    <w:p>
      <w:pPr>
        <w:ind w:left="960" w:hanging="432"/>
        <w:spacing w:after="0"/>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Re-ranked all middle 51 employees and selected the median employee</w:t>
      </w:r>
    </w:p>
    <w:p>
      <w:pPr>
        <w:spacing w:after="0" w:line="113"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Based on our calculation we can reasonably estimate that our median employee’s annual total compensation was $74,487 per year. The ratio of our CEO’s compensation to that of our median employee is estimated to be 295:1.</w:t>
      </w:r>
    </w:p>
    <w:p>
      <w:pPr>
        <w:spacing w:after="0" w:line="88"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adopt a variety of methodologies to calculate the median employee, exclude up to 5% of the workforce, and make reasonable estimates and assumptions that may impact their employee populations. As a result, the pay ratio reported by other companies may not be comparable with the pay ratio reported above. Other companies have different employee populations and compensation practices and the ability to utilize different methodologies, exclusions, estimates, and assumptions in calculating their own pay ratios.</w:t>
      </w:r>
    </w:p>
    <w:p>
      <w:pPr>
        <w:spacing w:after="0" w:line="139"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Equity Compensation Plan Information</w:t>
      </w:r>
    </w:p>
    <w:p>
      <w:pPr>
        <w:spacing w:after="0" w:line="284"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The following table provides information as of December 31, 2017, about the Company’s common stock that may be issued upon the exercise of options, warrants, and rights under all the Company’s existing equity compensation plans.</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4400" w:type="dxa"/>
            <w:vAlign w:val="bottom"/>
            <w:tcBorders>
              <w:top w:val="single" w:sz="8" w:color="00A1DF"/>
            </w:tcBorders>
          </w:tcPr>
          <w:p>
            <w:pPr>
              <w:spacing w:after="0"/>
              <w:rPr>
                <w:sz w:val="13"/>
                <w:szCs w:val="13"/>
                <w:color w:val="auto"/>
              </w:rPr>
            </w:pPr>
          </w:p>
        </w:tc>
        <w:tc>
          <w:tcPr>
            <w:tcW w:w="1940" w:type="dxa"/>
            <w:vAlign w:val="bottom"/>
            <w:tcBorders>
              <w:top w:val="single" w:sz="8" w:color="00A1DF"/>
            </w:tcBorders>
          </w:tcPr>
          <w:p>
            <w:pPr>
              <w:spacing w:after="0"/>
              <w:rPr>
                <w:sz w:val="13"/>
                <w:szCs w:val="13"/>
                <w:color w:val="auto"/>
              </w:rPr>
            </w:pPr>
          </w:p>
        </w:tc>
        <w:tc>
          <w:tcPr>
            <w:tcW w:w="240" w:type="dxa"/>
            <w:vAlign w:val="bottom"/>
            <w:tcBorders>
              <w:top w:val="single" w:sz="8" w:color="00A1DF"/>
            </w:tcBorders>
          </w:tcPr>
          <w:p>
            <w:pPr>
              <w:spacing w:after="0"/>
              <w:rPr>
                <w:sz w:val="13"/>
                <w:szCs w:val="13"/>
                <w:color w:val="auto"/>
              </w:rPr>
            </w:pPr>
          </w:p>
        </w:tc>
        <w:tc>
          <w:tcPr>
            <w:tcW w:w="2340" w:type="dxa"/>
            <w:vAlign w:val="bottom"/>
            <w:tcBorders>
              <w:top w:val="single" w:sz="8" w:color="00A1DF"/>
            </w:tcBorders>
          </w:tcPr>
          <w:p>
            <w:pPr>
              <w:spacing w:after="0"/>
              <w:rPr>
                <w:sz w:val="13"/>
                <w:szCs w:val="13"/>
                <w:color w:val="auto"/>
              </w:rPr>
            </w:pPr>
          </w:p>
        </w:tc>
        <w:tc>
          <w:tcPr>
            <w:tcW w:w="2100" w:type="dxa"/>
            <w:vAlign w:val="bottom"/>
            <w:tcBorders>
              <w:top w:val="single" w:sz="8" w:color="00A1DF"/>
            </w:tcBorders>
          </w:tcPr>
          <w:p>
            <w:pPr>
              <w:jc w:val="right"/>
              <w:spacing w:after="0" w:line="154" w:lineRule="exact"/>
              <w:rPr>
                <w:sz w:val="20"/>
                <w:szCs w:val="20"/>
                <w:color w:val="auto"/>
              </w:rPr>
            </w:pPr>
            <w:r>
              <w:rPr>
                <w:rFonts w:ascii="Arial" w:cs="Arial" w:eastAsia="Arial" w:hAnsi="Arial"/>
                <w:sz w:val="15"/>
                <w:szCs w:val="15"/>
                <w:b w:val="1"/>
                <w:bCs w:val="1"/>
                <w:color w:val="00A1DF"/>
              </w:rPr>
              <w:t>Number of Securities</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Remaining Available for</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Number of Securities to</w:t>
            </w: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Future Issuance Under</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be Issued Upon Exercise</w:t>
            </w:r>
          </w:p>
        </w:tc>
        <w:tc>
          <w:tcPr>
            <w:tcW w:w="240" w:type="dxa"/>
            <w:vAlign w:val="bottom"/>
          </w:tcPr>
          <w:p>
            <w:pPr>
              <w:spacing w:after="0"/>
              <w:rPr>
                <w:sz w:val="14"/>
                <w:szCs w:val="14"/>
                <w:color w:val="auto"/>
              </w:rPr>
            </w:pPr>
          </w:p>
        </w:tc>
        <w:tc>
          <w:tcPr>
            <w:tcW w:w="2340" w:type="dxa"/>
            <w:vAlign w:val="bottom"/>
          </w:tcPr>
          <w:p>
            <w:pPr>
              <w:jc w:val="right"/>
              <w:ind w:right="11"/>
              <w:spacing w:after="0" w:line="162" w:lineRule="exact"/>
              <w:rPr>
                <w:sz w:val="20"/>
                <w:szCs w:val="20"/>
                <w:color w:val="auto"/>
              </w:rPr>
            </w:pPr>
            <w:r>
              <w:rPr>
                <w:rFonts w:ascii="Arial" w:cs="Arial" w:eastAsia="Arial" w:hAnsi="Arial"/>
                <w:sz w:val="15"/>
                <w:szCs w:val="15"/>
                <w:b w:val="1"/>
                <w:bCs w:val="1"/>
                <w:color w:val="00A1DF"/>
              </w:rPr>
              <w:t>Weighted-Average Exercise</w:t>
            </w:r>
          </w:p>
        </w:tc>
        <w:tc>
          <w:tcPr>
            <w:tcW w:w="21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Equity Compensation Plan</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of Outstanding Options,</w:t>
            </w:r>
          </w:p>
        </w:tc>
        <w:tc>
          <w:tcPr>
            <w:tcW w:w="240" w:type="dxa"/>
            <w:vAlign w:val="bottom"/>
          </w:tcPr>
          <w:p>
            <w:pPr>
              <w:spacing w:after="0"/>
              <w:rPr>
                <w:sz w:val="14"/>
                <w:szCs w:val="14"/>
                <w:color w:val="auto"/>
              </w:rPr>
            </w:pPr>
          </w:p>
        </w:tc>
        <w:tc>
          <w:tcPr>
            <w:tcW w:w="2340" w:type="dxa"/>
            <w:vAlign w:val="bottom"/>
          </w:tcPr>
          <w:p>
            <w:pPr>
              <w:jc w:val="right"/>
              <w:ind w:right="11"/>
              <w:spacing w:after="0" w:line="162" w:lineRule="exact"/>
              <w:rPr>
                <w:sz w:val="20"/>
                <w:szCs w:val="20"/>
                <w:color w:val="auto"/>
              </w:rPr>
            </w:pPr>
            <w:r>
              <w:rPr>
                <w:rFonts w:ascii="Arial" w:cs="Arial" w:eastAsia="Arial" w:hAnsi="Arial"/>
                <w:sz w:val="15"/>
                <w:szCs w:val="15"/>
                <w:b w:val="1"/>
                <w:bCs w:val="1"/>
                <w:color w:val="00A1DF"/>
              </w:rPr>
              <w:t>Price of Outstanding Options,</w:t>
            </w:r>
          </w:p>
        </w:tc>
        <w:tc>
          <w:tcPr>
            <w:tcW w:w="21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(excluding securities</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40" w:type="dxa"/>
            <w:vAlign w:val="bottom"/>
          </w:tcPr>
          <w:p>
            <w:pPr>
              <w:spacing w:after="0"/>
              <w:rPr>
                <w:sz w:val="14"/>
                <w:szCs w:val="14"/>
                <w:color w:val="auto"/>
              </w:rPr>
            </w:pPr>
          </w:p>
        </w:tc>
        <w:tc>
          <w:tcPr>
            <w:tcW w:w="2340" w:type="dxa"/>
            <w:vAlign w:val="bottom"/>
          </w:tcPr>
          <w:p>
            <w:pPr>
              <w:jc w:val="right"/>
              <w:ind w:right="11"/>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10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reflected in column (A))</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Plan Category</w:t>
            </w:r>
          </w:p>
        </w:tc>
        <w:tc>
          <w:tcPr>
            <w:tcW w:w="194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(A)</w:t>
            </w:r>
          </w:p>
        </w:tc>
        <w:tc>
          <w:tcPr>
            <w:tcW w:w="240" w:type="dxa"/>
            <w:vAlign w:val="bottom"/>
            <w:tcBorders>
              <w:bottom w:val="single" w:sz="8" w:color="00A1DF"/>
            </w:tcBorders>
          </w:tcPr>
          <w:p>
            <w:pPr>
              <w:spacing w:after="0"/>
              <w:rPr>
                <w:sz w:val="17"/>
                <w:szCs w:val="17"/>
                <w:color w:val="auto"/>
              </w:rPr>
            </w:pPr>
          </w:p>
        </w:tc>
        <w:tc>
          <w:tcPr>
            <w:tcW w:w="2340" w:type="dxa"/>
            <w:vAlign w:val="bottom"/>
            <w:tcBorders>
              <w:bottom w:val="single" w:sz="8" w:color="00A1DF"/>
            </w:tcBorders>
          </w:tcPr>
          <w:p>
            <w:pPr>
              <w:jc w:val="right"/>
              <w:ind w:right="11"/>
              <w:spacing w:after="0"/>
              <w:rPr>
                <w:sz w:val="20"/>
                <w:szCs w:val="20"/>
                <w:color w:val="auto"/>
              </w:rPr>
            </w:pPr>
            <w:r>
              <w:rPr>
                <w:rFonts w:ascii="Arial" w:cs="Arial" w:eastAsia="Arial" w:hAnsi="Arial"/>
                <w:sz w:val="15"/>
                <w:szCs w:val="15"/>
                <w:b w:val="1"/>
                <w:bCs w:val="1"/>
                <w:color w:val="00A1DF"/>
              </w:rPr>
              <w:t>(B)</w:t>
            </w:r>
          </w:p>
        </w:tc>
        <w:tc>
          <w:tcPr>
            <w:tcW w:w="21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(C)</w:t>
            </w:r>
          </w:p>
        </w:tc>
        <w:tc>
          <w:tcPr>
            <w:tcW w:w="0" w:type="dxa"/>
            <w:vAlign w:val="bottom"/>
          </w:tcPr>
          <w:p>
            <w:pPr>
              <w:spacing w:after="0"/>
              <w:rPr>
                <w:sz w:val="1"/>
                <w:szCs w:val="1"/>
                <w:color w:val="auto"/>
              </w:rPr>
            </w:pPr>
          </w:p>
        </w:tc>
      </w:tr>
      <w:tr>
        <w:trPr>
          <w:trHeight w:val="233"/>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Equity compensation plans approved by security holders</w:t>
            </w:r>
          </w:p>
        </w:tc>
        <w:tc>
          <w:tcPr>
            <w:tcW w:w="21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5"/>
                <w:szCs w:val="15"/>
                <w:color w:val="auto"/>
              </w:rPr>
              <w:t>43,700,545</w:t>
            </w:r>
            <w:r>
              <w:rPr>
                <w:rFonts w:ascii="Arial" w:cs="Arial" w:eastAsia="Arial" w:hAnsi="Arial"/>
                <w:sz w:val="13"/>
                <w:szCs w:val="13"/>
                <w:color w:val="auto"/>
              </w:rPr>
              <w:t>(1)</w:t>
            </w:r>
          </w:p>
        </w:tc>
        <w:tc>
          <w:tcPr>
            <w:tcW w:w="234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$32.04</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43,807,105</w:t>
            </w:r>
          </w:p>
        </w:tc>
        <w:tc>
          <w:tcPr>
            <w:tcW w:w="0" w:type="dxa"/>
            <w:vAlign w:val="bottom"/>
          </w:tcPr>
          <w:p>
            <w:pPr>
              <w:spacing w:after="0"/>
              <w:rPr>
                <w:sz w:val="1"/>
                <w:szCs w:val="1"/>
                <w:color w:val="auto"/>
              </w:rPr>
            </w:pPr>
          </w:p>
        </w:tc>
      </w:tr>
      <w:tr>
        <w:trPr>
          <w:trHeight w:val="55"/>
        </w:trPr>
        <w:tc>
          <w:tcPr>
            <w:tcW w:w="4400" w:type="dxa"/>
            <w:vAlign w:val="bottom"/>
          </w:tcPr>
          <w:p>
            <w:pPr>
              <w:ind w:left="60"/>
              <w:spacing w:after="0" w:line="56" w:lineRule="exact"/>
              <w:rPr>
                <w:sz w:val="20"/>
                <w:szCs w:val="20"/>
                <w:color w:val="auto"/>
              </w:rPr>
            </w:pPr>
            <w:r>
              <w:rPr>
                <w:rFonts w:ascii="Arial" w:cs="Arial" w:eastAsia="Arial" w:hAnsi="Arial"/>
                <w:sz w:val="5"/>
                <w:szCs w:val="5"/>
                <w:color w:val="auto"/>
              </w:rPr>
              <w:t>Equity compensation plans not approved by security holders</w:t>
            </w:r>
          </w:p>
        </w:tc>
        <w:tc>
          <w:tcPr>
            <w:tcW w:w="1940" w:type="dxa"/>
            <w:vAlign w:val="bottom"/>
          </w:tcPr>
          <w:p>
            <w:pPr>
              <w:jc w:val="right"/>
              <w:spacing w:after="0" w:line="56" w:lineRule="exact"/>
              <w:rPr>
                <w:sz w:val="20"/>
                <w:szCs w:val="20"/>
                <w:color w:val="auto"/>
              </w:rPr>
            </w:pPr>
            <w:r>
              <w:rPr>
                <w:rFonts w:ascii="Arial" w:cs="Arial" w:eastAsia="Arial" w:hAnsi="Arial"/>
                <w:sz w:val="5"/>
                <w:szCs w:val="5"/>
                <w:color w:val="auto"/>
              </w:rPr>
              <w:t>5,852,700</w:t>
            </w:r>
          </w:p>
        </w:tc>
        <w:tc>
          <w:tcPr>
            <w:tcW w:w="240" w:type="dxa"/>
            <w:vAlign w:val="bottom"/>
            <w:vMerge w:val="restart"/>
          </w:tcPr>
          <w:p>
            <w:pPr>
              <w:jc w:val="right"/>
              <w:ind w:right="15"/>
              <w:spacing w:after="0"/>
              <w:rPr>
                <w:sz w:val="20"/>
                <w:szCs w:val="20"/>
                <w:color w:val="auto"/>
              </w:rPr>
            </w:pPr>
            <w:r>
              <w:rPr>
                <w:rFonts w:ascii="Arial" w:cs="Arial" w:eastAsia="Arial" w:hAnsi="Arial"/>
                <w:sz w:val="13"/>
                <w:szCs w:val="13"/>
                <w:color w:val="auto"/>
                <w:w w:val="87"/>
              </w:rPr>
              <w:t>(3)</w:t>
            </w:r>
          </w:p>
        </w:tc>
        <w:tc>
          <w:tcPr>
            <w:tcW w:w="2340" w:type="dxa"/>
            <w:vAlign w:val="bottom"/>
          </w:tcPr>
          <w:p>
            <w:pPr>
              <w:jc w:val="right"/>
              <w:ind w:right="11"/>
              <w:spacing w:after="0" w:line="56" w:lineRule="exact"/>
              <w:rPr>
                <w:sz w:val="20"/>
                <w:szCs w:val="20"/>
                <w:color w:val="auto"/>
              </w:rPr>
            </w:pPr>
            <w:r>
              <w:rPr>
                <w:rFonts w:ascii="Arial" w:cs="Arial" w:eastAsia="Arial" w:hAnsi="Arial"/>
                <w:sz w:val="5"/>
                <w:szCs w:val="5"/>
                <w:color w:val="auto"/>
              </w:rPr>
              <w:t>—</w:t>
            </w:r>
          </w:p>
        </w:tc>
        <w:tc>
          <w:tcPr>
            <w:tcW w:w="2100" w:type="dxa"/>
            <w:vAlign w:val="bottom"/>
          </w:tcPr>
          <w:p>
            <w:pPr>
              <w:jc w:val="right"/>
              <w:spacing w:after="0" w:line="56" w:lineRule="exact"/>
              <w:rPr>
                <w:sz w:val="20"/>
                <w:szCs w:val="20"/>
                <w:color w:val="auto"/>
              </w:rPr>
            </w:pPr>
            <w:r>
              <w:rPr>
                <w:rFonts w:ascii="Arial" w:cs="Arial" w:eastAsia="Arial" w:hAnsi="Arial"/>
                <w:sz w:val="5"/>
                <w:szCs w:val="5"/>
                <w:color w:val="auto"/>
              </w:rPr>
              <w:t>15,187</w:t>
            </w:r>
          </w:p>
        </w:tc>
        <w:tc>
          <w:tcPr>
            <w:tcW w:w="0" w:type="dxa"/>
            <w:vAlign w:val="bottom"/>
          </w:tcPr>
          <w:p>
            <w:pPr>
              <w:spacing w:after="0"/>
              <w:rPr>
                <w:sz w:val="1"/>
                <w:szCs w:val="1"/>
                <w:color w:val="auto"/>
              </w:rPr>
            </w:pPr>
          </w:p>
        </w:tc>
      </w:tr>
      <w:tr>
        <w:trPr>
          <w:trHeight w:val="156"/>
        </w:trPr>
        <w:tc>
          <w:tcPr>
            <w:tcW w:w="4400" w:type="dxa"/>
            <w:vAlign w:val="bottom"/>
          </w:tcPr>
          <w:p>
            <w:pPr>
              <w:ind w:left="4140"/>
              <w:spacing w:after="0"/>
              <w:rPr>
                <w:sz w:val="20"/>
                <w:szCs w:val="20"/>
                <w:color w:val="auto"/>
              </w:rPr>
            </w:pPr>
            <w:r>
              <w:rPr>
                <w:rFonts w:ascii="Arial" w:cs="Arial" w:eastAsia="Arial" w:hAnsi="Arial"/>
                <w:sz w:val="13"/>
                <w:szCs w:val="13"/>
                <w:color w:val="auto"/>
              </w:rPr>
              <w:t>(2)</w:t>
            </w:r>
          </w:p>
        </w:tc>
        <w:tc>
          <w:tcPr>
            <w:tcW w:w="19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400" w:type="dxa"/>
            <w:vAlign w:val="bottom"/>
            <w:tcBorders>
              <w:bottom w:val="single" w:sz="8" w:color="0033A0"/>
            </w:tcBorders>
          </w:tcPr>
          <w:p>
            <w:pPr>
              <w:spacing w:after="0"/>
              <w:rPr>
                <w:sz w:val="2"/>
                <w:szCs w:val="2"/>
                <w:color w:val="auto"/>
              </w:rPr>
            </w:pPr>
          </w:p>
        </w:tc>
        <w:tc>
          <w:tcPr>
            <w:tcW w:w="2180" w:type="dxa"/>
            <w:vAlign w:val="bottom"/>
            <w:tcBorders>
              <w:bottom w:val="single" w:sz="8" w:color="0033A0"/>
            </w:tcBorders>
            <w:gridSpan w:val="2"/>
          </w:tcPr>
          <w:p>
            <w:pPr>
              <w:spacing w:after="0"/>
              <w:rPr>
                <w:sz w:val="2"/>
                <w:szCs w:val="2"/>
                <w:color w:val="auto"/>
              </w:rPr>
            </w:pPr>
          </w:p>
        </w:tc>
        <w:tc>
          <w:tcPr>
            <w:tcW w:w="2340" w:type="dxa"/>
            <w:vAlign w:val="bottom"/>
            <w:tcBorders>
              <w:bottom w:val="single" w:sz="8" w:color="0033A0"/>
            </w:tcBorders>
          </w:tcPr>
          <w:p>
            <w:pPr>
              <w:spacing w:after="0"/>
              <w:rPr>
                <w:sz w:val="2"/>
                <w:szCs w:val="2"/>
                <w:color w:val="auto"/>
              </w:rPr>
            </w:pPr>
          </w:p>
        </w:tc>
        <w:tc>
          <w:tcPr>
            <w:tcW w:w="210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40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Total</w:t>
            </w:r>
          </w:p>
        </w:tc>
        <w:tc>
          <w:tcPr>
            <w:tcW w:w="2180" w:type="dxa"/>
            <w:vAlign w:val="bottom"/>
            <w:tcBorders>
              <w:bottom w:val="single" w:sz="8" w:color="0033A0"/>
            </w:tcBorders>
            <w:gridSpan w:val="2"/>
          </w:tcPr>
          <w:p>
            <w:pPr>
              <w:jc w:val="right"/>
              <w:ind w:right="15"/>
              <w:spacing w:after="0"/>
              <w:rPr>
                <w:sz w:val="20"/>
                <w:szCs w:val="20"/>
                <w:color w:val="auto"/>
              </w:rPr>
            </w:pPr>
            <w:r>
              <w:rPr>
                <w:rFonts w:ascii="Arial" w:cs="Arial" w:eastAsia="Arial" w:hAnsi="Arial"/>
                <w:sz w:val="15"/>
                <w:szCs w:val="15"/>
                <w:color w:val="auto"/>
              </w:rPr>
              <w:t>49,553,245</w:t>
            </w:r>
            <w:r>
              <w:rPr>
                <w:rFonts w:ascii="Arial" w:cs="Arial" w:eastAsia="Arial" w:hAnsi="Arial"/>
                <w:sz w:val="13"/>
                <w:szCs w:val="13"/>
                <w:color w:val="auto"/>
              </w:rPr>
              <w:t>(4)</w:t>
            </w:r>
          </w:p>
        </w:tc>
        <w:tc>
          <w:tcPr>
            <w:tcW w:w="2340" w:type="dxa"/>
            <w:vAlign w:val="bottom"/>
            <w:tcBorders>
              <w:bottom w:val="single" w:sz="8" w:color="0033A0"/>
            </w:tcBorders>
          </w:tcPr>
          <w:p>
            <w:pPr>
              <w:jc w:val="right"/>
              <w:ind w:right="11"/>
              <w:spacing w:after="0"/>
              <w:rPr>
                <w:sz w:val="20"/>
                <w:szCs w:val="20"/>
                <w:color w:val="auto"/>
              </w:rPr>
            </w:pPr>
            <w:r>
              <w:rPr>
                <w:rFonts w:ascii="Arial" w:cs="Arial" w:eastAsia="Arial" w:hAnsi="Arial"/>
                <w:sz w:val="15"/>
                <w:szCs w:val="15"/>
                <w:color w:val="auto"/>
              </w:rPr>
              <w:t>$32.04</w:t>
            </w:r>
          </w:p>
        </w:tc>
        <w:tc>
          <w:tcPr>
            <w:tcW w:w="210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43,822,292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includes the following:</w:t>
      </w:r>
    </w:p>
    <w:p>
      <w:pPr>
        <w:spacing w:after="0" w:line="68" w:lineRule="exact"/>
        <w:rPr>
          <w:rFonts w:ascii="Arial" w:cs="Arial" w:eastAsia="Arial" w:hAnsi="Arial"/>
          <w:sz w:val="14"/>
          <w:szCs w:val="14"/>
          <w:i w:val="1"/>
          <w:iCs w:val="1"/>
          <w:color w:val="auto"/>
        </w:rPr>
      </w:pPr>
    </w:p>
    <w:p>
      <w:pPr>
        <w:ind w:left="960" w:hanging="432"/>
        <w:spacing w:after="0"/>
        <w:tabs>
          <w:tab w:leader="none" w:pos="960" w:val="left"/>
        </w:tabs>
        <w:numPr>
          <w:ilvl w:val="1"/>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25,899,063 shares represent options.</w:t>
      </w:r>
    </w:p>
    <w:p>
      <w:pPr>
        <w:spacing w:after="0" w:line="68" w:lineRule="exact"/>
        <w:rPr>
          <w:rFonts w:ascii="Arial" w:cs="Arial" w:eastAsia="Arial" w:hAnsi="Arial"/>
          <w:sz w:val="14"/>
          <w:szCs w:val="14"/>
          <w:i w:val="1"/>
          <w:iCs w:val="1"/>
          <w:color w:val="auto"/>
        </w:rPr>
      </w:pPr>
    </w:p>
    <w:p>
      <w:pPr>
        <w:ind w:left="960" w:right="120" w:hanging="432"/>
        <w:spacing w:after="0" w:line="279" w:lineRule="auto"/>
        <w:tabs>
          <w:tab w:leader="none" w:pos="960" w:val="left"/>
        </w:tabs>
        <w:numPr>
          <w:ilvl w:val="1"/>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13,894,395 shares represent PSU awards assuming performance is achieved at target. For performance above target, awards may be settled in common stock, cash, or a combination of both.</w:t>
      </w:r>
    </w:p>
    <w:p>
      <w:pPr>
        <w:spacing w:after="0" w:line="17" w:lineRule="exact"/>
        <w:rPr>
          <w:rFonts w:ascii="Arial" w:cs="Arial" w:eastAsia="Arial" w:hAnsi="Arial"/>
          <w:sz w:val="14"/>
          <w:szCs w:val="14"/>
          <w:i w:val="1"/>
          <w:iCs w:val="1"/>
          <w:color w:val="auto"/>
        </w:rPr>
      </w:pPr>
    </w:p>
    <w:p>
      <w:pPr>
        <w:ind w:left="960" w:hanging="432"/>
        <w:spacing w:after="0"/>
        <w:tabs>
          <w:tab w:leader="none" w:pos="960" w:val="left"/>
        </w:tabs>
        <w:numPr>
          <w:ilvl w:val="1"/>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3,907,087 shares represent RSUs.</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2016 Equity Incentive Plan, refer to Note 21 in our Annual Report on Form 10-K for the fiscal year ended December 31, 2016.</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RSUs, restricted stock, and PSUs. PSUs may be issued upon achievement of performance conditions.</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3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3,301,608 stock based units that are required to be settled in cash pursuant to award agreements.</w:t>
      </w:r>
    </w:p>
    <w:p>
      <w:pPr>
        <w:spacing w:after="0" w:line="309"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The following table provides information on share usage for awards granted and performance awards vested/earned during fiscal year 2017 under the Company’s equity compensation plans.</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5280" w:type="dxa"/>
            <w:vAlign w:val="bottom"/>
            <w:tcBorders>
              <w:top w:val="single" w:sz="8" w:color="00A1DF"/>
            </w:tcBorders>
          </w:tcPr>
          <w:p>
            <w:pPr>
              <w:spacing w:after="0"/>
              <w:rPr>
                <w:sz w:val="13"/>
                <w:szCs w:val="13"/>
                <w:color w:val="auto"/>
              </w:rPr>
            </w:pPr>
          </w:p>
        </w:tc>
        <w:tc>
          <w:tcPr>
            <w:tcW w:w="3880" w:type="dxa"/>
            <w:vAlign w:val="bottom"/>
            <w:tcBorders>
              <w:top w:val="single" w:sz="8" w:color="00A1DF"/>
            </w:tcBorders>
            <w:vMerge w:val="restart"/>
          </w:tcPr>
          <w:p>
            <w:pPr>
              <w:jc w:val="right"/>
              <w:ind w:right="365"/>
              <w:spacing w:after="0"/>
              <w:rPr>
                <w:sz w:val="20"/>
                <w:szCs w:val="20"/>
                <w:color w:val="auto"/>
              </w:rPr>
            </w:pPr>
            <w:r>
              <w:rPr>
                <w:rFonts w:ascii="Arial" w:cs="Arial" w:eastAsia="Arial" w:hAnsi="Arial"/>
                <w:sz w:val="15"/>
                <w:szCs w:val="15"/>
                <w:b w:val="1"/>
                <w:bCs w:val="1"/>
                <w:color w:val="00A1DF"/>
              </w:rPr>
              <w:t>Granted</w:t>
            </w:r>
          </w:p>
        </w:tc>
        <w:tc>
          <w:tcPr>
            <w:tcW w:w="1860" w:type="dxa"/>
            <w:vAlign w:val="bottom"/>
            <w:tcBorders>
              <w:top w:val="single" w:sz="8" w:color="00A1DF"/>
            </w:tcBorders>
          </w:tcPr>
          <w:p>
            <w:pPr>
              <w:jc w:val="right"/>
              <w:spacing w:after="0" w:line="154" w:lineRule="exact"/>
              <w:rPr>
                <w:sz w:val="20"/>
                <w:szCs w:val="20"/>
                <w:color w:val="auto"/>
              </w:rPr>
            </w:pPr>
            <w:r>
              <w:rPr>
                <w:rFonts w:ascii="Arial" w:cs="Arial" w:eastAsia="Arial" w:hAnsi="Arial"/>
                <w:sz w:val="15"/>
                <w:szCs w:val="15"/>
                <w:b w:val="1"/>
                <w:bCs w:val="1"/>
                <w:color w:val="00A1DF"/>
              </w:rPr>
              <w:t>Performance Awards</w:t>
            </w: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3880" w:type="dxa"/>
            <w:vAlign w:val="bottom"/>
            <w:vMerge w:val="continue"/>
          </w:tcPr>
          <w:p>
            <w:pPr>
              <w:spacing w:after="0"/>
              <w:rPr>
                <w:sz w:val="2"/>
                <w:szCs w:val="2"/>
                <w:color w:val="auto"/>
              </w:rPr>
            </w:pPr>
          </w:p>
        </w:tc>
        <w:tc>
          <w:tcPr>
            <w:tcW w:w="1860" w:type="dxa"/>
            <w:vAlign w:val="bottom"/>
          </w:tcPr>
          <w:p>
            <w:pPr>
              <w:jc w:val="right"/>
              <w:spacing w:after="0"/>
              <w:rPr>
                <w:sz w:val="20"/>
                <w:szCs w:val="20"/>
                <w:color w:val="auto"/>
              </w:rPr>
            </w:pPr>
            <w:r>
              <w:rPr>
                <w:rFonts w:ascii="Arial" w:cs="Arial" w:eastAsia="Arial" w:hAnsi="Arial"/>
                <w:sz w:val="2"/>
                <w:szCs w:val="2"/>
                <w:b w:val="1"/>
                <w:bCs w:val="1"/>
                <w:color w:val="00A1DF"/>
              </w:rPr>
              <w:t>Vested/Earned</w:t>
            </w:r>
          </w:p>
        </w:tc>
        <w:tc>
          <w:tcPr>
            <w:tcW w:w="0" w:type="dxa"/>
            <w:vAlign w:val="bottom"/>
          </w:tcPr>
          <w:p>
            <w:pPr>
              <w:spacing w:after="0" w:line="20" w:lineRule="exact"/>
              <w:rPr>
                <w:sz w:val="1"/>
                <w:szCs w:val="1"/>
                <w:color w:val="auto"/>
              </w:rPr>
            </w:pPr>
          </w:p>
        </w:tc>
      </w:tr>
      <w:tr>
        <w:trPr>
          <w:trHeight w:val="158"/>
        </w:trPr>
        <w:tc>
          <w:tcPr>
            <w:tcW w:w="5280" w:type="dxa"/>
            <w:vAlign w:val="bottom"/>
            <w:tcBorders>
              <w:bottom w:val="single" w:sz="8" w:color="00A1DF"/>
            </w:tcBorders>
          </w:tcPr>
          <w:p>
            <w:pPr>
              <w:spacing w:after="0"/>
              <w:rPr>
                <w:sz w:val="13"/>
                <w:szCs w:val="13"/>
                <w:color w:val="auto"/>
              </w:rPr>
            </w:pPr>
          </w:p>
        </w:tc>
        <w:tc>
          <w:tcPr>
            <w:tcW w:w="3880" w:type="dxa"/>
            <w:vAlign w:val="bottom"/>
            <w:tcBorders>
              <w:bottom w:val="single" w:sz="8" w:color="00A1DF"/>
            </w:tcBorders>
          </w:tcPr>
          <w:p>
            <w:pPr>
              <w:jc w:val="right"/>
              <w:ind w:right="205"/>
              <w:spacing w:after="0"/>
              <w:rPr>
                <w:sz w:val="20"/>
                <w:szCs w:val="20"/>
                <w:color w:val="auto"/>
              </w:rPr>
            </w:pPr>
            <w:r>
              <w:rPr>
                <w:rFonts w:ascii="Arial" w:cs="Arial" w:eastAsia="Arial" w:hAnsi="Arial"/>
                <w:sz w:val="13"/>
                <w:szCs w:val="13"/>
                <w:b w:val="1"/>
                <w:bCs w:val="1"/>
                <w:color w:val="00A1DF"/>
              </w:rPr>
              <w:t>(1)</w:t>
            </w:r>
          </w:p>
        </w:tc>
        <w:tc>
          <w:tcPr>
            <w:tcW w:w="1860" w:type="dxa"/>
            <w:vAlign w:val="bottom"/>
            <w:tcBorders>
              <w:bottom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RSUs</w:t>
            </w:r>
          </w:p>
        </w:tc>
        <w:tc>
          <w:tcPr>
            <w:tcW w:w="38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1,000,000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RSAs</w:t>
            </w:r>
          </w:p>
        </w:tc>
        <w:tc>
          <w:tcPr>
            <w:tcW w:w="38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PSUs</w:t>
            </w:r>
          </w:p>
        </w:tc>
        <w:tc>
          <w:tcPr>
            <w:tcW w:w="38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5,200,000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6,500,000</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Time-Based Stock Options</w:t>
            </w:r>
          </w:p>
        </w:tc>
        <w:tc>
          <w:tcPr>
            <w:tcW w:w="3880" w:type="dxa"/>
            <w:vAlign w:val="bottom"/>
            <w:tcBorders>
              <w:bottom w:val="single" w:sz="8" w:color="0033A0"/>
            </w:tcBorders>
          </w:tcPr>
          <w:p>
            <w:pPr>
              <w:jc w:val="right"/>
              <w:ind w:right="205"/>
              <w:spacing w:after="0"/>
              <w:rPr>
                <w:sz w:val="20"/>
                <w:szCs w:val="20"/>
                <w:color w:val="auto"/>
              </w:rPr>
            </w:pPr>
            <w:r>
              <w:rPr>
                <w:rFonts w:ascii="Arial" w:cs="Arial" w:eastAsia="Arial" w:hAnsi="Arial"/>
                <w:sz w:val="15"/>
                <w:szCs w:val="15"/>
                <w:color w:val="auto"/>
              </w:rPr>
              <w:t>6,500,000</w:t>
            </w:r>
          </w:p>
        </w:tc>
        <w:tc>
          <w:tcPr>
            <w:tcW w:w="186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5280" w:type="dxa"/>
            <w:vAlign w:val="bottom"/>
            <w:tcBorders>
              <w:bottom w:val="single" w:sz="8" w:color="0033A0"/>
            </w:tcBorders>
          </w:tcPr>
          <w:p>
            <w:pPr>
              <w:ind w:left="60"/>
              <w:spacing w:after="0"/>
              <w:rPr>
                <w:sz w:val="20"/>
                <w:szCs w:val="20"/>
                <w:color w:val="auto"/>
              </w:rPr>
            </w:pPr>
            <w:r>
              <w:rPr>
                <w:rFonts w:ascii="Arial" w:cs="Arial" w:eastAsia="Arial" w:hAnsi="Arial"/>
                <w:sz w:val="15"/>
                <w:szCs w:val="15"/>
                <w:color w:val="auto"/>
              </w:rPr>
              <w:t>Performance-Based Stock Options</w:t>
            </w:r>
          </w:p>
        </w:tc>
        <w:tc>
          <w:tcPr>
            <w:tcW w:w="3880" w:type="dxa"/>
            <w:vAlign w:val="bottom"/>
            <w:tcBorders>
              <w:bottom w:val="single" w:sz="8" w:color="0033A0"/>
            </w:tcBorders>
          </w:tcPr>
          <w:p>
            <w:pPr>
              <w:jc w:val="right"/>
              <w:ind w:right="205"/>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3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4,000,000 stock based units that are required to be settled in cash pursuant to award agreements.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620" w:right="80" w:hanging="1932"/>
        <w:spacing w:after="0" w:line="288" w:lineRule="auto"/>
        <w:rPr>
          <w:sz w:val="20"/>
          <w:szCs w:val="20"/>
          <w:color w:val="auto"/>
        </w:rPr>
      </w:pPr>
      <w:r>
        <w:rPr>
          <w:rFonts w:ascii="Arial" w:cs="Arial" w:eastAsia="Arial" w:hAnsi="Arial"/>
          <w:sz w:val="37"/>
          <w:szCs w:val="37"/>
          <w:b w:val="1"/>
          <w:bCs w:val="1"/>
          <w:color w:val="00A1DF"/>
        </w:rPr>
        <w:t xml:space="preserve">ITEM NO. 2 </w:t>
      </w:r>
      <w:r>
        <w:rPr>
          <w:rFonts w:ascii="Arial" w:cs="Arial" w:eastAsia="Arial" w:hAnsi="Arial"/>
          <w:sz w:val="37"/>
          <w:szCs w:val="37"/>
          <w:color w:val="0033A0"/>
        </w:rPr>
        <w:t>– APPROVAL OF, ON AN ADVISORY BASIS,</w:t>
      </w:r>
      <w:r>
        <w:rPr>
          <w:rFonts w:ascii="Arial" w:cs="Arial" w:eastAsia="Arial" w:hAnsi="Arial"/>
          <w:sz w:val="37"/>
          <w:szCs w:val="37"/>
          <w:b w:val="1"/>
          <w:bCs w:val="1"/>
          <w:color w:val="00A1DF"/>
        </w:rPr>
        <w:t xml:space="preserve"> </w:t>
      </w:r>
      <w:r>
        <w:rPr>
          <w:rFonts w:ascii="Arial" w:cs="Arial" w:eastAsia="Arial" w:hAnsi="Arial"/>
          <w:sz w:val="37"/>
          <w:szCs w:val="37"/>
          <w:color w:val="0033A0"/>
        </w:rPr>
        <w:t>NAMED EXECUTIVE OFFICER COMPENSATION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Executive compensation is an important matter for our shareholders. The Dodd-Frank Wall Street Reform and Consumer Protection Act requires that we provide you with the opportunity to vote to approve, on a nonbinding advisory basis, the compensation of our named executive officers, as disclosed in this Proxy Statement in accordance with the compensation disclosure rules of the SEC (sometimes referred to as “Say-on-Pay”).</w:t>
      </w:r>
    </w:p>
    <w:p>
      <w:pPr>
        <w:spacing w:after="0" w:line="10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Compensation Committee has approved the compensation arrangements for our named executive officers described in our Compensation Discussion and Analysis beginning on page 35 and accompanying compensation tables beginning on page 57 in this Proxy Statement. We urge you to read the Compensation Discussion and Analysis for a more complete understanding of our executive compensation plans, including our compensation philosophy and objectives and the 2017 compensation of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pursuant to Item 402 of Regulation S-K, including the Compensation Discussion and Analysis, compensation tables, and the related narrative discussion, is hereby APPROVED.</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shareholders and will consider the outcome of the vote when making future compensation decisions for named executive officers.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next Say-on-Pay vote will occur at our 2019 Annual Meeting and the next Say-on-Frequency vote will occur at our 2020 Annual Meeting.</w:t>
      </w:r>
    </w:p>
    <w:p>
      <w:pPr>
        <w:spacing w:after="0" w:line="728"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Vote Required</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affirmative vote of a majority of the shares of our common stock</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present or represented by proxy and entitled to vote at the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is required for approval of this proposal. If you own shares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through a broker, bank, or other nominee, you must instruct your broker,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bank, or other nominee on how to vote your shares to ensure that your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shares will be represented and voted on this proposal.</w:t>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33A0"/>
        </w:rPr>
        <w:t xml:space="preserve">The Board of Directors recommends a vote </w:t>
      </w:r>
      <w:r>
        <w:rPr>
          <w:rFonts w:ascii="Arial" w:cs="Arial" w:eastAsia="Arial" w:hAnsi="Arial"/>
          <w:sz w:val="18"/>
          <w:szCs w:val="18"/>
          <w:b w:val="1"/>
          <w:bCs w:val="1"/>
          <w:u w:val="single" w:color="auto"/>
          <w:color w:val="00A1DF"/>
        </w:rPr>
        <w:t>FOR</w:t>
      </w:r>
      <w:r>
        <w:rPr>
          <w:rFonts w:ascii="Arial" w:cs="Arial" w:eastAsia="Arial" w:hAnsi="Arial"/>
          <w:sz w:val="18"/>
          <w:szCs w:val="18"/>
          <w:b w:val="1"/>
          <w:bCs w:val="1"/>
          <w:color w:val="0033A0"/>
        </w:rPr>
        <w:t xml:space="preserve"> the advisory proposal to approve named executive officer compensation.</w:t>
      </w:r>
    </w:p>
    <w:p>
      <w:pPr>
        <w:spacing w:after="0" w:line="182"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620" w:right="940" w:hanging="1932"/>
        <w:spacing w:after="0" w:line="246" w:lineRule="auto"/>
        <w:rPr>
          <w:sz w:val="20"/>
          <w:szCs w:val="20"/>
          <w:color w:val="auto"/>
        </w:rPr>
      </w:pPr>
      <w:r>
        <w:rPr>
          <w:rFonts w:ascii="Arial" w:cs="Arial" w:eastAsia="Arial" w:hAnsi="Arial"/>
          <w:sz w:val="38"/>
          <w:szCs w:val="38"/>
          <w:b w:val="1"/>
          <w:bCs w:val="1"/>
          <w:color w:val="00A1DF"/>
        </w:rPr>
        <w:t xml:space="preserve">ITEM NO. 3 </w:t>
      </w:r>
      <w:r>
        <w:rPr>
          <w:rFonts w:ascii="Arial" w:cs="Arial" w:eastAsia="Arial" w:hAnsi="Arial"/>
          <w:sz w:val="38"/>
          <w:szCs w:val="38"/>
          <w:color w:val="0033A0"/>
        </w:rPr>
        <w:t>– RATIFICATION OF THE SELECTION OF</w:t>
      </w:r>
      <w:r>
        <w:rPr>
          <w:rFonts w:ascii="Arial" w:cs="Arial" w:eastAsia="Arial" w:hAnsi="Arial"/>
          <w:sz w:val="38"/>
          <w:szCs w:val="38"/>
          <w:b w:val="1"/>
          <w:bCs w:val="1"/>
          <w:color w:val="00A1DF"/>
        </w:rPr>
        <w:t xml:space="preserve"> </w:t>
      </w:r>
      <w:r>
        <w:rPr>
          <w:rFonts w:ascii="Arial" w:cs="Arial" w:eastAsia="Arial" w:hAnsi="Arial"/>
          <w:sz w:val="38"/>
          <w:szCs w:val="38"/>
          <w:color w:val="0033A0"/>
        </w:rPr>
        <w:t>ERNST &amp; YOUNG LLP AS THE COMPANY’S INDEPENDENT REGISTERED</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38"/>
          <w:szCs w:val="38"/>
          <w:color w:val="0033A0"/>
        </w:rPr>
        <w:t>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316865</wp:posOffset>
            </wp:positionV>
            <wp:extent cx="6946265" cy="12604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4626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The Process and Scope of the RFP</w:t>
      </w:r>
    </w:p>
    <w:p>
      <w:pPr>
        <w:spacing w:after="0" w:line="124"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The Committee conducted a competitive process to select the Company’s independent registered public accounting firm for the Company’s fiscal year ending December 31, 2018. The Committee invited several independent registered public accounting firms to participate in this process. The Committee evaluated the proposals of the independent registered public accounting firms and considered several factors, including audit quality; the benefits of tenure versus fresh perspective; cultural fit and business acumen; innovation and technology; potential transition risks; auditor independence; and the appropriateness of fees relative to both efficiency and audit quality.</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The Outcome of the RFP</w:t>
      </w:r>
    </w:p>
    <w:p>
      <w:pPr>
        <w:spacing w:after="0" w:line="124"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Following review of the RFP proposals, the Audit Committee selected EY as the Company’s independent registered public accounting firm for the Company’s fiscal year ending December 31, 2018. The Audit Committee believes that the engagement of EY as the Company’s independent registered public accounting firm for 2018 is in the best interest of the Company and its shareholders. The Board of Directors recommends that shareholders ratify the Audit Committee’s selection of EY as the Company’s independent registered public accounting firm for 2018. If the shareholders do not ratify the selection of EY as the independent registered public accounting firm for the Company for 2018, the Committee will reconsider whether to engage EY, but may ultimately determine to engage EY or another audit firm without resubmitting the matter to shareholders. Deloitte &amp; Touche LLP (“Deloitte”) and its predecessor companies had been GM’s or General Motors Corporation’s auditors since 1918.</w:t>
      </w:r>
    </w:p>
    <w:p>
      <w:pPr>
        <w:spacing w:after="0" w:line="168"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Even if the shareholders ratify the selection of EY, the Committee may, in its sole discretion, terminate the engagement of EY and direct the appointment of another independent registered public accounting firm at any time during the year, although it has no current intention to do so.</w:t>
      </w:r>
    </w:p>
    <w:p>
      <w:pPr>
        <w:spacing w:after="0" w:line="147" w:lineRule="exact"/>
        <w:rPr>
          <w:sz w:val="20"/>
          <w:szCs w:val="20"/>
          <w:color w:val="auto"/>
        </w:rPr>
      </w:pPr>
    </w:p>
    <w:p>
      <w:pPr>
        <w:ind w:left="200" w:right="1000"/>
        <w:spacing w:after="0" w:line="273" w:lineRule="auto"/>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FOR</w:t>
      </w:r>
      <w:r>
        <w:rPr>
          <w:rFonts w:ascii="Arial" w:cs="Arial" w:eastAsia="Arial" w:hAnsi="Arial"/>
          <w:sz w:val="19"/>
          <w:szCs w:val="19"/>
          <w:b w:val="1"/>
          <w:bCs w:val="1"/>
          <w:color w:val="0033A0"/>
        </w:rPr>
        <w:t xml:space="preserve"> the proposal to ratify the selection of Ernst &amp; Young LLP as the independent registered public accounting firm for GM and its subsidiaries for 2018.</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RATIFICATION OF THE SELECTION OF ERNST &amp; YOUNG LLP AS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THE COMPANY’S INDEPENDENT REGISTERED 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Audit Committee Report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Audit Committee (the “Committee”) of the General Motors Board of Directors is a standing committee composed of four directors: Thomas M.</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Schoewe (Chair), Linda R. Gooden, Jane L. Mendillo, and 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190500</wp:posOffset>
            </wp:positionV>
            <wp:extent cx="6989445" cy="8750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89445" cy="875030"/>
                    </a:xfrm>
                    <a:prstGeom prst="rect">
                      <a:avLst/>
                    </a:prstGeom>
                    <a:noFill/>
                  </pic:spPr>
                </pic:pic>
              </a:graphicData>
            </a:graphic>
          </wp:anchor>
        </w:drawing>
      </w:r>
    </w:p>
    <w:p>
      <w:pPr>
        <w:sectPr>
          <w:pgSz w:w="11900" w:h="16838" w:orient="portrait"/>
          <w:cols w:equalWidth="0" w:num="1">
            <w:col w:w="11220"/>
          </w:cols>
          <w:pgMar w:left="240" w:top="459" w:right="439" w:bottom="10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Purpose</w:t>
      </w:r>
    </w:p>
    <w:p>
      <w:pPr>
        <w:spacing w:after="0" w:line="191"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Committee’s core purposes are to assist the Board by providing oversight of:</w:t>
      </w:r>
    </w:p>
    <w:p>
      <w:pPr>
        <w:spacing w:after="0" w:line="101" w:lineRule="exact"/>
        <w:rPr>
          <w:sz w:val="20"/>
          <w:szCs w:val="20"/>
          <w:color w:val="auto"/>
        </w:rPr>
      </w:pPr>
    </w:p>
    <w:p>
      <w:pPr>
        <w:ind w:left="400" w:hanging="189"/>
        <w:spacing w:after="0"/>
        <w:tabs>
          <w:tab w:leader="none" w:pos="400" w:val="left"/>
        </w:tabs>
        <w:numPr>
          <w:ilvl w:val="0"/>
          <w:numId w:val="139"/>
        </w:numPr>
        <w:rPr>
          <w:rFonts w:ascii="Arial" w:cs="Arial" w:eastAsia="Arial" w:hAnsi="Arial"/>
          <w:sz w:val="16"/>
          <w:szCs w:val="16"/>
          <w:color w:val="00A1DF"/>
        </w:rPr>
      </w:pPr>
      <w:r>
        <w:rPr>
          <w:rFonts w:ascii="Arial" w:cs="Arial" w:eastAsia="Arial" w:hAnsi="Arial"/>
          <w:sz w:val="16"/>
          <w:szCs w:val="16"/>
          <w:color w:val="auto"/>
        </w:rPr>
        <w:t>The quality and integrity of GM’s financial statements;</w:t>
      </w:r>
    </w:p>
    <w:p>
      <w:pPr>
        <w:spacing w:after="0" w:line="140" w:lineRule="exact"/>
        <w:rPr>
          <w:rFonts w:ascii="Arial" w:cs="Arial" w:eastAsia="Arial" w:hAnsi="Arial"/>
          <w:sz w:val="16"/>
          <w:szCs w:val="16"/>
          <w:color w:val="00A1DF"/>
        </w:rPr>
      </w:pPr>
    </w:p>
    <w:p>
      <w:pPr>
        <w:ind w:left="400" w:hanging="189"/>
        <w:spacing w:after="0"/>
        <w:tabs>
          <w:tab w:leader="none" w:pos="400" w:val="left"/>
        </w:tabs>
        <w:numPr>
          <w:ilvl w:val="0"/>
          <w:numId w:val="139"/>
        </w:numPr>
        <w:rPr>
          <w:rFonts w:ascii="Arial" w:cs="Arial" w:eastAsia="Arial" w:hAnsi="Arial"/>
          <w:sz w:val="16"/>
          <w:szCs w:val="16"/>
          <w:color w:val="00A1DF"/>
        </w:rPr>
      </w:pPr>
      <w:r>
        <w:rPr>
          <w:rFonts w:ascii="Arial" w:cs="Arial" w:eastAsia="Arial" w:hAnsi="Arial"/>
          <w:sz w:val="16"/>
          <w:szCs w:val="16"/>
          <w:color w:val="auto"/>
        </w:rPr>
        <w:t>GM’s compliance with legal and regulatory requirements; and</w:t>
      </w:r>
    </w:p>
    <w:p>
      <w:pPr>
        <w:spacing w:after="0" w:line="140" w:lineRule="exact"/>
        <w:rPr>
          <w:rFonts w:ascii="Arial" w:cs="Arial" w:eastAsia="Arial" w:hAnsi="Arial"/>
          <w:sz w:val="16"/>
          <w:szCs w:val="16"/>
          <w:color w:val="00A1DF"/>
        </w:rPr>
      </w:pPr>
    </w:p>
    <w:p>
      <w:pPr>
        <w:ind w:left="400" w:hanging="189"/>
        <w:spacing w:after="0" w:line="260" w:lineRule="auto"/>
        <w:tabs>
          <w:tab w:leader="none" w:pos="400" w:val="left"/>
        </w:tabs>
        <w:numPr>
          <w:ilvl w:val="0"/>
          <w:numId w:val="139"/>
        </w:numPr>
        <w:rPr>
          <w:rFonts w:ascii="Arial" w:cs="Arial" w:eastAsia="Arial" w:hAnsi="Arial"/>
          <w:sz w:val="16"/>
          <w:szCs w:val="16"/>
          <w:color w:val="00A1DF"/>
        </w:rPr>
      </w:pPr>
      <w:r>
        <w:rPr>
          <w:rFonts w:ascii="Arial" w:cs="Arial" w:eastAsia="Arial" w:hAnsi="Arial"/>
          <w:sz w:val="16"/>
          <w:szCs w:val="16"/>
          <w:color w:val="auto"/>
        </w:rPr>
        <w:t>The qualifications and independence of GM’s external auditors and the performance of GM’s internal audit staff and external auditors.</w:t>
      </w:r>
    </w:p>
    <w:p>
      <w:pPr>
        <w:spacing w:after="0" w:line="88"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 xml:space="preserve">The Committee operates under a written charter adopted by the Committee and approved by the Board of Directors. The Committee’s charter is posted on our website at </w:t>
      </w:r>
      <w:r>
        <w:rPr>
          <w:rFonts w:ascii="Arial" w:cs="Arial" w:eastAsia="Arial" w:hAnsi="Arial"/>
          <w:sz w:val="16"/>
          <w:szCs w:val="16"/>
          <w:i w:val="1"/>
          <w:iCs w:val="1"/>
          <w:color w:val="00A1DF"/>
        </w:rPr>
        <w:t>gm.com/investors/corporate-governance</w:t>
      </w:r>
      <w:r>
        <w:rPr>
          <w:rFonts w:ascii="Arial" w:cs="Arial" w:eastAsia="Arial" w:hAnsi="Arial"/>
          <w:sz w:val="16"/>
          <w:szCs w:val="16"/>
          <w:i w:val="1"/>
          <w:iCs w:val="1"/>
          <w:color w:val="000000"/>
        </w:rPr>
        <w:t>.</w:t>
      </w:r>
      <w:r>
        <w:rPr>
          <w:rFonts w:ascii="Arial" w:cs="Arial" w:eastAsia="Arial" w:hAnsi="Arial"/>
          <w:sz w:val="16"/>
          <w:szCs w:val="16"/>
          <w:i w:val="1"/>
          <w:iCs w:val="1"/>
          <w:color w:val="00A1DF"/>
        </w:rPr>
        <w:t xml:space="preserve"> </w:t>
      </w:r>
      <w:r>
        <w:rPr>
          <w:rFonts w:ascii="Arial" w:cs="Arial" w:eastAsia="Arial" w:hAnsi="Arial"/>
          <w:sz w:val="16"/>
          <w:szCs w:val="16"/>
          <w:color w:val="000000"/>
        </w:rPr>
        <w:t>The Committee’s charter is reviewed at least annually and</w:t>
      </w:r>
      <w:r>
        <w:rPr>
          <w:rFonts w:ascii="Arial" w:cs="Arial" w:eastAsia="Arial" w:hAnsi="Arial"/>
          <w:sz w:val="16"/>
          <w:szCs w:val="16"/>
          <w:i w:val="1"/>
          <w:iCs w:val="1"/>
          <w:color w:val="00A1DF"/>
        </w:rPr>
        <w:t xml:space="preserve"> </w:t>
      </w:r>
      <w:r>
        <w:rPr>
          <w:rFonts w:ascii="Arial" w:cs="Arial" w:eastAsia="Arial" w:hAnsi="Arial"/>
          <w:sz w:val="16"/>
          <w:szCs w:val="16"/>
          <w:color w:val="000000"/>
        </w:rPr>
        <w:t>updated as necessary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address changes in regulatory requirements, authoritative guidance, evolving oversight practices, and shareholder feedback.</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is responsible for the Company’s internal controls and the financial reporting process and has delivered its opinion on the effectiveness of the Company’s controls. The auditor is responsible for performing an independent audit of the Company’s consolidated financial statements and opining on the effectiveness of those controls in accordance with the standards of the Public Company Accounting Oversight Board (United States) (the “PCAOB”) and issuing its reports thereon. As provided in its charter, the Committee’s responsibilities include monitoring and overseeing these processes.</w:t>
      </w:r>
    </w:p>
    <w:p>
      <w:pPr>
        <w:spacing w:after="0" w:line="595" w:lineRule="exact"/>
        <w:rPr>
          <w:sz w:val="20"/>
          <w:szCs w:val="20"/>
          <w:color w:val="auto"/>
        </w:rPr>
      </w:pPr>
    </w:p>
    <w:p>
      <w:pPr>
        <w:sectPr>
          <w:pgSz w:w="11900" w:h="16838" w:orient="portrait"/>
          <w:cols w:equalWidth="0" w:num="2">
            <w:col w:w="5480" w:space="340"/>
            <w:col w:w="5400"/>
          </w:cols>
          <w:pgMar w:left="240" w:top="459" w:right="439" w:bottom="1072" w:gutter="0" w:footer="0" w:header="0"/>
          <w:type w:val="continuous"/>
        </w:sectPr>
      </w:pPr>
    </w:p>
    <w:p>
      <w:pPr>
        <w:spacing w:after="0" w:line="10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Required Disclosures</w:t>
      </w:r>
    </w:p>
    <w:p>
      <w:pPr>
        <w:spacing w:after="0" w:line="19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In 2017, the Committee met seven times and fulfilled all of its core charter obligations, spending a significant amount of time on completing a request for proposal process for independent audit services. The Committee conducted an extensive and competitive review involving a number of accounting firms and subsequently appointed EY as the Company’s independent registered public accounting firm for fiscal year 2018. EY will also provide non-audit services, including among others, cybersecurity and information technology assessment services and tax planning and advice and tax compliance, which are also areas of importance to the Committee. Deloitte was the Company’s independent registered public accounting firm for fiscal year 2017. The Committee has also reviewed and amended its charter and the Company’s Code of Conduct, “Winning with Integrity.”</w:t>
      </w:r>
    </w:p>
    <w:p>
      <w:pPr>
        <w:spacing w:after="0" w:line="104"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Consistent with its charter responsibilities, the Committee met and held discussions with management and Deloitte regarding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audited financial statements and internal controls for the year ended December 31, 2017. In this context, management represented to the Committee that the Company’s consolidated financial statements were prepared in accordance with accounting principles generally accepted in the United States. The Committee reviewed and discussed the consolidated financial statements with management and the auditor and further discussed with the auditor the matters required to be discussed by the standards of the PCAOB.</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Deloitte also provided to the Committee the written disclosures and the letter required by the applicable requirements of the PCAOB concerning independence, and the Committee discussed with the auditor the auditor’s independence. The Committee also considered and determined that the provision of non-audit services to GM is compatible with maintaining the auditor’s independence. The Committee concluded that Deloitte was independent from the Company and management.</w:t>
      </w:r>
    </w:p>
    <w:p>
      <w:pPr>
        <w:spacing w:after="0" w:line="213" w:lineRule="exact"/>
        <w:rPr>
          <w:sz w:val="20"/>
          <w:szCs w:val="20"/>
          <w:color w:val="auto"/>
        </w:rPr>
      </w:pPr>
    </w:p>
    <w:p>
      <w:pPr>
        <w:sectPr>
          <w:pgSz w:w="11900" w:h="16838" w:orient="portrait"/>
          <w:cols w:equalWidth="0" w:num="2">
            <w:col w:w="5500" w:space="320"/>
            <w:col w:w="5400"/>
          </w:cols>
          <w:pgMar w:left="240" w:top="459" w:right="439" w:bottom="1072" w:gutter="0" w:footer="0" w:header="0"/>
          <w:type w:val="continuous"/>
        </w:sectPr>
      </w:pPr>
    </w:p>
    <w:p>
      <w:pPr>
        <w:spacing w:after="0" w:line="11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Recommendation</w:t>
      </w:r>
    </w:p>
    <w:p>
      <w:pPr>
        <w:spacing w:after="0" w:line="191"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Based upon the Committee’s discussions with management and the auditor as described in this report and the Committee’s review of the representation of management and the reports of the auditors to the Committee, the Committee recommended to the Board of Directors, and the Board of Directors approved, the inclusion of the audited consolidated financial statements in the Company’s Annual Report on Form 10-K for the year ended December 31, 2017, as filed with the U.S. Securities and Exchange Commission on February 6, 2018.</w:t>
      </w:r>
    </w:p>
    <w:p>
      <w:pPr>
        <w:spacing w:after="0" w:line="147"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Audit Committee</w:t>
      </w:r>
    </w:p>
    <w:p>
      <w:pPr>
        <w:spacing w:after="0" w:line="13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Thomas M. Schoewe (Chair)</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Linda R. Gooden</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Jane L. Mendillo</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Michael G. Mullen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1975" w:lineRule="exact"/>
        <w:rPr>
          <w:sz w:val="20"/>
          <w:szCs w:val="20"/>
          <w:color w:val="auto"/>
        </w:rPr>
      </w:pPr>
    </w:p>
    <w:p>
      <w:pPr>
        <w:sectPr>
          <w:pgSz w:w="11900" w:h="16838" w:orient="portrait"/>
          <w:cols w:equalWidth="0" w:num="2">
            <w:col w:w="5500" w:space="320"/>
            <w:col w:w="5400"/>
          </w:cols>
          <w:pgMar w:left="240" w:top="459" w:right="439" w:bottom="1072" w:gutter="0" w:footer="0" w:header="0"/>
          <w:type w:val="continuous"/>
        </w:sectPr>
      </w:pPr>
    </w:p>
    <w:p>
      <w:pPr>
        <w:spacing w:after="0" w:line="281"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072"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RATIFICATION OF THE SELECTION OF ERNST &amp; YOUNG LLP AS</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33A0"/>
        </w:rPr>
        <w:t>THE COMPANY’S INDEPENDENT REGISTERED 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32"/>
          <w:szCs w:val="32"/>
          <w:color w:val="00A1DF"/>
        </w:rPr>
        <w:t>Fees Paid to Independent Registered Public Accounting Firm</w:t>
      </w:r>
    </w:p>
    <w:p>
      <w:pPr>
        <w:sectPr>
          <w:pgSz w:w="11900" w:h="16838" w:orient="portrait"/>
          <w:cols w:equalWidth="0" w:num="1">
            <w:col w:w="11260"/>
          </w:cols>
          <w:pgMar w:left="240" w:top="459" w:right="399" w:bottom="1440" w:gutter="0" w:footer="0" w:header="0"/>
        </w:sectPr>
      </w:pPr>
    </w:p>
    <w:p>
      <w:pPr>
        <w:spacing w:after="0" w:line="29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Audit Committee retained Deloitte to audit the Company’s consolidated financial statements and the effectiveness of internal controls, as of and for the year ended December 31, 2017. The Company and its subsidiaries also retained Deloitte and certain of its affiliates, as well as other accounting and consulting firms, to provide various other services in 2017. Deloitte initially presented the proposed annual audit services and their related fees to the Audit Committee for approval on an audit-year basis.</w:t>
      </w:r>
    </w:p>
    <w:p>
      <w:pPr>
        <w:spacing w:after="0" w:line="10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services performed by Deloitte in 2017 were preapproved in accordance with the preapproval policy and procedures established by the Committee. This policy requires that prior to the provision of services by the auditor, the Committee will be presented, for consideration, with a description of the types of Audit-Related, Tax, and All Other Services expected to be performed by the auditor during the fiscal year, with amounts budgeted for each category (Audit-Related, Tax, and All Other Services). Any requests for such services for $1 million or more not contemplated and approved by the Committee initially must thereafter be submitted to the Audit Committee (or the Chair of the Committee in an urgent case) for specific preapproval. Requests for services less than $1 million individually can be approved by management based on the amounts approved for each category. Management must report actual spending for each category to the full Audit Committee periodically during the year.</w:t>
      </w:r>
    </w:p>
    <w:p>
      <w:pPr>
        <w:spacing w:after="0" w:line="104"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These services are actively monitored (both spending and work content) by the Committee to maintain the appropriate objectivity and independence in Deloitte’s core work, which is the audit of the Company’s consolidated financial statements and internal controls. The Committee determined that all services provided by Deloitte in 2017 were compatible with maintaining the independence of Deloitte.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following table summarizes Deloitte fees billed or expected to be billed in connection with 2017 services. For comparison purposes, actual billings for 2016 services are also displayed.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20" w:type="dxa"/>
            <w:vAlign w:val="bottom"/>
            <w:tcBorders>
              <w:top w:val="single" w:sz="8" w:color="00A1DF"/>
            </w:tcBorders>
          </w:tcPr>
          <w:p>
            <w:pPr>
              <w:spacing w:after="0"/>
              <w:rPr>
                <w:sz w:val="13"/>
                <w:szCs w:val="13"/>
                <w:color w:val="auto"/>
              </w:rPr>
            </w:pPr>
          </w:p>
        </w:tc>
        <w:tc>
          <w:tcPr>
            <w:tcW w:w="200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2017</w:t>
            </w:r>
          </w:p>
        </w:tc>
        <w:tc>
          <w:tcPr>
            <w:tcW w:w="1180" w:type="dxa"/>
            <w:vAlign w:val="bottom"/>
            <w:tcBorders>
              <w:top w:val="single" w:sz="8" w:color="00A1DF"/>
            </w:tcBorders>
          </w:tcPr>
          <w:p>
            <w:pPr>
              <w:jc w:val="right"/>
              <w:spacing w:after="0" w:line="154" w:lineRule="exact"/>
              <w:rPr>
                <w:sz w:val="20"/>
                <w:szCs w:val="20"/>
                <w:color w:val="auto"/>
              </w:rPr>
            </w:pPr>
            <w:r>
              <w:rPr>
                <w:rFonts w:ascii="Arial" w:cs="Arial" w:eastAsia="Arial" w:hAnsi="Arial"/>
                <w:sz w:val="15"/>
                <w:szCs w:val="15"/>
                <w:b w:val="1"/>
                <w:bCs w:val="1"/>
                <w:color w:val="00A1DF"/>
              </w:rPr>
              <w:t>2016</w:t>
            </w:r>
          </w:p>
        </w:tc>
      </w:tr>
      <w:tr>
        <w:trPr>
          <w:trHeight w:val="197"/>
        </w:trPr>
        <w:tc>
          <w:tcPr>
            <w:tcW w:w="2220" w:type="dxa"/>
            <w:vAlign w:val="bottom"/>
            <w:tcBorders>
              <w:bottom w:val="single" w:sz="8" w:color="00A1DF"/>
            </w:tcBorders>
          </w:tcPr>
          <w:p>
            <w:pPr>
              <w:ind w:left="100"/>
              <w:spacing w:after="0"/>
              <w:rPr>
                <w:sz w:val="20"/>
                <w:szCs w:val="20"/>
                <w:color w:val="auto"/>
              </w:rPr>
            </w:pPr>
            <w:r>
              <w:rPr>
                <w:rFonts w:ascii="Arial" w:cs="Arial" w:eastAsia="Arial" w:hAnsi="Arial"/>
                <w:sz w:val="15"/>
                <w:szCs w:val="15"/>
                <w:b w:val="1"/>
                <w:bCs w:val="1"/>
                <w:color w:val="00A1DF"/>
              </w:rPr>
              <w:t>Type of Fees</w:t>
            </w:r>
          </w:p>
        </w:tc>
        <w:tc>
          <w:tcPr>
            <w:tcW w:w="200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 in millions)</w:t>
            </w:r>
          </w:p>
        </w:tc>
        <w:tc>
          <w:tcPr>
            <w:tcW w:w="11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 in millions)</w:t>
            </w:r>
          </w:p>
        </w:tc>
      </w:tr>
      <w:tr>
        <w:trPr>
          <w:trHeight w:val="192"/>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Audit</w:t>
            </w:r>
          </w:p>
        </w:tc>
        <w:tc>
          <w:tcPr>
            <w:tcW w:w="2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r>
      <w:tr>
        <w:trPr>
          <w:trHeight w:val="196"/>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Audit-Related</w:t>
            </w:r>
          </w:p>
        </w:tc>
        <w:tc>
          <w:tcPr>
            <w:tcW w:w="2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96"/>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Tax</w:t>
            </w:r>
          </w:p>
        </w:tc>
        <w:tc>
          <w:tcPr>
            <w:tcW w:w="2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196"/>
        </w:trPr>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Subtotal</w:t>
            </w:r>
          </w:p>
        </w:tc>
        <w:tc>
          <w:tcPr>
            <w:tcW w:w="2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r>
      <w:tr>
        <w:trPr>
          <w:trHeight w:val="196"/>
        </w:trPr>
        <w:tc>
          <w:tcPr>
            <w:tcW w:w="222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All Other Services</w:t>
            </w:r>
          </w:p>
        </w:tc>
        <w:tc>
          <w:tcPr>
            <w:tcW w:w="200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6</w:t>
            </w:r>
          </w:p>
        </w:tc>
        <w:tc>
          <w:tcPr>
            <w:tcW w:w="11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6</w:t>
            </w:r>
          </w:p>
        </w:tc>
      </w:tr>
      <w:tr>
        <w:trPr>
          <w:trHeight w:val="200"/>
        </w:trPr>
        <w:tc>
          <w:tcPr>
            <w:tcW w:w="222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0033A0"/>
              </w:rPr>
              <w:t>TOTAL</w:t>
            </w:r>
          </w:p>
        </w:tc>
        <w:tc>
          <w:tcPr>
            <w:tcW w:w="200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b w:val="1"/>
                <w:bCs w:val="1"/>
                <w:color w:val="0033A0"/>
              </w:rPr>
              <w:t>43</w:t>
            </w:r>
          </w:p>
        </w:tc>
        <w:tc>
          <w:tcPr>
            <w:tcW w:w="1180" w:type="dxa"/>
            <w:vAlign w:val="bottom"/>
            <w:tcBorders>
              <w:bottom w:val="single" w:sz="8" w:color="0033A0"/>
            </w:tcBorders>
          </w:tcPr>
          <w:p>
            <w:pPr>
              <w:jc w:val="right"/>
              <w:spacing w:after="0"/>
              <w:rPr>
                <w:sz w:val="20"/>
                <w:szCs w:val="20"/>
                <w:color w:val="auto"/>
              </w:rPr>
            </w:pPr>
            <w:r>
              <w:rPr>
                <w:rFonts w:ascii="Arial" w:cs="Arial" w:eastAsia="Arial" w:hAnsi="Arial"/>
                <w:sz w:val="15"/>
                <w:szCs w:val="15"/>
                <w:b w:val="1"/>
                <w:bCs w:val="1"/>
                <w:color w:val="0033A0"/>
              </w:rPr>
              <w:t>50</w:t>
            </w:r>
          </w:p>
        </w:tc>
      </w:tr>
    </w:tbl>
    <w:p>
      <w:pPr>
        <w:spacing w:after="0" w:line="90"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b w:val="1"/>
          <w:bCs w:val="1"/>
          <w:color w:val="0033A0"/>
        </w:rPr>
        <w:t xml:space="preserve">Audit Fees </w:t>
      </w:r>
      <w:r>
        <w:rPr>
          <w:rFonts w:ascii="Arial" w:cs="Arial" w:eastAsia="Arial" w:hAnsi="Arial"/>
          <w:sz w:val="16"/>
          <w:szCs w:val="16"/>
          <w:color w:val="000000"/>
        </w:rPr>
        <w:t>– Includes fees for the integrated audit of the Company’s</w:t>
      </w:r>
      <w:r>
        <w:rPr>
          <w:rFonts w:ascii="Arial" w:cs="Arial" w:eastAsia="Arial" w:hAnsi="Arial"/>
          <w:sz w:val="16"/>
          <w:szCs w:val="16"/>
          <w:b w:val="1"/>
          <w:bCs w:val="1"/>
          <w:color w:val="0033A0"/>
        </w:rPr>
        <w:t xml:space="preserve"> </w:t>
      </w:r>
      <w:r>
        <w:rPr>
          <w:rFonts w:ascii="Arial" w:cs="Arial" w:eastAsia="Arial" w:hAnsi="Arial"/>
          <w:sz w:val="16"/>
          <w:szCs w:val="16"/>
          <w:color w:val="000000"/>
        </w:rPr>
        <w:t>annual consolidated financial statements and attestation of the effectiveness of the Company’s internal controls over financial reporting, including reviews of the interim financial statements contained in the Company’s Quarterly Reports on Form 10-Q and audits of statutory financial statements.</w:t>
      </w:r>
    </w:p>
    <w:p>
      <w:pPr>
        <w:spacing w:after="0" w:line="265"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b w:val="1"/>
          <w:bCs w:val="1"/>
          <w:color w:val="0033A0"/>
        </w:rPr>
        <w:t xml:space="preserve">Audit-Related Fees </w:t>
      </w:r>
      <w:r>
        <w:rPr>
          <w:rFonts w:ascii="Arial" w:cs="Arial" w:eastAsia="Arial" w:hAnsi="Arial"/>
          <w:sz w:val="16"/>
          <w:szCs w:val="16"/>
          <w:color w:val="000000"/>
        </w:rPr>
        <w:t>– Includes fees for assurance and related services</w:t>
      </w:r>
      <w:r>
        <w:rPr>
          <w:rFonts w:ascii="Arial" w:cs="Arial" w:eastAsia="Arial" w:hAnsi="Arial"/>
          <w:sz w:val="16"/>
          <w:szCs w:val="16"/>
          <w:b w:val="1"/>
          <w:bCs w:val="1"/>
          <w:color w:val="0033A0"/>
        </w:rPr>
        <w:t xml:space="preserve"> </w:t>
      </w:r>
      <w:r>
        <w:rPr>
          <w:rFonts w:ascii="Arial" w:cs="Arial" w:eastAsia="Arial" w:hAnsi="Arial"/>
          <w:sz w:val="16"/>
          <w:szCs w:val="16"/>
          <w:color w:val="000000"/>
        </w:rPr>
        <w:t>that are traditionally performed by the independent registered public accounting firm. More specifically, these services include employee benefit plan audits, comfort letters in connection with funding transactions, other attestation services, and consultation concerning financial accounting and reporting standards.</w:t>
      </w:r>
    </w:p>
    <w:p>
      <w:pPr>
        <w:spacing w:after="0" w:line="74"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b w:val="1"/>
          <w:bCs w:val="1"/>
          <w:color w:val="0033A0"/>
        </w:rPr>
        <w:t xml:space="preserve">Tax Fees </w:t>
      </w:r>
      <w:r>
        <w:rPr>
          <w:rFonts w:ascii="Arial" w:cs="Arial" w:eastAsia="Arial" w:hAnsi="Arial"/>
          <w:sz w:val="16"/>
          <w:szCs w:val="16"/>
          <w:color w:val="000000"/>
        </w:rPr>
        <w:t>– Includes fees for tax compliance, tax planning, and tax advice.</w:t>
      </w:r>
      <w:r>
        <w:rPr>
          <w:rFonts w:ascii="Arial" w:cs="Arial" w:eastAsia="Arial" w:hAnsi="Arial"/>
          <w:sz w:val="16"/>
          <w:szCs w:val="16"/>
          <w:b w:val="1"/>
          <w:bCs w:val="1"/>
          <w:color w:val="0033A0"/>
        </w:rPr>
        <w:t xml:space="preserve"> </w:t>
      </w:r>
      <w:r>
        <w:rPr>
          <w:rFonts w:ascii="Arial" w:cs="Arial" w:eastAsia="Arial" w:hAnsi="Arial"/>
          <w:sz w:val="16"/>
          <w:szCs w:val="16"/>
          <w:color w:val="000000"/>
        </w:rPr>
        <w:t>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7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b w:val="1"/>
          <w:bCs w:val="1"/>
          <w:color w:val="0033A0"/>
        </w:rPr>
        <w:t xml:space="preserve">All Other Fees </w:t>
      </w:r>
      <w:r>
        <w:rPr>
          <w:rFonts w:ascii="Arial" w:cs="Arial" w:eastAsia="Arial" w:hAnsi="Arial"/>
          <w:sz w:val="16"/>
          <w:szCs w:val="16"/>
          <w:color w:val="000000"/>
        </w:rPr>
        <w:t>– Includes fees for other advisory services related to risk</w:t>
      </w:r>
      <w:r>
        <w:rPr>
          <w:rFonts w:ascii="Arial" w:cs="Arial" w:eastAsia="Arial" w:hAnsi="Arial"/>
          <w:sz w:val="16"/>
          <w:szCs w:val="16"/>
          <w:b w:val="1"/>
          <w:bCs w:val="1"/>
          <w:color w:val="0033A0"/>
        </w:rPr>
        <w:t xml:space="preserve"> </w:t>
      </w:r>
      <w:r>
        <w:rPr>
          <w:rFonts w:ascii="Arial" w:cs="Arial" w:eastAsia="Arial" w:hAnsi="Arial"/>
          <w:sz w:val="16"/>
          <w:szCs w:val="16"/>
          <w:color w:val="000000"/>
        </w:rPr>
        <w:t>management, contract compliance activities, and product-related data enhancement.</w:t>
      </w:r>
    </w:p>
    <w:p>
      <w:pPr>
        <w:spacing w:after="0" w:line="200"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56"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71</w:t>
      </w:r>
    </w:p>
    <w:p>
      <w:pPr>
        <w:sectPr>
          <w:pgSz w:w="11900" w:h="16838" w:orient="portrait"/>
          <w:cols w:equalWidth="0" w:num="1">
            <w:col w:w="11260"/>
          </w:cols>
          <w:pgMar w:left="240" w:top="459" w:right="3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700"/>
        <w:spacing w:after="0"/>
        <w:rPr>
          <w:sz w:val="20"/>
          <w:szCs w:val="20"/>
          <w:color w:val="auto"/>
        </w:rPr>
      </w:pPr>
      <w:r>
        <w:rPr>
          <w:rFonts w:ascii="Arial" w:cs="Arial" w:eastAsia="Arial" w:hAnsi="Arial"/>
          <w:sz w:val="37"/>
          <w:szCs w:val="37"/>
          <w:b w:val="1"/>
          <w:bCs w:val="1"/>
          <w:color w:val="00A1DF"/>
        </w:rPr>
        <w:t xml:space="preserve">ITEM NO. 4 </w:t>
      </w:r>
      <w:r>
        <w:rPr>
          <w:rFonts w:ascii="Arial" w:cs="Arial" w:eastAsia="Arial" w:hAnsi="Arial"/>
          <w:sz w:val="37"/>
          <w:szCs w:val="37"/>
          <w:color w:val="0033A0"/>
        </w:rPr>
        <w:t>– SHAREHOLDER PROPOSAL REGARDING</w:t>
      </w:r>
    </w:p>
    <w:p>
      <w:pPr>
        <w:spacing w:after="0" w:line="55" w:lineRule="exact"/>
        <w:rPr>
          <w:sz w:val="20"/>
          <w:szCs w:val="20"/>
          <w:color w:val="auto"/>
        </w:rPr>
      </w:pPr>
    </w:p>
    <w:p>
      <w:pPr>
        <w:ind w:left="2620"/>
        <w:spacing w:after="0"/>
        <w:rPr>
          <w:sz w:val="20"/>
          <w:szCs w:val="20"/>
          <w:color w:val="auto"/>
        </w:rPr>
      </w:pPr>
      <w:r>
        <w:rPr>
          <w:rFonts w:ascii="Arial" w:cs="Arial" w:eastAsia="Arial" w:hAnsi="Arial"/>
          <w:sz w:val="38"/>
          <w:szCs w:val="38"/>
          <w:color w:val="0033A0"/>
        </w:rPr>
        <w:t>INDEPENDENT BOARD CHAIRMAN</w:t>
      </w:r>
    </w:p>
    <w:p>
      <w:pPr>
        <w:sectPr>
          <w:pgSz w:w="11900" w:h="16838" w:orient="portrait"/>
          <w:cols w:equalWidth="0" w:num="1">
            <w:col w:w="11240"/>
          </w:cols>
          <w:pgMar w:left="240" w:top="459" w:right="419" w:bottom="1440" w:gutter="0" w:footer="0" w:header="0"/>
        </w:sectPr>
      </w:pPr>
    </w:p>
    <w:p>
      <w:pPr>
        <w:spacing w:after="0" w:line="393" w:lineRule="exact"/>
        <w:rPr>
          <w:sz w:val="20"/>
          <w:szCs w:val="20"/>
          <w:color w:val="auto"/>
        </w:rPr>
      </w:pPr>
    </w:p>
    <w:p>
      <w:pPr>
        <w:jc w:val="both"/>
        <w:ind w:left="220" w:right="20"/>
        <w:spacing w:after="0" w:line="251" w:lineRule="auto"/>
        <w:rPr>
          <w:sz w:val="20"/>
          <w:szCs w:val="20"/>
          <w:color w:val="auto"/>
        </w:rPr>
      </w:pPr>
      <w:r>
        <w:rPr>
          <w:rFonts w:ascii="Arial" w:cs="Arial" w:eastAsia="Arial" w:hAnsi="Arial"/>
          <w:sz w:val="16"/>
          <w:szCs w:val="16"/>
          <w:color w:val="auto"/>
        </w:rPr>
        <w:t>James Dollinger, 6193 Stonegate Parkway, Flint, MI 48532, owner of approximately 50 shares of GM common stock, has given notice that he intends to present for action at the annual meeting the following shareholder proposal:</w:t>
      </w:r>
    </w:p>
    <w:p>
      <w:pPr>
        <w:spacing w:after="0" w:line="9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Shareholders request our Board of Directors to adopt as policy, and amend our governing documents as necessary, to require henceforth that the Chair of the Board of Directors, whenever possible, to be an independent member of the Board. The Board would have the discretion to phase in this policy for the next CEO transition, implemented so it does not violate any existing agreement.</w:t>
      </w:r>
    </w:p>
    <w:p>
      <w:pPr>
        <w:spacing w:after="0" w:line="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If the Board determines that a Chairman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97"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Caterpillar is an example of a company recently changing course and naming an independent board chairman. Caterpillar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had strongly opposed a shareholder proposal for an independent board chairman as recently as its 2016 annual meeting. Wells Fargo also changed course and named an independent board chairman in 2016.</w:t>
      </w:r>
    </w:p>
    <w:p>
      <w:pPr>
        <w:spacing w:after="0" w:line="9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It was reported that 53% of the Standard &amp; Poors 1,500 firms separate these 2 positions (2015 report): Chairman and CEO. This proposal topic won 50%-plus support at 5 major U.S. companies in 2013 including 73%-support at Netflix.</w:t>
      </w:r>
    </w:p>
    <w:p>
      <w:pPr>
        <w:spacing w:after="0" w:line="9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Having a board chairman who is independent of management is a practice that will promote greater management accountability to shareholders and lead to a more objective evaluation of management. This is of the utmost importance since the automobile industry is undergoing the greatest change since 1900. GM cannot afford to get it wrong.</w:t>
      </w:r>
    </w:p>
    <w:p>
      <w:pPr>
        <w:spacing w:after="0" w:line="9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This proposal topic won impressive 41%-support at our 2017 annual meeting. This 41%-support would have been higher (perhaps 45%) if small shareholders had the same access to corporate governance information as large shareholders.</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Please vote to enhance the oversight of our CEO: </w:t>
      </w:r>
      <w:r>
        <w:rPr>
          <w:rFonts w:ascii="Arial" w:cs="Arial" w:eastAsia="Arial" w:hAnsi="Arial"/>
          <w:sz w:val="16"/>
          <w:szCs w:val="16"/>
          <w:b w:val="1"/>
          <w:bCs w:val="1"/>
          <w:color w:val="auto"/>
        </w:rPr>
        <w:t>Independent Board</w:t>
      </w:r>
      <w:r>
        <w:rPr>
          <w:rFonts w:ascii="Arial" w:cs="Arial" w:eastAsia="Arial" w:hAnsi="Arial"/>
          <w:sz w:val="16"/>
          <w:szCs w:val="16"/>
          <w:color w:val="auto"/>
        </w:rPr>
        <w:t xml:space="preserve"> </w:t>
      </w:r>
      <w:r>
        <w:rPr>
          <w:rFonts w:ascii="Arial" w:cs="Arial" w:eastAsia="Arial" w:hAnsi="Arial"/>
          <w:sz w:val="16"/>
          <w:szCs w:val="16"/>
          <w:b w:val="1"/>
          <w:bCs w:val="1"/>
          <w:color w:val="auto"/>
        </w:rPr>
        <w:t>Chairman – Proposal 4</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84"/>
        </w:trPr>
        <w:tc>
          <w:tcPr>
            <w:tcW w:w="40" w:type="dxa"/>
            <w:vAlign w:val="bottom"/>
            <w:tcBorders>
              <w:right w:val="single" w:sz="8" w:color="0033A0"/>
            </w:tcBorders>
          </w:tcPr>
          <w:p>
            <w:pPr>
              <w:spacing w:after="0"/>
              <w:rPr>
                <w:sz w:val="24"/>
                <w:szCs w:val="24"/>
                <w:color w:val="auto"/>
              </w:rPr>
            </w:pPr>
          </w:p>
        </w:tc>
        <w:tc>
          <w:tcPr>
            <w:tcW w:w="120" w:type="dxa"/>
            <w:vAlign w:val="bottom"/>
            <w:tcBorders>
              <w:top w:val="single" w:sz="8" w:color="0033A0"/>
              <w:bottom w:val="single" w:sz="8" w:color="E5E5E5"/>
              <w:right w:val="single" w:sz="8" w:color="E5E5E5"/>
            </w:tcBorders>
            <w:shd w:val="clear" w:color="auto" w:fill="E5E5E5"/>
          </w:tcPr>
          <w:p>
            <w:pPr>
              <w:spacing w:after="0"/>
              <w:rPr>
                <w:sz w:val="24"/>
                <w:szCs w:val="24"/>
                <w:color w:val="auto"/>
              </w:rPr>
            </w:pPr>
          </w:p>
        </w:tc>
        <w:tc>
          <w:tcPr>
            <w:tcW w:w="5060" w:type="dxa"/>
            <w:vAlign w:val="bottom"/>
            <w:tcBorders>
              <w:top w:val="single" w:sz="8" w:color="0033A0"/>
              <w:bottom w:val="single" w:sz="8" w:color="0033A0"/>
              <w:right w:val="single" w:sz="8" w:color="E5E5E5"/>
            </w:tcBorders>
            <w:shd w:val="clear" w:color="auto" w:fill="E5E5E5"/>
          </w:tcPr>
          <w:p>
            <w:pPr>
              <w:spacing w:after="0"/>
              <w:rPr>
                <w:sz w:val="24"/>
                <w:szCs w:val="24"/>
                <w:color w:val="auto"/>
              </w:rPr>
            </w:pPr>
          </w:p>
        </w:tc>
        <w:tc>
          <w:tcPr>
            <w:tcW w:w="240" w:type="dxa"/>
            <w:vAlign w:val="bottom"/>
            <w:tcBorders>
              <w:top w:val="single" w:sz="8" w:color="0033A0"/>
              <w:bottom w:val="single" w:sz="8" w:color="E5E5E5"/>
            </w:tcBorders>
            <w:shd w:val="clear" w:color="auto" w:fill="E5E5E5"/>
          </w:tcPr>
          <w:p>
            <w:pPr>
              <w:spacing w:after="0"/>
              <w:rPr>
                <w:sz w:val="24"/>
                <w:szCs w:val="24"/>
                <w:color w:val="auto"/>
              </w:rPr>
            </w:pPr>
          </w:p>
        </w:tc>
        <w:tc>
          <w:tcPr>
            <w:tcW w:w="980" w:type="dxa"/>
            <w:vAlign w:val="bottom"/>
            <w:tcBorders>
              <w:top w:val="single" w:sz="8" w:color="0033A0"/>
              <w:bottom w:val="single" w:sz="8" w:color="0033A0"/>
            </w:tcBorders>
            <w:vMerge w:val="restart"/>
            <w:shd w:val="clear" w:color="auto" w:fill="E5E5E5"/>
          </w:tcPr>
          <w:p>
            <w:pPr>
              <w:ind w:left="160"/>
              <w:spacing w:after="0"/>
              <w:rPr>
                <w:sz w:val="20"/>
                <w:szCs w:val="20"/>
                <w:color w:val="auto"/>
              </w:rPr>
            </w:pPr>
            <w:r>
              <w:rPr>
                <w:rFonts w:ascii="Arial" w:cs="Arial" w:eastAsia="Arial" w:hAnsi="Arial"/>
                <w:sz w:val="16"/>
                <w:szCs w:val="16"/>
                <w:color w:val="auto"/>
              </w:rPr>
              <w:t>leadership</w:t>
            </w:r>
          </w:p>
        </w:tc>
        <w:tc>
          <w:tcPr>
            <w:tcW w:w="1040" w:type="dxa"/>
            <w:vAlign w:val="bottom"/>
            <w:tcBorders>
              <w:top w:val="single" w:sz="8" w:color="0033A0"/>
              <w:bottom w:val="single" w:sz="8" w:color="0033A0"/>
            </w:tcBorders>
            <w:gridSpan w:val="3"/>
            <w:vMerge w:val="restart"/>
            <w:shd w:val="clear" w:color="auto" w:fill="E5E5E5"/>
          </w:tcPr>
          <w:p>
            <w:pPr>
              <w:jc w:val="right"/>
              <w:spacing w:after="0"/>
              <w:rPr>
                <w:sz w:val="20"/>
                <w:szCs w:val="20"/>
                <w:color w:val="auto"/>
              </w:rPr>
            </w:pPr>
            <w:r>
              <w:rPr>
                <w:rFonts w:ascii="Arial" w:cs="Arial" w:eastAsia="Arial" w:hAnsi="Arial"/>
                <w:sz w:val="16"/>
                <w:szCs w:val="16"/>
                <w:color w:val="auto"/>
              </w:rPr>
              <w:t>structure that</w:t>
            </w:r>
          </w:p>
        </w:tc>
        <w:tc>
          <w:tcPr>
            <w:tcW w:w="160" w:type="dxa"/>
            <w:vAlign w:val="bottom"/>
            <w:tcBorders>
              <w:top w:val="single" w:sz="8" w:color="0033A0"/>
              <w:bottom w:val="single" w:sz="8" w:color="0033A0"/>
            </w:tcBorders>
            <w:vMerge w:val="restart"/>
            <w:shd w:val="clear" w:color="auto" w:fill="E5E5E5"/>
          </w:tcPr>
          <w:p>
            <w:pPr>
              <w:ind w:left="60"/>
              <w:spacing w:after="0"/>
              <w:rPr>
                <w:sz w:val="20"/>
                <w:szCs w:val="20"/>
                <w:color w:val="auto"/>
              </w:rPr>
            </w:pPr>
            <w:r>
              <w:rPr>
                <w:rFonts w:ascii="Arial" w:cs="Arial" w:eastAsia="Arial" w:hAnsi="Arial"/>
                <w:sz w:val="16"/>
                <w:szCs w:val="16"/>
                <w:color w:val="auto"/>
                <w:w w:val="99"/>
              </w:rPr>
              <w:t>it</w:t>
            </w:r>
          </w:p>
        </w:tc>
        <w:tc>
          <w:tcPr>
            <w:tcW w:w="740" w:type="dxa"/>
            <w:vAlign w:val="bottom"/>
            <w:tcBorders>
              <w:top w:val="single" w:sz="8" w:color="0033A0"/>
              <w:bottom w:val="single" w:sz="8" w:color="0033A0"/>
            </w:tcBorders>
            <w:gridSpan w:val="2"/>
            <w:vMerge w:val="restart"/>
            <w:shd w:val="clear" w:color="auto" w:fill="E5E5E5"/>
          </w:tcPr>
          <w:p>
            <w:pPr>
              <w:jc w:val="center"/>
              <w:spacing w:after="0"/>
              <w:rPr>
                <w:sz w:val="20"/>
                <w:szCs w:val="20"/>
                <w:color w:val="auto"/>
              </w:rPr>
            </w:pPr>
            <w:r>
              <w:rPr>
                <w:rFonts w:ascii="Arial" w:cs="Arial" w:eastAsia="Arial" w:hAnsi="Arial"/>
                <w:sz w:val="16"/>
                <w:szCs w:val="16"/>
                <w:color w:val="auto"/>
                <w:w w:val="98"/>
              </w:rPr>
              <w:t>believes</w:t>
            </w:r>
          </w:p>
        </w:tc>
        <w:tc>
          <w:tcPr>
            <w:tcW w:w="500" w:type="dxa"/>
            <w:vAlign w:val="bottom"/>
            <w:tcBorders>
              <w:top w:val="single" w:sz="8" w:color="0033A0"/>
              <w:bottom w:val="single" w:sz="8" w:color="0033A0"/>
            </w:tcBorders>
            <w:vMerge w:val="restart"/>
            <w:shd w:val="clear" w:color="auto" w:fill="E5E5E5"/>
          </w:tcPr>
          <w:p>
            <w:pPr>
              <w:ind w:left="20"/>
              <w:spacing w:after="0"/>
              <w:rPr>
                <w:sz w:val="20"/>
                <w:szCs w:val="20"/>
                <w:color w:val="auto"/>
              </w:rPr>
            </w:pPr>
            <w:r>
              <w:rPr>
                <w:rFonts w:ascii="Arial" w:cs="Arial" w:eastAsia="Arial" w:hAnsi="Arial"/>
                <w:sz w:val="16"/>
                <w:szCs w:val="16"/>
                <w:color w:val="auto"/>
                <w:w w:val="97"/>
              </w:rPr>
              <w:t>serves</w:t>
            </w:r>
          </w:p>
        </w:tc>
        <w:tc>
          <w:tcPr>
            <w:tcW w:w="1440" w:type="dxa"/>
            <w:vAlign w:val="bottom"/>
            <w:tcBorders>
              <w:top w:val="single" w:sz="8" w:color="0033A0"/>
              <w:bottom w:val="single" w:sz="8" w:color="0033A0"/>
            </w:tcBorders>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the best interests</w:t>
            </w:r>
          </w:p>
        </w:tc>
        <w:tc>
          <w:tcPr>
            <w:tcW w:w="700" w:type="dxa"/>
            <w:vAlign w:val="bottom"/>
            <w:tcBorders>
              <w:top w:val="single" w:sz="8" w:color="0033A0"/>
              <w:bottom w:val="single" w:sz="8" w:color="0033A0"/>
              <w:right w:val="single" w:sz="8" w:color="0033A0"/>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auto"/>
              </w:rPr>
              <w:t>of the</w:t>
            </w:r>
          </w:p>
        </w:tc>
        <w:tc>
          <w:tcPr>
            <w:tcW w:w="20" w:type="dxa"/>
            <w:vAlign w:val="bottom"/>
            <w:tcBorders>
              <w:top w:val="single" w:sz="8" w:color="E5E5E5"/>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0033A0"/>
            </w:tcBorders>
            <w:shd w:val="clear" w:color="auto" w:fill="E5E5E5"/>
          </w:tcPr>
          <w:p>
            <w:pPr>
              <w:spacing w:after="0"/>
              <w:rPr>
                <w:sz w:val="11"/>
                <w:szCs w:val="11"/>
                <w:color w:val="auto"/>
              </w:rPr>
            </w:pPr>
          </w:p>
        </w:tc>
        <w:tc>
          <w:tcPr>
            <w:tcW w:w="5060" w:type="dxa"/>
            <w:vAlign w:val="bottom"/>
            <w:tcBorders>
              <w:right w:val="single" w:sz="8" w:color="0033A0"/>
            </w:tcBorders>
            <w:vMerge w:val="restart"/>
            <w:shd w:val="clear" w:color="auto" w:fill="E5E5E5"/>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Board should have the flexibility and is in the best position</w:t>
            </w:r>
          </w:p>
        </w:tc>
        <w:tc>
          <w:tcPr>
            <w:tcW w:w="240" w:type="dxa"/>
            <w:vAlign w:val="bottom"/>
            <w:shd w:val="clear" w:color="auto" w:fill="E5E5E5"/>
          </w:tcPr>
          <w:p>
            <w:pPr>
              <w:spacing w:after="0"/>
              <w:rPr>
                <w:sz w:val="11"/>
                <w:szCs w:val="11"/>
                <w:color w:val="auto"/>
              </w:rPr>
            </w:pPr>
          </w:p>
        </w:tc>
        <w:tc>
          <w:tcPr>
            <w:tcW w:w="980" w:type="dxa"/>
            <w:vAlign w:val="bottom"/>
            <w:vMerge w:val="continue"/>
            <w:shd w:val="clear" w:color="auto" w:fill="E5E5E5"/>
          </w:tcPr>
          <w:p>
            <w:pPr>
              <w:spacing w:after="0"/>
              <w:rPr>
                <w:sz w:val="11"/>
                <w:szCs w:val="11"/>
                <w:color w:val="auto"/>
              </w:rPr>
            </w:pPr>
          </w:p>
        </w:tc>
        <w:tc>
          <w:tcPr>
            <w:tcW w:w="1040" w:type="dxa"/>
            <w:vAlign w:val="bottom"/>
            <w:gridSpan w:val="3"/>
            <w:vMerge w:val="continue"/>
            <w:shd w:val="clear" w:color="auto" w:fill="E5E5E5"/>
          </w:tcPr>
          <w:p>
            <w:pPr>
              <w:spacing w:after="0"/>
              <w:rPr>
                <w:sz w:val="11"/>
                <w:szCs w:val="11"/>
                <w:color w:val="auto"/>
              </w:rPr>
            </w:pPr>
          </w:p>
        </w:tc>
        <w:tc>
          <w:tcPr>
            <w:tcW w:w="160" w:type="dxa"/>
            <w:vAlign w:val="bottom"/>
            <w:vMerge w:val="continue"/>
            <w:shd w:val="clear" w:color="auto" w:fill="E5E5E5"/>
          </w:tcPr>
          <w:p>
            <w:pPr>
              <w:spacing w:after="0"/>
              <w:rPr>
                <w:sz w:val="11"/>
                <w:szCs w:val="11"/>
                <w:color w:val="auto"/>
              </w:rPr>
            </w:pPr>
          </w:p>
        </w:tc>
        <w:tc>
          <w:tcPr>
            <w:tcW w:w="740" w:type="dxa"/>
            <w:vAlign w:val="bottom"/>
            <w:gridSpan w:val="2"/>
            <w:vMerge w:val="continue"/>
            <w:shd w:val="clear" w:color="auto" w:fill="E5E5E5"/>
          </w:tcPr>
          <w:p>
            <w:pPr>
              <w:spacing w:after="0"/>
              <w:rPr>
                <w:sz w:val="11"/>
                <w:szCs w:val="11"/>
                <w:color w:val="auto"/>
              </w:rPr>
            </w:pPr>
          </w:p>
        </w:tc>
        <w:tc>
          <w:tcPr>
            <w:tcW w:w="500" w:type="dxa"/>
            <w:vAlign w:val="bottom"/>
            <w:vMerge w:val="continue"/>
            <w:shd w:val="clear" w:color="auto" w:fill="E5E5E5"/>
          </w:tcPr>
          <w:p>
            <w:pPr>
              <w:spacing w:after="0"/>
              <w:rPr>
                <w:sz w:val="11"/>
                <w:szCs w:val="11"/>
                <w:color w:val="auto"/>
              </w:rPr>
            </w:pPr>
          </w:p>
        </w:tc>
        <w:tc>
          <w:tcPr>
            <w:tcW w:w="1440" w:type="dxa"/>
            <w:vAlign w:val="bottom"/>
            <w:gridSpan w:val="2"/>
            <w:vMerge w:val="continue"/>
            <w:shd w:val="clear" w:color="auto" w:fill="E5E5E5"/>
          </w:tcPr>
          <w:p>
            <w:pPr>
              <w:spacing w:after="0"/>
              <w:rPr>
                <w:sz w:val="11"/>
                <w:szCs w:val="11"/>
                <w:color w:val="auto"/>
              </w:rPr>
            </w:pPr>
          </w:p>
        </w:tc>
        <w:tc>
          <w:tcPr>
            <w:tcW w:w="700" w:type="dxa"/>
            <w:vAlign w:val="bottom"/>
            <w:tcBorders>
              <w:right w:val="single" w:sz="8" w:color="0033A0"/>
            </w:tcBorders>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0033A0"/>
            </w:tcBorders>
            <w:shd w:val="clear" w:color="auto" w:fill="E5E5E5"/>
          </w:tcPr>
          <w:p>
            <w:pPr>
              <w:spacing w:after="0"/>
              <w:rPr>
                <w:sz w:val="11"/>
                <w:szCs w:val="11"/>
                <w:color w:val="auto"/>
              </w:rPr>
            </w:pPr>
          </w:p>
        </w:tc>
        <w:tc>
          <w:tcPr>
            <w:tcW w:w="5060" w:type="dxa"/>
            <w:vAlign w:val="bottom"/>
            <w:tcBorders>
              <w:right w:val="single" w:sz="8" w:color="0033A0"/>
            </w:tcBorders>
            <w:vMerge w:val="continue"/>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2560" w:type="dxa"/>
            <w:vAlign w:val="bottom"/>
            <w:gridSpan w:val="6"/>
            <w:vMerge w:val="restart"/>
            <w:shd w:val="clear" w:color="auto" w:fill="E5E5E5"/>
          </w:tcPr>
          <w:p>
            <w:pPr>
              <w:ind w:left="160"/>
              <w:spacing w:after="0"/>
              <w:rPr>
                <w:sz w:val="20"/>
                <w:szCs w:val="20"/>
                <w:color w:val="auto"/>
              </w:rPr>
            </w:pPr>
            <w:r>
              <w:rPr>
                <w:rFonts w:ascii="Arial" w:cs="Arial" w:eastAsia="Arial" w:hAnsi="Arial"/>
                <w:sz w:val="16"/>
                <w:szCs w:val="16"/>
                <w:color w:val="auto"/>
              </w:rPr>
              <w:t>Company and its shareholders.</w:t>
            </w:r>
          </w:p>
        </w:tc>
        <w:tc>
          <w:tcPr>
            <w:tcW w:w="36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700" w:type="dxa"/>
            <w:vAlign w:val="bottom"/>
            <w:tcBorders>
              <w:right w:val="single" w:sz="8" w:color="0033A0"/>
            </w:tcBorders>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0033A0"/>
            </w:tcBorders>
          </w:tcPr>
          <w:p>
            <w:pPr>
              <w:spacing w:after="0"/>
              <w:rPr>
                <w:sz w:val="5"/>
                <w:szCs w:val="5"/>
                <w:color w:val="auto"/>
              </w:rPr>
            </w:pPr>
          </w:p>
        </w:tc>
        <w:tc>
          <w:tcPr>
            <w:tcW w:w="120" w:type="dxa"/>
            <w:vAlign w:val="bottom"/>
            <w:tcBorders>
              <w:right w:val="single" w:sz="8" w:color="0033A0"/>
            </w:tcBorders>
            <w:shd w:val="clear" w:color="auto" w:fill="E5E5E5"/>
          </w:tcPr>
          <w:p>
            <w:pPr>
              <w:spacing w:after="0"/>
              <w:rPr>
                <w:sz w:val="5"/>
                <w:szCs w:val="5"/>
                <w:color w:val="auto"/>
              </w:rPr>
            </w:pPr>
          </w:p>
        </w:tc>
        <w:tc>
          <w:tcPr>
            <w:tcW w:w="5060" w:type="dxa"/>
            <w:vAlign w:val="bottom"/>
            <w:tcBorders>
              <w:right w:val="single" w:sz="8" w:color="0033A0"/>
            </w:tcBorders>
            <w:vMerge w:val="restart"/>
            <w:shd w:val="clear" w:color="auto" w:fill="E5E5E5"/>
          </w:tcPr>
          <w:p>
            <w:pPr>
              <w:ind w:left="340"/>
              <w:spacing w:after="0"/>
              <w:rPr>
                <w:sz w:val="20"/>
                <w:szCs w:val="20"/>
                <w:color w:val="auto"/>
              </w:rPr>
            </w:pPr>
            <w:r>
              <w:rPr>
                <w:rFonts w:ascii="Arial" w:cs="Arial" w:eastAsia="Arial" w:hAnsi="Arial"/>
                <w:sz w:val="16"/>
                <w:szCs w:val="16"/>
                <w:color w:val="auto"/>
              </w:rPr>
              <w:t>to decide who should serve as its Chairman.</w:t>
            </w:r>
          </w:p>
        </w:tc>
        <w:tc>
          <w:tcPr>
            <w:tcW w:w="240" w:type="dxa"/>
            <w:vAlign w:val="bottom"/>
            <w:shd w:val="clear" w:color="auto" w:fill="E5E5E5"/>
          </w:tcPr>
          <w:p>
            <w:pPr>
              <w:spacing w:after="0"/>
              <w:rPr>
                <w:sz w:val="5"/>
                <w:szCs w:val="5"/>
                <w:color w:val="auto"/>
              </w:rPr>
            </w:pPr>
          </w:p>
        </w:tc>
        <w:tc>
          <w:tcPr>
            <w:tcW w:w="2560" w:type="dxa"/>
            <w:vAlign w:val="bottom"/>
            <w:gridSpan w:val="6"/>
            <w:vMerge w:val="continue"/>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500" w:type="dxa"/>
            <w:vAlign w:val="bottom"/>
            <w:shd w:val="clear" w:color="auto" w:fill="E5E5E5"/>
          </w:tcPr>
          <w:p>
            <w:pPr>
              <w:spacing w:after="0"/>
              <w:rPr>
                <w:sz w:val="5"/>
                <w:szCs w:val="5"/>
                <w:color w:val="auto"/>
              </w:rPr>
            </w:pPr>
          </w:p>
        </w:tc>
        <w:tc>
          <w:tcPr>
            <w:tcW w:w="500" w:type="dxa"/>
            <w:vAlign w:val="bottom"/>
            <w:shd w:val="clear" w:color="auto" w:fill="E5E5E5"/>
          </w:tcPr>
          <w:p>
            <w:pPr>
              <w:spacing w:after="0"/>
              <w:rPr>
                <w:sz w:val="5"/>
                <w:szCs w:val="5"/>
                <w:color w:val="auto"/>
              </w:rPr>
            </w:pPr>
          </w:p>
        </w:tc>
        <w:tc>
          <w:tcPr>
            <w:tcW w:w="940" w:type="dxa"/>
            <w:vAlign w:val="bottom"/>
            <w:shd w:val="clear" w:color="auto" w:fill="E5E5E5"/>
          </w:tcPr>
          <w:p>
            <w:pPr>
              <w:spacing w:after="0"/>
              <w:rPr>
                <w:sz w:val="5"/>
                <w:szCs w:val="5"/>
                <w:color w:val="auto"/>
              </w:rPr>
            </w:pPr>
          </w:p>
        </w:tc>
        <w:tc>
          <w:tcPr>
            <w:tcW w:w="700" w:type="dxa"/>
            <w:vAlign w:val="bottom"/>
            <w:tcBorders>
              <w:right w:val="single" w:sz="8" w:color="0033A0"/>
            </w:tcBorders>
            <w:shd w:val="clear" w:color="auto" w:fill="E5E5E5"/>
          </w:tcPr>
          <w:p>
            <w:pPr>
              <w:spacing w:after="0"/>
              <w:rPr>
                <w:sz w:val="5"/>
                <w:szCs w:val="5"/>
                <w:color w:val="auto"/>
              </w:rPr>
            </w:pPr>
          </w:p>
        </w:tc>
        <w:tc>
          <w:tcPr>
            <w:tcW w:w="2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0033A0"/>
            </w:tcBorders>
            <w:shd w:val="clear" w:color="auto" w:fill="E5E5E5"/>
          </w:tcPr>
          <w:p>
            <w:pPr>
              <w:spacing w:after="0"/>
              <w:rPr>
                <w:sz w:val="11"/>
                <w:szCs w:val="11"/>
                <w:color w:val="auto"/>
              </w:rPr>
            </w:pPr>
          </w:p>
        </w:tc>
        <w:tc>
          <w:tcPr>
            <w:tcW w:w="5060" w:type="dxa"/>
            <w:vAlign w:val="bottom"/>
            <w:tcBorders>
              <w:right w:val="single" w:sz="8" w:color="0033A0"/>
            </w:tcBorders>
            <w:vMerge w:val="continue"/>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Your Board evaluates its leadership structure annually. This review will</w:t>
            </w: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0033A0"/>
            </w:tcBorders>
          </w:tcPr>
          <w:p>
            <w:pPr>
              <w:spacing w:after="0"/>
              <w:rPr>
                <w:sz w:val="13"/>
                <w:szCs w:val="13"/>
                <w:color w:val="auto"/>
              </w:rPr>
            </w:pPr>
          </w:p>
        </w:tc>
        <w:tc>
          <w:tcPr>
            <w:tcW w:w="120" w:type="dxa"/>
            <w:vAlign w:val="bottom"/>
            <w:tcBorders>
              <w:right w:val="single" w:sz="8" w:color="0033A0"/>
            </w:tcBorders>
            <w:shd w:val="clear" w:color="auto" w:fill="E5E5E5"/>
          </w:tcPr>
          <w:p>
            <w:pPr>
              <w:spacing w:after="0"/>
              <w:rPr>
                <w:sz w:val="13"/>
                <w:szCs w:val="13"/>
                <w:color w:val="auto"/>
              </w:rPr>
            </w:pPr>
          </w:p>
        </w:tc>
        <w:tc>
          <w:tcPr>
            <w:tcW w:w="5060" w:type="dxa"/>
            <w:vAlign w:val="bottom"/>
            <w:tcBorders>
              <w:right w:val="single" w:sz="8" w:color="0033A0"/>
            </w:tcBorders>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560" w:type="dxa"/>
            <w:vAlign w:val="bottom"/>
            <w:tcBorders>
              <w:right w:val="single" w:sz="8" w:color="0033A0"/>
            </w:tcBorders>
            <w:gridSpan w:val="11"/>
            <w:vMerge w:val="continue"/>
            <w:shd w:val="clear" w:color="auto" w:fill="E5E5E5"/>
          </w:tcPr>
          <w:p>
            <w:pPr>
              <w:spacing w:after="0"/>
              <w:rPr>
                <w:sz w:val="13"/>
                <w:szCs w:val="13"/>
                <w:color w:val="auto"/>
              </w:rPr>
            </w:pPr>
          </w:p>
        </w:tc>
        <w:tc>
          <w:tcPr>
            <w:tcW w:w="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0033A0"/>
            </w:tcBorders>
            <w:shd w:val="clear" w:color="auto" w:fill="E5E5E5"/>
          </w:tcPr>
          <w:p>
            <w:pPr>
              <w:spacing w:after="0"/>
              <w:rPr>
                <w:sz w:val="16"/>
                <w:szCs w:val="16"/>
                <w:color w:val="auto"/>
              </w:rPr>
            </w:pPr>
          </w:p>
        </w:tc>
        <w:tc>
          <w:tcPr>
            <w:tcW w:w="5060" w:type="dxa"/>
            <w:vAlign w:val="bottom"/>
            <w:tcBorders>
              <w:right w:val="single" w:sz="8" w:color="0033A0"/>
            </w:tcBorders>
            <w:vMerge w:val="restart"/>
            <w:shd w:val="clear" w:color="auto" w:fill="E5E5E5"/>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Ms. Barra’s service as Chairman provides a clear and unified</w:t>
            </w:r>
          </w:p>
        </w:tc>
        <w:tc>
          <w:tcPr>
            <w:tcW w:w="240" w:type="dxa"/>
            <w:vAlign w:val="bottom"/>
            <w:shd w:val="clear" w:color="auto" w:fill="E5E5E5"/>
          </w:tcPr>
          <w:p>
            <w:pPr>
              <w:spacing w:after="0"/>
              <w:rPr>
                <w:sz w:val="16"/>
                <w:szCs w:val="16"/>
                <w:color w:val="auto"/>
              </w:rPr>
            </w:pPr>
          </w:p>
        </w:tc>
        <w:tc>
          <w:tcPr>
            <w:tcW w:w="5560" w:type="dxa"/>
            <w:vAlign w:val="bottom"/>
            <w:tcBorders>
              <w:right w:val="single" w:sz="8" w:color="0033A0"/>
            </w:tcBorders>
            <w:gridSpan w:val="11"/>
            <w:shd w:val="clear" w:color="auto" w:fill="E5E5E5"/>
          </w:tcPr>
          <w:p>
            <w:pPr>
              <w:ind w:left="160"/>
              <w:spacing w:after="0"/>
              <w:rPr>
                <w:sz w:val="20"/>
                <w:szCs w:val="20"/>
                <w:color w:val="auto"/>
              </w:rPr>
            </w:pPr>
            <w:r>
              <w:rPr>
                <w:rFonts w:ascii="Arial" w:cs="Arial" w:eastAsia="Arial" w:hAnsi="Arial"/>
                <w:sz w:val="16"/>
                <w:szCs w:val="16"/>
                <w:color w:val="auto"/>
              </w:rPr>
              <w:t>also occur in connection with any future CEO transition. Although your</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Borders>
              <w:right w:val="single" w:sz="8" w:color="0033A0"/>
            </w:tcBorders>
          </w:tcPr>
          <w:p>
            <w:pPr>
              <w:spacing w:after="0"/>
              <w:rPr>
                <w:sz w:val="6"/>
                <w:szCs w:val="6"/>
                <w:color w:val="auto"/>
              </w:rPr>
            </w:pPr>
          </w:p>
        </w:tc>
        <w:tc>
          <w:tcPr>
            <w:tcW w:w="120" w:type="dxa"/>
            <w:vAlign w:val="bottom"/>
            <w:tcBorders>
              <w:right w:val="single" w:sz="8" w:color="0033A0"/>
            </w:tcBorders>
            <w:shd w:val="clear" w:color="auto" w:fill="E5E5E5"/>
          </w:tcPr>
          <w:p>
            <w:pPr>
              <w:spacing w:after="0"/>
              <w:rPr>
                <w:sz w:val="6"/>
                <w:szCs w:val="6"/>
                <w:color w:val="auto"/>
              </w:rPr>
            </w:pPr>
          </w:p>
        </w:tc>
        <w:tc>
          <w:tcPr>
            <w:tcW w:w="5060" w:type="dxa"/>
            <w:vAlign w:val="bottom"/>
            <w:tcBorders>
              <w:right w:val="single" w:sz="8" w:color="0033A0"/>
            </w:tcBorders>
            <w:vMerge w:val="continue"/>
            <w:shd w:val="clear" w:color="auto" w:fill="E5E5E5"/>
          </w:tcPr>
          <w:p>
            <w:pPr>
              <w:spacing w:after="0"/>
              <w:rPr>
                <w:sz w:val="6"/>
                <w:szCs w:val="6"/>
                <w:color w:val="auto"/>
              </w:rPr>
            </w:pPr>
          </w:p>
        </w:tc>
        <w:tc>
          <w:tcPr>
            <w:tcW w:w="240" w:type="dxa"/>
            <w:vAlign w:val="bottom"/>
            <w:shd w:val="clear" w:color="auto" w:fill="E5E5E5"/>
          </w:tcPr>
          <w:p>
            <w:pPr>
              <w:spacing w:after="0"/>
              <w:rPr>
                <w:sz w:val="6"/>
                <w:szCs w:val="6"/>
                <w:color w:val="auto"/>
              </w:rPr>
            </w:pPr>
          </w:p>
        </w:tc>
        <w:tc>
          <w:tcPr>
            <w:tcW w:w="980" w:type="dxa"/>
            <w:vAlign w:val="bottom"/>
            <w:vMerge w:val="restart"/>
            <w:shd w:val="clear" w:color="auto" w:fill="E5E5E5"/>
          </w:tcPr>
          <w:p>
            <w:pPr>
              <w:ind w:left="160"/>
              <w:spacing w:after="0"/>
              <w:rPr>
                <w:sz w:val="20"/>
                <w:szCs w:val="20"/>
                <w:color w:val="auto"/>
              </w:rPr>
            </w:pPr>
            <w:r>
              <w:rPr>
                <w:rFonts w:ascii="Arial" w:cs="Arial" w:eastAsia="Arial" w:hAnsi="Arial"/>
                <w:sz w:val="16"/>
                <w:szCs w:val="16"/>
                <w:color w:val="auto"/>
              </w:rPr>
              <w:t>Board has</w:t>
            </w:r>
          </w:p>
        </w:tc>
        <w:tc>
          <w:tcPr>
            <w:tcW w:w="92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color w:val="auto"/>
              </w:rPr>
              <w:t>in the past,</w:t>
            </w:r>
          </w:p>
        </w:tc>
        <w:tc>
          <w:tcPr>
            <w:tcW w:w="1520" w:type="dxa"/>
            <w:vAlign w:val="bottom"/>
            <w:gridSpan w:val="5"/>
            <w:vMerge w:val="restart"/>
            <w:shd w:val="clear" w:color="auto" w:fill="E5E5E5"/>
          </w:tcPr>
          <w:p>
            <w:pPr>
              <w:ind w:left="100"/>
              <w:spacing w:after="0"/>
              <w:rPr>
                <w:sz w:val="20"/>
                <w:szCs w:val="20"/>
                <w:color w:val="auto"/>
              </w:rPr>
            </w:pPr>
            <w:r>
              <w:rPr>
                <w:rFonts w:ascii="Arial" w:cs="Arial" w:eastAsia="Arial" w:hAnsi="Arial"/>
                <w:sz w:val="16"/>
                <w:szCs w:val="16"/>
                <w:color w:val="auto"/>
              </w:rPr>
              <w:t>and may again in</w:t>
            </w:r>
          </w:p>
        </w:tc>
        <w:tc>
          <w:tcPr>
            <w:tcW w:w="2140" w:type="dxa"/>
            <w:vAlign w:val="bottom"/>
            <w:tcBorders>
              <w:right w:val="single" w:sz="8" w:color="0033A0"/>
            </w:tcBorders>
            <w:gridSpan w:val="3"/>
            <w:vMerge w:val="restart"/>
            <w:shd w:val="clear" w:color="auto" w:fill="E5E5E5"/>
          </w:tcPr>
          <w:p>
            <w:pPr>
              <w:jc w:val="center"/>
              <w:ind w:right="79"/>
              <w:spacing w:after="0"/>
              <w:rPr>
                <w:sz w:val="20"/>
                <w:szCs w:val="20"/>
                <w:color w:val="auto"/>
              </w:rPr>
            </w:pPr>
            <w:r>
              <w:rPr>
                <w:rFonts w:ascii="Arial" w:cs="Arial" w:eastAsia="Arial" w:hAnsi="Arial"/>
                <w:sz w:val="16"/>
                <w:szCs w:val="16"/>
                <w:color w:val="auto"/>
              </w:rPr>
              <w:t>the future, determine that</w:t>
            </w:r>
          </w:p>
        </w:tc>
        <w:tc>
          <w:tcPr>
            <w:tcW w:w="2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0033A0"/>
            </w:tcBorders>
          </w:tcPr>
          <w:p>
            <w:pPr>
              <w:spacing w:after="0"/>
              <w:rPr>
                <w:sz w:val="10"/>
                <w:szCs w:val="10"/>
                <w:color w:val="auto"/>
              </w:rPr>
            </w:pPr>
          </w:p>
        </w:tc>
        <w:tc>
          <w:tcPr>
            <w:tcW w:w="120" w:type="dxa"/>
            <w:vAlign w:val="bottom"/>
            <w:tcBorders>
              <w:right w:val="single" w:sz="8" w:color="0033A0"/>
            </w:tcBorders>
            <w:shd w:val="clear" w:color="auto" w:fill="E5E5E5"/>
          </w:tcPr>
          <w:p>
            <w:pPr>
              <w:spacing w:after="0"/>
              <w:rPr>
                <w:sz w:val="10"/>
                <w:szCs w:val="10"/>
                <w:color w:val="auto"/>
              </w:rPr>
            </w:pPr>
          </w:p>
        </w:tc>
        <w:tc>
          <w:tcPr>
            <w:tcW w:w="5060" w:type="dxa"/>
            <w:vAlign w:val="bottom"/>
            <w:tcBorders>
              <w:right w:val="single" w:sz="8" w:color="0033A0"/>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auto"/>
              </w:rPr>
              <w:t>strategic vision for GM that fosters a nimble and responsive</w:t>
            </w:r>
          </w:p>
        </w:tc>
        <w:tc>
          <w:tcPr>
            <w:tcW w:w="240" w:type="dxa"/>
            <w:vAlign w:val="bottom"/>
            <w:shd w:val="clear" w:color="auto" w:fill="E5E5E5"/>
          </w:tcPr>
          <w:p>
            <w:pPr>
              <w:spacing w:after="0"/>
              <w:rPr>
                <w:sz w:val="10"/>
                <w:szCs w:val="10"/>
                <w:color w:val="auto"/>
              </w:rPr>
            </w:pPr>
          </w:p>
        </w:tc>
        <w:tc>
          <w:tcPr>
            <w:tcW w:w="980" w:type="dxa"/>
            <w:vAlign w:val="bottom"/>
            <w:vMerge w:val="continue"/>
            <w:shd w:val="clear" w:color="auto" w:fill="E5E5E5"/>
          </w:tcPr>
          <w:p>
            <w:pPr>
              <w:spacing w:after="0"/>
              <w:rPr>
                <w:sz w:val="10"/>
                <w:szCs w:val="10"/>
                <w:color w:val="auto"/>
              </w:rPr>
            </w:pPr>
          </w:p>
        </w:tc>
        <w:tc>
          <w:tcPr>
            <w:tcW w:w="920" w:type="dxa"/>
            <w:vAlign w:val="bottom"/>
            <w:gridSpan w:val="2"/>
            <w:vMerge w:val="continue"/>
            <w:shd w:val="clear" w:color="auto" w:fill="E5E5E5"/>
          </w:tcPr>
          <w:p>
            <w:pPr>
              <w:spacing w:after="0"/>
              <w:rPr>
                <w:sz w:val="10"/>
                <w:szCs w:val="10"/>
                <w:color w:val="auto"/>
              </w:rPr>
            </w:pPr>
          </w:p>
        </w:tc>
        <w:tc>
          <w:tcPr>
            <w:tcW w:w="1520" w:type="dxa"/>
            <w:vAlign w:val="bottom"/>
            <w:gridSpan w:val="5"/>
            <w:vMerge w:val="continue"/>
            <w:shd w:val="clear" w:color="auto" w:fill="E5E5E5"/>
          </w:tcPr>
          <w:p>
            <w:pPr>
              <w:spacing w:after="0"/>
              <w:rPr>
                <w:sz w:val="10"/>
                <w:szCs w:val="10"/>
                <w:color w:val="auto"/>
              </w:rPr>
            </w:pPr>
          </w:p>
        </w:tc>
        <w:tc>
          <w:tcPr>
            <w:tcW w:w="2140" w:type="dxa"/>
            <w:vAlign w:val="bottom"/>
            <w:tcBorders>
              <w:right w:val="single" w:sz="8" w:color="0033A0"/>
            </w:tcBorders>
            <w:gridSpan w:val="3"/>
            <w:vMerge w:val="continue"/>
            <w:shd w:val="clear" w:color="auto" w:fill="E5E5E5"/>
          </w:tcPr>
          <w:p>
            <w:pPr>
              <w:spacing w:after="0"/>
              <w:rPr>
                <w:sz w:val="10"/>
                <w:szCs w:val="10"/>
                <w:color w:val="auto"/>
              </w:rPr>
            </w:pPr>
          </w:p>
        </w:tc>
        <w:tc>
          <w:tcPr>
            <w:tcW w:w="2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0033A0"/>
            </w:tcBorders>
          </w:tcPr>
          <w:p>
            <w:pPr>
              <w:spacing w:after="0"/>
              <w:rPr>
                <w:sz w:val="7"/>
                <w:szCs w:val="7"/>
                <w:color w:val="auto"/>
              </w:rPr>
            </w:pPr>
          </w:p>
        </w:tc>
        <w:tc>
          <w:tcPr>
            <w:tcW w:w="120" w:type="dxa"/>
            <w:vAlign w:val="bottom"/>
            <w:tcBorders>
              <w:right w:val="single" w:sz="8" w:color="0033A0"/>
            </w:tcBorders>
            <w:shd w:val="clear" w:color="auto" w:fill="E5E5E5"/>
          </w:tcPr>
          <w:p>
            <w:pPr>
              <w:spacing w:after="0"/>
              <w:rPr>
                <w:sz w:val="7"/>
                <w:szCs w:val="7"/>
                <w:color w:val="auto"/>
              </w:rPr>
            </w:pPr>
          </w:p>
        </w:tc>
        <w:tc>
          <w:tcPr>
            <w:tcW w:w="5060" w:type="dxa"/>
            <w:vAlign w:val="bottom"/>
            <w:tcBorders>
              <w:right w:val="single" w:sz="8" w:color="0033A0"/>
            </w:tcBorders>
            <w:vMerge w:val="continue"/>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980" w:type="dxa"/>
            <w:vAlign w:val="bottom"/>
            <w:vMerge w:val="restart"/>
            <w:shd w:val="clear" w:color="auto" w:fill="E5E5E5"/>
          </w:tcPr>
          <w:p>
            <w:pPr>
              <w:ind w:left="160"/>
              <w:spacing w:after="0"/>
              <w:rPr>
                <w:sz w:val="20"/>
                <w:szCs w:val="20"/>
                <w:color w:val="auto"/>
              </w:rPr>
            </w:pPr>
            <w:r>
              <w:rPr>
                <w:rFonts w:ascii="Arial" w:cs="Arial" w:eastAsia="Arial" w:hAnsi="Arial"/>
                <w:sz w:val="16"/>
                <w:szCs w:val="16"/>
                <w:color w:val="auto"/>
              </w:rPr>
              <w:t>separating</w:t>
            </w:r>
          </w:p>
        </w:tc>
        <w:tc>
          <w:tcPr>
            <w:tcW w:w="32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w w:val="98"/>
              </w:rPr>
              <w:t>the</w:t>
            </w:r>
          </w:p>
        </w:tc>
        <w:tc>
          <w:tcPr>
            <w:tcW w:w="60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roles</w:t>
            </w:r>
          </w:p>
        </w:tc>
        <w:tc>
          <w:tcPr>
            <w:tcW w:w="280" w:type="dxa"/>
            <w:vAlign w:val="bottom"/>
            <w:gridSpan w:val="2"/>
            <w:vMerge w:val="restart"/>
            <w:shd w:val="clear" w:color="auto" w:fill="E5E5E5"/>
          </w:tcPr>
          <w:p>
            <w:pPr>
              <w:ind w:left="20"/>
              <w:spacing w:after="0"/>
              <w:rPr>
                <w:sz w:val="20"/>
                <w:szCs w:val="20"/>
                <w:color w:val="auto"/>
              </w:rPr>
            </w:pPr>
            <w:r>
              <w:rPr>
                <w:rFonts w:ascii="Arial" w:cs="Arial" w:eastAsia="Arial" w:hAnsi="Arial"/>
                <w:sz w:val="16"/>
                <w:szCs w:val="16"/>
                <w:color w:val="auto"/>
              </w:rPr>
              <w:t>of</w:t>
            </w:r>
          </w:p>
        </w:tc>
        <w:tc>
          <w:tcPr>
            <w:tcW w:w="740" w:type="dxa"/>
            <w:vAlign w:val="bottom"/>
            <w:gridSpan w:val="2"/>
            <w:vMerge w:val="restart"/>
            <w:shd w:val="clear" w:color="auto" w:fill="E5E5E5"/>
          </w:tcPr>
          <w:p>
            <w:pPr>
              <w:jc w:val="center"/>
              <w:spacing w:after="0"/>
              <w:rPr>
                <w:sz w:val="20"/>
                <w:szCs w:val="20"/>
                <w:color w:val="auto"/>
              </w:rPr>
            </w:pPr>
            <w:r>
              <w:rPr>
                <w:rFonts w:ascii="Arial" w:cs="Arial" w:eastAsia="Arial" w:hAnsi="Arial"/>
                <w:sz w:val="16"/>
                <w:szCs w:val="16"/>
                <w:color w:val="auto"/>
              </w:rPr>
              <w:t>Chairman</w:t>
            </w:r>
          </w:p>
        </w:tc>
        <w:tc>
          <w:tcPr>
            <w:tcW w:w="500" w:type="dxa"/>
            <w:vAlign w:val="bottom"/>
            <w:vMerge w:val="restart"/>
            <w:shd w:val="clear" w:color="auto" w:fill="E5E5E5"/>
          </w:tcPr>
          <w:p>
            <w:pPr>
              <w:ind w:left="120"/>
              <w:spacing w:after="0"/>
              <w:rPr>
                <w:sz w:val="20"/>
                <w:szCs w:val="20"/>
                <w:color w:val="auto"/>
              </w:rPr>
            </w:pPr>
            <w:r>
              <w:rPr>
                <w:rFonts w:ascii="Arial" w:cs="Arial" w:eastAsia="Arial" w:hAnsi="Arial"/>
                <w:sz w:val="16"/>
                <w:szCs w:val="16"/>
                <w:color w:val="auto"/>
              </w:rPr>
              <w:t>and</w:t>
            </w:r>
          </w:p>
        </w:tc>
        <w:tc>
          <w:tcPr>
            <w:tcW w:w="500" w:type="dxa"/>
            <w:vAlign w:val="bottom"/>
            <w:vMerge w:val="restart"/>
            <w:shd w:val="clear" w:color="auto" w:fill="E5E5E5"/>
          </w:tcPr>
          <w:p>
            <w:pPr>
              <w:ind w:left="40"/>
              <w:spacing w:after="0"/>
              <w:rPr>
                <w:sz w:val="20"/>
                <w:szCs w:val="20"/>
                <w:color w:val="auto"/>
              </w:rPr>
            </w:pPr>
            <w:r>
              <w:rPr>
                <w:rFonts w:ascii="Arial" w:cs="Arial" w:eastAsia="Arial" w:hAnsi="Arial"/>
                <w:sz w:val="16"/>
                <w:szCs w:val="16"/>
                <w:color w:val="auto"/>
              </w:rPr>
              <w:t>CEO</w:t>
            </w:r>
          </w:p>
        </w:tc>
        <w:tc>
          <w:tcPr>
            <w:tcW w:w="9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would  best</w:t>
            </w:r>
          </w:p>
        </w:tc>
        <w:tc>
          <w:tcPr>
            <w:tcW w:w="700" w:type="dxa"/>
            <w:vAlign w:val="bottom"/>
            <w:tcBorders>
              <w:right w:val="single" w:sz="8" w:color="0033A0"/>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auto"/>
              </w:rPr>
              <w:t>serve</w:t>
            </w:r>
          </w:p>
        </w:tc>
        <w:tc>
          <w:tcPr>
            <w:tcW w:w="2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0033A0"/>
            </w:tcBorders>
          </w:tcPr>
          <w:p>
            <w:pPr>
              <w:spacing w:after="0"/>
              <w:rPr>
                <w:sz w:val="9"/>
                <w:szCs w:val="9"/>
                <w:color w:val="auto"/>
              </w:rPr>
            </w:pPr>
          </w:p>
        </w:tc>
        <w:tc>
          <w:tcPr>
            <w:tcW w:w="120" w:type="dxa"/>
            <w:vAlign w:val="bottom"/>
            <w:tcBorders>
              <w:right w:val="single" w:sz="8" w:color="0033A0"/>
            </w:tcBorders>
            <w:shd w:val="clear" w:color="auto" w:fill="E5E5E5"/>
          </w:tcPr>
          <w:p>
            <w:pPr>
              <w:spacing w:after="0"/>
              <w:rPr>
                <w:sz w:val="9"/>
                <w:szCs w:val="9"/>
                <w:color w:val="auto"/>
              </w:rPr>
            </w:pPr>
          </w:p>
        </w:tc>
        <w:tc>
          <w:tcPr>
            <w:tcW w:w="5060" w:type="dxa"/>
            <w:vAlign w:val="bottom"/>
            <w:tcBorders>
              <w:right w:val="single" w:sz="8" w:color="0033A0"/>
            </w:tcBorders>
            <w:vMerge w:val="restart"/>
            <w:shd w:val="clear" w:color="auto" w:fill="E5E5E5"/>
          </w:tcPr>
          <w:p>
            <w:pPr>
              <w:ind w:left="340"/>
              <w:spacing w:after="0"/>
              <w:rPr>
                <w:sz w:val="20"/>
                <w:szCs w:val="20"/>
                <w:color w:val="auto"/>
              </w:rPr>
            </w:pPr>
            <w:r>
              <w:rPr>
                <w:rFonts w:ascii="Arial" w:cs="Arial" w:eastAsia="Arial" w:hAnsi="Arial"/>
                <w:sz w:val="16"/>
                <w:szCs w:val="16"/>
                <w:color w:val="auto"/>
              </w:rPr>
              <w:t>Board.</w:t>
            </w:r>
          </w:p>
        </w:tc>
        <w:tc>
          <w:tcPr>
            <w:tcW w:w="240" w:type="dxa"/>
            <w:vAlign w:val="bottom"/>
            <w:shd w:val="clear" w:color="auto" w:fill="E5E5E5"/>
          </w:tcPr>
          <w:p>
            <w:pPr>
              <w:spacing w:after="0"/>
              <w:rPr>
                <w:sz w:val="9"/>
                <w:szCs w:val="9"/>
                <w:color w:val="auto"/>
              </w:rPr>
            </w:pPr>
          </w:p>
        </w:tc>
        <w:tc>
          <w:tcPr>
            <w:tcW w:w="980" w:type="dxa"/>
            <w:vAlign w:val="bottom"/>
            <w:vMerge w:val="continue"/>
            <w:shd w:val="clear" w:color="auto" w:fill="E5E5E5"/>
          </w:tcPr>
          <w:p>
            <w:pPr>
              <w:spacing w:after="0"/>
              <w:rPr>
                <w:sz w:val="9"/>
                <w:szCs w:val="9"/>
                <w:color w:val="auto"/>
              </w:rPr>
            </w:pPr>
          </w:p>
        </w:tc>
        <w:tc>
          <w:tcPr>
            <w:tcW w:w="320" w:type="dxa"/>
            <w:vAlign w:val="bottom"/>
            <w:vMerge w:val="continue"/>
            <w:shd w:val="clear" w:color="auto" w:fill="E5E5E5"/>
          </w:tcPr>
          <w:p>
            <w:pPr>
              <w:spacing w:after="0"/>
              <w:rPr>
                <w:sz w:val="9"/>
                <w:szCs w:val="9"/>
                <w:color w:val="auto"/>
              </w:rPr>
            </w:pPr>
          </w:p>
        </w:tc>
        <w:tc>
          <w:tcPr>
            <w:tcW w:w="600" w:type="dxa"/>
            <w:vAlign w:val="bottom"/>
            <w:vMerge w:val="continue"/>
            <w:shd w:val="clear" w:color="auto" w:fill="E5E5E5"/>
          </w:tcPr>
          <w:p>
            <w:pPr>
              <w:spacing w:after="0"/>
              <w:rPr>
                <w:sz w:val="9"/>
                <w:szCs w:val="9"/>
                <w:color w:val="auto"/>
              </w:rPr>
            </w:pPr>
          </w:p>
        </w:tc>
        <w:tc>
          <w:tcPr>
            <w:tcW w:w="280" w:type="dxa"/>
            <w:vAlign w:val="bottom"/>
            <w:gridSpan w:val="2"/>
            <w:vMerge w:val="continue"/>
            <w:shd w:val="clear" w:color="auto" w:fill="E5E5E5"/>
          </w:tcPr>
          <w:p>
            <w:pPr>
              <w:spacing w:after="0"/>
              <w:rPr>
                <w:sz w:val="9"/>
                <w:szCs w:val="9"/>
                <w:color w:val="auto"/>
              </w:rPr>
            </w:pPr>
          </w:p>
        </w:tc>
        <w:tc>
          <w:tcPr>
            <w:tcW w:w="740" w:type="dxa"/>
            <w:vAlign w:val="bottom"/>
            <w:gridSpan w:val="2"/>
            <w:vMerge w:val="continue"/>
            <w:shd w:val="clear" w:color="auto" w:fill="E5E5E5"/>
          </w:tcPr>
          <w:p>
            <w:pPr>
              <w:spacing w:after="0"/>
              <w:rPr>
                <w:sz w:val="9"/>
                <w:szCs w:val="9"/>
                <w:color w:val="auto"/>
              </w:rPr>
            </w:pPr>
          </w:p>
        </w:tc>
        <w:tc>
          <w:tcPr>
            <w:tcW w:w="500" w:type="dxa"/>
            <w:vAlign w:val="bottom"/>
            <w:vMerge w:val="continue"/>
            <w:shd w:val="clear" w:color="auto" w:fill="E5E5E5"/>
          </w:tcPr>
          <w:p>
            <w:pPr>
              <w:spacing w:after="0"/>
              <w:rPr>
                <w:sz w:val="9"/>
                <w:szCs w:val="9"/>
                <w:color w:val="auto"/>
              </w:rPr>
            </w:pPr>
          </w:p>
        </w:tc>
        <w:tc>
          <w:tcPr>
            <w:tcW w:w="500" w:type="dxa"/>
            <w:vAlign w:val="bottom"/>
            <w:vMerge w:val="continue"/>
            <w:shd w:val="clear" w:color="auto" w:fill="E5E5E5"/>
          </w:tcPr>
          <w:p>
            <w:pPr>
              <w:spacing w:after="0"/>
              <w:rPr>
                <w:sz w:val="9"/>
                <w:szCs w:val="9"/>
                <w:color w:val="auto"/>
              </w:rPr>
            </w:pPr>
          </w:p>
        </w:tc>
        <w:tc>
          <w:tcPr>
            <w:tcW w:w="940" w:type="dxa"/>
            <w:vAlign w:val="bottom"/>
            <w:vMerge w:val="continue"/>
            <w:shd w:val="clear" w:color="auto" w:fill="E5E5E5"/>
          </w:tcPr>
          <w:p>
            <w:pPr>
              <w:spacing w:after="0"/>
              <w:rPr>
                <w:sz w:val="9"/>
                <w:szCs w:val="9"/>
                <w:color w:val="auto"/>
              </w:rPr>
            </w:pPr>
          </w:p>
        </w:tc>
        <w:tc>
          <w:tcPr>
            <w:tcW w:w="700" w:type="dxa"/>
            <w:vAlign w:val="bottom"/>
            <w:tcBorders>
              <w:right w:val="single" w:sz="8" w:color="0033A0"/>
            </w:tcBorders>
            <w:vMerge w:val="continue"/>
            <w:shd w:val="clear" w:color="auto" w:fill="E5E5E5"/>
          </w:tcPr>
          <w:p>
            <w:pPr>
              <w:spacing w:after="0"/>
              <w:rPr>
                <w:sz w:val="9"/>
                <w:szCs w:val="9"/>
                <w:color w:val="auto"/>
              </w:rPr>
            </w:pPr>
          </w:p>
        </w:tc>
        <w:tc>
          <w:tcPr>
            <w:tcW w:w="2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0033A0"/>
            </w:tcBorders>
          </w:tcPr>
          <w:p>
            <w:pPr>
              <w:spacing w:after="0"/>
              <w:rPr>
                <w:sz w:val="7"/>
                <w:szCs w:val="7"/>
                <w:color w:val="auto"/>
              </w:rPr>
            </w:pPr>
          </w:p>
        </w:tc>
        <w:tc>
          <w:tcPr>
            <w:tcW w:w="120" w:type="dxa"/>
            <w:vAlign w:val="bottom"/>
            <w:tcBorders>
              <w:right w:val="single" w:sz="8" w:color="0033A0"/>
            </w:tcBorders>
            <w:shd w:val="clear" w:color="auto" w:fill="E5E5E5"/>
          </w:tcPr>
          <w:p>
            <w:pPr>
              <w:spacing w:after="0"/>
              <w:rPr>
                <w:sz w:val="7"/>
                <w:szCs w:val="7"/>
                <w:color w:val="auto"/>
              </w:rPr>
            </w:pPr>
          </w:p>
        </w:tc>
        <w:tc>
          <w:tcPr>
            <w:tcW w:w="5060" w:type="dxa"/>
            <w:vAlign w:val="bottom"/>
            <w:tcBorders>
              <w:right w:val="single" w:sz="8" w:color="0033A0"/>
            </w:tcBorders>
            <w:vMerge w:val="continue"/>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shareholders, your Board presently believes that a combined role,</w:t>
            </w:r>
          </w:p>
        </w:tc>
        <w:tc>
          <w:tcPr>
            <w:tcW w:w="2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0033A0"/>
            </w:tcBorders>
          </w:tcPr>
          <w:p>
            <w:pPr>
              <w:spacing w:after="0"/>
              <w:rPr>
                <w:sz w:val="8"/>
                <w:szCs w:val="8"/>
                <w:color w:val="auto"/>
              </w:rPr>
            </w:pPr>
          </w:p>
        </w:tc>
        <w:tc>
          <w:tcPr>
            <w:tcW w:w="120" w:type="dxa"/>
            <w:vAlign w:val="bottom"/>
            <w:tcBorders>
              <w:right w:val="single" w:sz="8" w:color="0033A0"/>
            </w:tcBorders>
            <w:shd w:val="clear" w:color="auto" w:fill="E5E5E5"/>
          </w:tcPr>
          <w:p>
            <w:pPr>
              <w:spacing w:after="0"/>
              <w:rPr>
                <w:sz w:val="8"/>
                <w:szCs w:val="8"/>
                <w:color w:val="auto"/>
              </w:rPr>
            </w:pPr>
          </w:p>
        </w:tc>
        <w:tc>
          <w:tcPr>
            <w:tcW w:w="5060" w:type="dxa"/>
            <w:vAlign w:val="bottom"/>
            <w:tcBorders>
              <w:right w:val="single" w:sz="8" w:color="0033A0"/>
            </w:tcBorders>
            <w:shd w:val="clear" w:color="auto" w:fill="E5E5E5"/>
          </w:tcPr>
          <w:p>
            <w:pPr>
              <w:spacing w:after="0"/>
              <w:rPr>
                <w:sz w:val="8"/>
                <w:szCs w:val="8"/>
                <w:color w:val="auto"/>
              </w:rPr>
            </w:pPr>
          </w:p>
        </w:tc>
        <w:tc>
          <w:tcPr>
            <w:tcW w:w="240" w:type="dxa"/>
            <w:vAlign w:val="bottom"/>
            <w:shd w:val="clear" w:color="auto" w:fill="E5E5E5"/>
          </w:tcPr>
          <w:p>
            <w:pPr>
              <w:spacing w:after="0"/>
              <w:rPr>
                <w:sz w:val="8"/>
                <w:szCs w:val="8"/>
                <w:color w:val="auto"/>
              </w:rPr>
            </w:pPr>
          </w:p>
        </w:tc>
        <w:tc>
          <w:tcPr>
            <w:tcW w:w="5560" w:type="dxa"/>
            <w:vAlign w:val="bottom"/>
            <w:tcBorders>
              <w:right w:val="single" w:sz="8" w:color="0033A0"/>
            </w:tcBorders>
            <w:gridSpan w:val="11"/>
            <w:vMerge w:val="continue"/>
            <w:shd w:val="clear" w:color="auto" w:fill="E5E5E5"/>
          </w:tcPr>
          <w:p>
            <w:pPr>
              <w:spacing w:after="0"/>
              <w:rPr>
                <w:sz w:val="8"/>
                <w:szCs w:val="8"/>
                <w:color w:val="auto"/>
              </w:rPr>
            </w:pPr>
          </w:p>
        </w:tc>
        <w:tc>
          <w:tcPr>
            <w:tcW w:w="2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0033A0"/>
            </w:tcBorders>
            <w:shd w:val="clear" w:color="auto" w:fill="E5E5E5"/>
          </w:tcPr>
          <w:p>
            <w:pPr>
              <w:spacing w:after="0"/>
              <w:rPr>
                <w:sz w:val="16"/>
                <w:szCs w:val="16"/>
                <w:color w:val="auto"/>
              </w:rPr>
            </w:pPr>
          </w:p>
        </w:tc>
        <w:tc>
          <w:tcPr>
            <w:tcW w:w="5060" w:type="dxa"/>
            <w:vAlign w:val="bottom"/>
            <w:tcBorders>
              <w:right w:val="single" w:sz="8" w:color="0033A0"/>
            </w:tcBorders>
            <w:vMerge w:val="restart"/>
            <w:shd w:val="clear" w:color="auto" w:fill="E5E5E5"/>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GM’s strong Independent Lead Director and commitment to</w:t>
            </w:r>
          </w:p>
        </w:tc>
        <w:tc>
          <w:tcPr>
            <w:tcW w:w="240" w:type="dxa"/>
            <w:vAlign w:val="bottom"/>
            <w:shd w:val="clear" w:color="auto" w:fill="E5E5E5"/>
          </w:tcPr>
          <w:p>
            <w:pPr>
              <w:spacing w:after="0"/>
              <w:rPr>
                <w:sz w:val="16"/>
                <w:szCs w:val="16"/>
                <w:color w:val="auto"/>
              </w:rPr>
            </w:pPr>
          </w:p>
        </w:tc>
        <w:tc>
          <w:tcPr>
            <w:tcW w:w="5560" w:type="dxa"/>
            <w:vAlign w:val="bottom"/>
            <w:tcBorders>
              <w:right w:val="single" w:sz="8" w:color="0033A0"/>
            </w:tcBorders>
            <w:gridSpan w:val="11"/>
            <w:shd w:val="clear" w:color="auto" w:fill="E5E5E5"/>
          </w:tcPr>
          <w:p>
            <w:pPr>
              <w:ind w:left="160"/>
              <w:spacing w:after="0"/>
              <w:rPr>
                <w:sz w:val="20"/>
                <w:szCs w:val="20"/>
                <w:color w:val="auto"/>
              </w:rPr>
            </w:pPr>
            <w:r>
              <w:rPr>
                <w:rFonts w:ascii="Arial" w:cs="Arial" w:eastAsia="Arial" w:hAnsi="Arial"/>
                <w:sz w:val="16"/>
                <w:szCs w:val="16"/>
                <w:color w:val="auto"/>
              </w:rPr>
              <w:t>coupled with a strong Independent Lead Director and other governance</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0033A0"/>
            </w:tcBorders>
            <w:shd w:val="clear" w:color="auto" w:fill="E5E5E5"/>
          </w:tcPr>
          <w:p>
            <w:pPr>
              <w:spacing w:after="0"/>
              <w:rPr>
                <w:sz w:val="11"/>
                <w:szCs w:val="11"/>
                <w:color w:val="auto"/>
              </w:rPr>
            </w:pPr>
          </w:p>
        </w:tc>
        <w:tc>
          <w:tcPr>
            <w:tcW w:w="5060" w:type="dxa"/>
            <w:vAlign w:val="bottom"/>
            <w:tcBorders>
              <w:right w:val="single" w:sz="8" w:color="0033A0"/>
            </w:tcBorders>
            <w:vMerge w:val="continue"/>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860" w:type="dxa"/>
            <w:vAlign w:val="bottom"/>
            <w:gridSpan w:val="10"/>
            <w:vMerge w:val="restart"/>
            <w:shd w:val="clear" w:color="auto" w:fill="E5E5E5"/>
          </w:tcPr>
          <w:p>
            <w:pPr>
              <w:ind w:left="160"/>
              <w:spacing w:after="0"/>
              <w:rPr>
                <w:sz w:val="20"/>
                <w:szCs w:val="20"/>
                <w:color w:val="auto"/>
              </w:rPr>
            </w:pPr>
            <w:r>
              <w:rPr>
                <w:rFonts w:ascii="Arial" w:cs="Arial" w:eastAsia="Arial" w:hAnsi="Arial"/>
                <w:sz w:val="16"/>
                <w:szCs w:val="16"/>
                <w:color w:val="auto"/>
              </w:rPr>
              <w:t>best practices, is in the best interests of shareholders at this time.</w:t>
            </w:r>
          </w:p>
        </w:tc>
        <w:tc>
          <w:tcPr>
            <w:tcW w:w="700" w:type="dxa"/>
            <w:vAlign w:val="bottom"/>
            <w:tcBorders>
              <w:right w:val="single" w:sz="8" w:color="0033A0"/>
            </w:tcBorders>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0033A0"/>
            </w:tcBorders>
          </w:tcPr>
          <w:p>
            <w:pPr>
              <w:spacing w:after="0"/>
              <w:rPr>
                <w:sz w:val="5"/>
                <w:szCs w:val="5"/>
                <w:color w:val="auto"/>
              </w:rPr>
            </w:pPr>
          </w:p>
        </w:tc>
        <w:tc>
          <w:tcPr>
            <w:tcW w:w="120" w:type="dxa"/>
            <w:vAlign w:val="bottom"/>
            <w:tcBorders>
              <w:right w:val="single" w:sz="8" w:color="0033A0"/>
            </w:tcBorders>
            <w:shd w:val="clear" w:color="auto" w:fill="E5E5E5"/>
          </w:tcPr>
          <w:p>
            <w:pPr>
              <w:spacing w:after="0"/>
              <w:rPr>
                <w:sz w:val="5"/>
                <w:szCs w:val="5"/>
                <w:color w:val="auto"/>
              </w:rPr>
            </w:pPr>
          </w:p>
        </w:tc>
        <w:tc>
          <w:tcPr>
            <w:tcW w:w="5060" w:type="dxa"/>
            <w:vAlign w:val="bottom"/>
            <w:tcBorders>
              <w:right w:val="single" w:sz="8" w:color="0033A0"/>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auto"/>
              </w:rPr>
              <w:t>governance  best  practices  already  ensure  management</w:t>
            </w:r>
          </w:p>
        </w:tc>
        <w:tc>
          <w:tcPr>
            <w:tcW w:w="240" w:type="dxa"/>
            <w:vAlign w:val="bottom"/>
            <w:shd w:val="clear" w:color="auto" w:fill="E5E5E5"/>
          </w:tcPr>
          <w:p>
            <w:pPr>
              <w:spacing w:after="0"/>
              <w:rPr>
                <w:sz w:val="5"/>
                <w:szCs w:val="5"/>
                <w:color w:val="auto"/>
              </w:rPr>
            </w:pPr>
          </w:p>
        </w:tc>
        <w:tc>
          <w:tcPr>
            <w:tcW w:w="4860" w:type="dxa"/>
            <w:vAlign w:val="bottom"/>
            <w:gridSpan w:val="10"/>
            <w:vMerge w:val="continue"/>
            <w:shd w:val="clear" w:color="auto" w:fill="E5E5E5"/>
          </w:tcPr>
          <w:p>
            <w:pPr>
              <w:spacing w:after="0"/>
              <w:rPr>
                <w:sz w:val="5"/>
                <w:szCs w:val="5"/>
                <w:color w:val="auto"/>
              </w:rPr>
            </w:pPr>
          </w:p>
        </w:tc>
        <w:tc>
          <w:tcPr>
            <w:tcW w:w="700" w:type="dxa"/>
            <w:vAlign w:val="bottom"/>
            <w:tcBorders>
              <w:right w:val="single" w:sz="8" w:color="0033A0"/>
            </w:tcBorders>
            <w:shd w:val="clear" w:color="auto" w:fill="E5E5E5"/>
          </w:tcPr>
          <w:p>
            <w:pPr>
              <w:spacing w:after="0"/>
              <w:rPr>
                <w:sz w:val="5"/>
                <w:szCs w:val="5"/>
                <w:color w:val="auto"/>
              </w:rPr>
            </w:pPr>
          </w:p>
        </w:tc>
        <w:tc>
          <w:tcPr>
            <w:tcW w:w="2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0033A0"/>
            </w:tcBorders>
            <w:shd w:val="clear" w:color="auto" w:fill="E5E5E5"/>
          </w:tcPr>
          <w:p>
            <w:pPr>
              <w:spacing w:after="0"/>
              <w:rPr>
                <w:sz w:val="11"/>
                <w:szCs w:val="11"/>
                <w:color w:val="auto"/>
              </w:rPr>
            </w:pPr>
          </w:p>
        </w:tc>
        <w:tc>
          <w:tcPr>
            <w:tcW w:w="5060" w:type="dxa"/>
            <w:vAlign w:val="bottom"/>
            <w:tcBorders>
              <w:right w:val="single" w:sz="8" w:color="0033A0"/>
            </w:tcBorders>
            <w:vMerge w:val="continue"/>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Your Board believes that Mary Barra’s service as Chairman and</w:t>
            </w: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0033A0"/>
            </w:tcBorders>
          </w:tcPr>
          <w:p>
            <w:pPr>
              <w:spacing w:after="0"/>
              <w:rPr>
                <w:sz w:val="12"/>
                <w:szCs w:val="12"/>
                <w:color w:val="auto"/>
              </w:rPr>
            </w:pPr>
          </w:p>
        </w:tc>
        <w:tc>
          <w:tcPr>
            <w:tcW w:w="120" w:type="dxa"/>
            <w:vAlign w:val="bottom"/>
            <w:tcBorders>
              <w:right w:val="single" w:sz="8" w:color="0033A0"/>
            </w:tcBorders>
            <w:shd w:val="clear" w:color="auto" w:fill="E5E5E5"/>
          </w:tcPr>
          <w:p>
            <w:pPr>
              <w:spacing w:after="0"/>
              <w:rPr>
                <w:sz w:val="12"/>
                <w:szCs w:val="12"/>
                <w:color w:val="auto"/>
              </w:rPr>
            </w:pPr>
          </w:p>
        </w:tc>
        <w:tc>
          <w:tcPr>
            <w:tcW w:w="5060" w:type="dxa"/>
            <w:vAlign w:val="bottom"/>
            <w:tcBorders>
              <w:right w:val="single" w:sz="8" w:color="0033A0"/>
            </w:tcBorders>
            <w:shd w:val="clear" w:color="auto" w:fill="E5E5E5"/>
          </w:tcPr>
          <w:p>
            <w:pPr>
              <w:ind w:left="340"/>
              <w:spacing w:after="0" w:line="147" w:lineRule="exact"/>
              <w:rPr>
                <w:sz w:val="20"/>
                <w:szCs w:val="20"/>
                <w:color w:val="auto"/>
              </w:rPr>
            </w:pPr>
            <w:r>
              <w:rPr>
                <w:rFonts w:ascii="Arial" w:cs="Arial" w:eastAsia="Arial" w:hAnsi="Arial"/>
                <w:sz w:val="16"/>
                <w:szCs w:val="16"/>
                <w:color w:val="auto"/>
              </w:rPr>
              <w:t>accountability to shareholders by independent directors.</w:t>
            </w:r>
          </w:p>
        </w:tc>
        <w:tc>
          <w:tcPr>
            <w:tcW w:w="240" w:type="dxa"/>
            <w:vAlign w:val="bottom"/>
            <w:shd w:val="clear" w:color="auto" w:fill="E5E5E5"/>
          </w:tcPr>
          <w:p>
            <w:pPr>
              <w:spacing w:after="0"/>
              <w:rPr>
                <w:sz w:val="12"/>
                <w:szCs w:val="12"/>
                <w:color w:val="auto"/>
              </w:rPr>
            </w:pPr>
          </w:p>
        </w:tc>
        <w:tc>
          <w:tcPr>
            <w:tcW w:w="5560" w:type="dxa"/>
            <w:vAlign w:val="bottom"/>
            <w:tcBorders>
              <w:right w:val="single" w:sz="8" w:color="0033A0"/>
            </w:tcBorders>
            <w:gridSpan w:val="11"/>
            <w:vMerge w:val="continue"/>
            <w:shd w:val="clear" w:color="auto" w:fill="E5E5E5"/>
          </w:tcPr>
          <w:p>
            <w:pPr>
              <w:spacing w:after="0"/>
              <w:rPr>
                <w:sz w:val="12"/>
                <w:szCs w:val="12"/>
                <w:color w:val="auto"/>
              </w:rPr>
            </w:pPr>
          </w:p>
        </w:tc>
        <w:tc>
          <w:tcPr>
            <w:tcW w:w="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0033A0"/>
            </w:tcBorders>
          </w:tcPr>
          <w:p>
            <w:pPr>
              <w:spacing w:after="0"/>
              <w:rPr>
                <w:sz w:val="14"/>
                <w:szCs w:val="14"/>
                <w:color w:val="auto"/>
              </w:rPr>
            </w:pPr>
          </w:p>
        </w:tc>
        <w:tc>
          <w:tcPr>
            <w:tcW w:w="120" w:type="dxa"/>
            <w:vAlign w:val="bottom"/>
            <w:tcBorders>
              <w:bottom w:val="single" w:sz="8" w:color="E5E5E5"/>
              <w:right w:val="single" w:sz="8" w:color="0033A0"/>
            </w:tcBorders>
            <w:shd w:val="clear" w:color="auto" w:fill="E5E5E5"/>
          </w:tcPr>
          <w:p>
            <w:pPr>
              <w:spacing w:after="0"/>
              <w:rPr>
                <w:sz w:val="14"/>
                <w:szCs w:val="14"/>
                <w:color w:val="auto"/>
              </w:rPr>
            </w:pPr>
          </w:p>
        </w:tc>
        <w:tc>
          <w:tcPr>
            <w:tcW w:w="5060" w:type="dxa"/>
            <w:vAlign w:val="bottom"/>
            <w:tcBorders>
              <w:bottom w:val="single" w:sz="8" w:color="0033A0"/>
              <w:right w:val="single" w:sz="8" w:color="0033A0"/>
            </w:tcBorders>
            <w:shd w:val="clear" w:color="auto" w:fill="E5E5E5"/>
          </w:tcPr>
          <w:p>
            <w:pPr>
              <w:spacing w:after="0"/>
              <w:rPr>
                <w:sz w:val="14"/>
                <w:szCs w:val="14"/>
                <w:color w:val="auto"/>
              </w:rPr>
            </w:pPr>
          </w:p>
        </w:tc>
        <w:tc>
          <w:tcPr>
            <w:tcW w:w="240" w:type="dxa"/>
            <w:vAlign w:val="bottom"/>
            <w:tcBorders>
              <w:bottom w:val="single" w:sz="8" w:color="E5E5E5"/>
            </w:tcBorders>
            <w:shd w:val="clear" w:color="auto" w:fill="E5E5E5"/>
          </w:tcPr>
          <w:p>
            <w:pPr>
              <w:spacing w:after="0"/>
              <w:rPr>
                <w:sz w:val="14"/>
                <w:szCs w:val="14"/>
                <w:color w:val="auto"/>
              </w:rPr>
            </w:pPr>
          </w:p>
        </w:tc>
        <w:tc>
          <w:tcPr>
            <w:tcW w:w="5560" w:type="dxa"/>
            <w:vAlign w:val="bottom"/>
            <w:tcBorders>
              <w:bottom w:val="single" w:sz="8" w:color="E5E5E5"/>
              <w:right w:val="single" w:sz="8" w:color="0033A0"/>
            </w:tcBorders>
            <w:gridSpan w:val="11"/>
            <w:shd w:val="clear" w:color="auto" w:fill="E5E5E5"/>
          </w:tcPr>
          <w:p>
            <w:pPr>
              <w:ind w:left="160"/>
              <w:spacing w:after="0" w:line="165" w:lineRule="exact"/>
              <w:rPr>
                <w:sz w:val="20"/>
                <w:szCs w:val="20"/>
                <w:color w:val="auto"/>
              </w:rPr>
            </w:pPr>
            <w:r>
              <w:rPr>
                <w:rFonts w:ascii="Arial" w:cs="Arial" w:eastAsia="Arial" w:hAnsi="Arial"/>
                <w:sz w:val="16"/>
                <w:szCs w:val="16"/>
                <w:b w:val="1"/>
                <w:bCs w:val="1"/>
                <w:i w:val="1"/>
                <w:iCs w:val="1"/>
                <w:color w:val="auto"/>
              </w:rPr>
              <w:t>CEO has provided, and continues to provide, a clear and unified</w:t>
            </w:r>
          </w:p>
        </w:tc>
        <w:tc>
          <w:tcPr>
            <w:tcW w:w="20" w:type="dxa"/>
            <w:vAlign w:val="bottom"/>
            <w:tcBorders>
              <w:bottom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top w:val="single" w:sz="8" w:color="E5E5E5"/>
              <w:right w:val="single" w:sz="8" w:color="E5E5E5"/>
            </w:tcBorders>
            <w:shd w:val="clear" w:color="auto" w:fill="E5E5E5"/>
          </w:tcPr>
          <w:p>
            <w:pPr>
              <w:spacing w:after="0"/>
              <w:rPr>
                <w:sz w:val="16"/>
                <w:szCs w:val="16"/>
                <w:color w:val="auto"/>
              </w:rPr>
            </w:pPr>
          </w:p>
        </w:tc>
        <w:tc>
          <w:tcPr>
            <w:tcW w:w="5300" w:type="dxa"/>
            <w:vAlign w:val="bottom"/>
            <w:tcBorders>
              <w:top w:val="single" w:sz="8" w:color="E5E5E5"/>
            </w:tcBorders>
            <w:gridSpan w:val="2"/>
            <w:vMerge w:val="restart"/>
            <w:shd w:val="clear" w:color="auto" w:fill="E5E5E5"/>
          </w:tcPr>
          <w:p>
            <w:pPr>
              <w:ind w:left="40"/>
              <w:spacing w:after="0"/>
              <w:rPr>
                <w:sz w:val="20"/>
                <w:szCs w:val="20"/>
                <w:color w:val="auto"/>
              </w:rPr>
            </w:pPr>
            <w:r>
              <w:rPr>
                <w:rFonts w:ascii="Arial" w:cs="Arial" w:eastAsia="Arial" w:hAnsi="Arial"/>
                <w:sz w:val="16"/>
                <w:szCs w:val="16"/>
                <w:b w:val="1"/>
                <w:bCs w:val="1"/>
                <w:i w:val="1"/>
                <w:iCs w:val="1"/>
                <w:color w:val="auto"/>
              </w:rPr>
              <w:t>Your Board should have the flexibility and is in the best position</w:t>
            </w:r>
          </w:p>
        </w:tc>
        <w:tc>
          <w:tcPr>
            <w:tcW w:w="5560" w:type="dxa"/>
            <w:vAlign w:val="bottom"/>
            <w:tcBorders>
              <w:top w:val="single" w:sz="8" w:color="E5E5E5"/>
              <w:right w:val="single" w:sz="8" w:color="0033A0"/>
            </w:tcBorders>
            <w:gridSpan w:val="11"/>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strategic vision for GM during this time of unprecedented industry</w:t>
            </w:r>
          </w:p>
        </w:tc>
        <w:tc>
          <w:tcPr>
            <w:tcW w:w="2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980" w:type="dxa"/>
            <w:vAlign w:val="bottom"/>
            <w:vMerge w:val="restart"/>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change.</w:t>
            </w:r>
          </w:p>
        </w:tc>
        <w:tc>
          <w:tcPr>
            <w:tcW w:w="320" w:type="dxa"/>
            <w:vAlign w:val="bottom"/>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60" w:type="dxa"/>
            <w:vAlign w:val="bottom"/>
            <w:shd w:val="clear" w:color="auto" w:fill="E5E5E5"/>
          </w:tcPr>
          <w:p>
            <w:pPr>
              <w:spacing w:after="0"/>
              <w:rPr>
                <w:sz w:val="4"/>
                <w:szCs w:val="4"/>
                <w:color w:val="auto"/>
              </w:rPr>
            </w:pPr>
          </w:p>
        </w:tc>
        <w:tc>
          <w:tcPr>
            <w:tcW w:w="380" w:type="dxa"/>
            <w:vAlign w:val="bottom"/>
            <w:shd w:val="clear" w:color="auto" w:fill="E5E5E5"/>
          </w:tcPr>
          <w:p>
            <w:pPr>
              <w:spacing w:after="0"/>
              <w:rPr>
                <w:sz w:val="4"/>
                <w:szCs w:val="4"/>
                <w:color w:val="auto"/>
              </w:rPr>
            </w:pPr>
          </w:p>
        </w:tc>
        <w:tc>
          <w:tcPr>
            <w:tcW w:w="360" w:type="dxa"/>
            <w:vAlign w:val="bottom"/>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500" w:type="dxa"/>
            <w:vAlign w:val="bottom"/>
            <w:shd w:val="clear" w:color="auto" w:fill="E5E5E5"/>
          </w:tcPr>
          <w:p>
            <w:pPr>
              <w:spacing w:after="0"/>
              <w:rPr>
                <w:sz w:val="4"/>
                <w:szCs w:val="4"/>
                <w:color w:val="auto"/>
              </w:rPr>
            </w:pPr>
          </w:p>
        </w:tc>
        <w:tc>
          <w:tcPr>
            <w:tcW w:w="940" w:type="dxa"/>
            <w:vAlign w:val="bottom"/>
            <w:shd w:val="clear" w:color="auto" w:fill="E5E5E5"/>
          </w:tcPr>
          <w:p>
            <w:pPr>
              <w:spacing w:after="0"/>
              <w:rPr>
                <w:sz w:val="4"/>
                <w:szCs w:val="4"/>
                <w:color w:val="auto"/>
              </w:rPr>
            </w:pPr>
          </w:p>
        </w:tc>
        <w:tc>
          <w:tcPr>
            <w:tcW w:w="700" w:type="dxa"/>
            <w:vAlign w:val="bottom"/>
            <w:tcBorders>
              <w:right w:val="single" w:sz="8" w:color="0033A0"/>
            </w:tcBorders>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i w:val="1"/>
                <w:iCs w:val="1"/>
                <w:color w:val="auto"/>
              </w:rPr>
              <w:t>to determine who should serve as Chairman – whether that</w:t>
            </w:r>
          </w:p>
        </w:tc>
        <w:tc>
          <w:tcPr>
            <w:tcW w:w="980" w:type="dxa"/>
            <w:vAlign w:val="bottom"/>
            <w:vMerge w:val="continue"/>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700" w:type="dxa"/>
            <w:vAlign w:val="bottom"/>
            <w:tcBorders>
              <w:right w:val="single" w:sz="8" w:color="0033A0"/>
            </w:tcBorders>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0033A0"/>
            </w:tcBorders>
          </w:tcPr>
          <w:p>
            <w:pPr>
              <w:spacing w:after="0"/>
              <w:rPr>
                <w:sz w:val="18"/>
                <w:szCs w:val="18"/>
                <w:color w:val="auto"/>
              </w:rPr>
            </w:pPr>
          </w:p>
        </w:tc>
        <w:tc>
          <w:tcPr>
            <w:tcW w:w="120" w:type="dxa"/>
            <w:vAlign w:val="bottom"/>
            <w:tcBorders>
              <w:right w:val="single" w:sz="8" w:color="E5E5E5"/>
            </w:tcBorders>
            <w:shd w:val="clear" w:color="auto" w:fill="E5E5E5"/>
          </w:tcPr>
          <w:p>
            <w:pPr>
              <w:spacing w:after="0"/>
              <w:rPr>
                <w:sz w:val="18"/>
                <w:szCs w:val="18"/>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i w:val="1"/>
                <w:iCs w:val="1"/>
                <w:color w:val="auto"/>
              </w:rPr>
              <w:t>person is an independent director or CEO.</w:t>
            </w: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Your Board supports Ms. Barra’s service as both Chairman and CEO.</w:t>
            </w:r>
          </w:p>
        </w:tc>
        <w:tc>
          <w:tcPr>
            <w:tcW w:w="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060" w:type="dxa"/>
            <w:vAlign w:val="bottom"/>
            <w:tcBorders>
              <w:right w:val="single" w:sz="8" w:color="E5E5E5"/>
            </w:tcBorders>
            <w:shd w:val="clear" w:color="auto" w:fill="E5E5E5"/>
          </w:tcPr>
          <w:p>
            <w:pPr>
              <w:spacing w:after="0"/>
              <w:rPr>
                <w:sz w:val="4"/>
                <w:szCs w:val="4"/>
                <w:color w:val="auto"/>
              </w:rPr>
            </w:pPr>
          </w:p>
        </w:tc>
        <w:tc>
          <w:tcPr>
            <w:tcW w:w="240" w:type="dxa"/>
            <w:vAlign w:val="bottom"/>
            <w:shd w:val="clear" w:color="auto" w:fill="E5E5E5"/>
          </w:tcPr>
          <w:p>
            <w:pPr>
              <w:spacing w:after="0"/>
              <w:rPr>
                <w:sz w:val="4"/>
                <w:szCs w:val="4"/>
                <w:color w:val="auto"/>
              </w:rPr>
            </w:pPr>
          </w:p>
        </w:tc>
        <w:tc>
          <w:tcPr>
            <w:tcW w:w="5560" w:type="dxa"/>
            <w:vAlign w:val="bottom"/>
            <w:tcBorders>
              <w:right w:val="single" w:sz="8" w:color="0033A0"/>
            </w:tcBorders>
            <w:gridSpan w:val="11"/>
            <w:vMerge w:val="continue"/>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GM operates in a very competitive and fast-changing industry. Your</w:t>
            </w:r>
          </w:p>
        </w:tc>
        <w:tc>
          <w:tcPr>
            <w:tcW w:w="5560" w:type="dxa"/>
            <w:vAlign w:val="bottom"/>
            <w:tcBorders>
              <w:right w:val="single" w:sz="8" w:color="0033A0"/>
            </w:tcBorders>
            <w:gridSpan w:val="11"/>
            <w:shd w:val="clear" w:color="auto" w:fill="E5E5E5"/>
          </w:tcPr>
          <w:p>
            <w:pPr>
              <w:ind w:left="160"/>
              <w:spacing w:after="0"/>
              <w:rPr>
                <w:sz w:val="20"/>
                <w:szCs w:val="20"/>
                <w:color w:val="auto"/>
              </w:rPr>
            </w:pPr>
            <w:r>
              <w:rPr>
                <w:rFonts w:ascii="Arial" w:cs="Arial" w:eastAsia="Arial" w:hAnsi="Arial"/>
                <w:sz w:val="16"/>
                <w:szCs w:val="16"/>
                <w:color w:val="auto"/>
              </w:rPr>
              <w:t>Her dual service provides the Company with a clear and unified strategic</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1300" w:type="dxa"/>
            <w:vAlign w:val="bottom"/>
            <w:gridSpan w:val="2"/>
            <w:vMerge w:val="restart"/>
            <w:shd w:val="clear" w:color="auto" w:fill="E5E5E5"/>
          </w:tcPr>
          <w:p>
            <w:pPr>
              <w:ind w:left="160"/>
              <w:spacing w:after="0"/>
              <w:rPr>
                <w:sz w:val="20"/>
                <w:szCs w:val="20"/>
                <w:color w:val="auto"/>
              </w:rPr>
            </w:pPr>
            <w:r>
              <w:rPr>
                <w:rFonts w:ascii="Arial" w:cs="Arial" w:eastAsia="Arial" w:hAnsi="Arial"/>
                <w:sz w:val="16"/>
                <w:szCs w:val="16"/>
                <w:color w:val="auto"/>
              </w:rPr>
              <w:t>vision,  which</w:t>
            </w:r>
          </w:p>
        </w:tc>
        <w:tc>
          <w:tcPr>
            <w:tcW w:w="60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w w:val="95"/>
              </w:rPr>
              <w:t>fosters</w:t>
            </w:r>
          </w:p>
        </w:tc>
        <w:tc>
          <w:tcPr>
            <w:tcW w:w="12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w w:val="89"/>
              </w:rPr>
              <w:t>a</w:t>
            </w:r>
          </w:p>
        </w:tc>
        <w:tc>
          <w:tcPr>
            <w:tcW w:w="540" w:type="dxa"/>
            <w:vAlign w:val="bottom"/>
            <w:gridSpan w:val="2"/>
            <w:vMerge w:val="restart"/>
            <w:shd w:val="clear" w:color="auto" w:fill="E5E5E5"/>
          </w:tcPr>
          <w:p>
            <w:pPr>
              <w:ind w:left="100"/>
              <w:spacing w:after="0"/>
              <w:rPr>
                <w:sz w:val="20"/>
                <w:szCs w:val="20"/>
                <w:color w:val="auto"/>
              </w:rPr>
            </w:pPr>
            <w:r>
              <w:rPr>
                <w:rFonts w:ascii="Arial" w:cs="Arial" w:eastAsia="Arial" w:hAnsi="Arial"/>
                <w:sz w:val="16"/>
                <w:szCs w:val="16"/>
                <w:color w:val="auto"/>
              </w:rPr>
              <w:t>more</w:t>
            </w:r>
          </w:p>
        </w:tc>
        <w:tc>
          <w:tcPr>
            <w:tcW w:w="2300" w:type="dxa"/>
            <w:vAlign w:val="bottom"/>
            <w:gridSpan w:val="4"/>
            <w:vMerge w:val="restart"/>
            <w:shd w:val="clear" w:color="auto" w:fill="E5E5E5"/>
          </w:tcPr>
          <w:p>
            <w:pPr>
              <w:ind w:left="60"/>
              <w:spacing w:after="0"/>
              <w:rPr>
                <w:sz w:val="20"/>
                <w:szCs w:val="20"/>
                <w:color w:val="auto"/>
              </w:rPr>
            </w:pPr>
            <w:r>
              <w:rPr>
                <w:rFonts w:ascii="Arial" w:cs="Arial" w:eastAsia="Arial" w:hAnsi="Arial"/>
                <w:sz w:val="16"/>
                <w:szCs w:val="16"/>
                <w:color w:val="auto"/>
              </w:rPr>
              <w:t>strategically  focused  Board</w:t>
            </w:r>
          </w:p>
        </w:tc>
        <w:tc>
          <w:tcPr>
            <w:tcW w:w="700" w:type="dxa"/>
            <w:vAlign w:val="bottom"/>
            <w:tcBorders>
              <w:right w:val="single" w:sz="8" w:color="0033A0"/>
            </w:tcBorders>
            <w:vMerge w:val="restart"/>
            <w:shd w:val="clear" w:color="auto" w:fill="E5E5E5"/>
          </w:tcPr>
          <w:p>
            <w:pPr>
              <w:jc w:val="right"/>
              <w:ind w:right="99"/>
              <w:spacing w:after="0"/>
              <w:rPr>
                <w:sz w:val="20"/>
                <w:szCs w:val="20"/>
                <w:color w:val="auto"/>
              </w:rPr>
            </w:pPr>
            <w:r>
              <w:rPr>
                <w:rFonts w:ascii="Arial" w:cs="Arial" w:eastAsia="Arial" w:hAnsi="Arial"/>
                <w:sz w:val="16"/>
                <w:szCs w:val="16"/>
                <w:color w:val="auto"/>
              </w:rPr>
              <w:t>that  is</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Board and management must constantly assess industry change and</w:t>
            </w:r>
          </w:p>
        </w:tc>
        <w:tc>
          <w:tcPr>
            <w:tcW w:w="1300" w:type="dxa"/>
            <w:vAlign w:val="bottom"/>
            <w:gridSpan w:val="2"/>
            <w:vMerge w:val="continue"/>
            <w:shd w:val="clear" w:color="auto" w:fill="E5E5E5"/>
          </w:tcPr>
          <w:p>
            <w:pPr>
              <w:spacing w:after="0"/>
              <w:rPr>
                <w:sz w:val="11"/>
                <w:szCs w:val="11"/>
                <w:color w:val="auto"/>
              </w:rPr>
            </w:pPr>
          </w:p>
        </w:tc>
        <w:tc>
          <w:tcPr>
            <w:tcW w:w="600" w:type="dxa"/>
            <w:vAlign w:val="bottom"/>
            <w:vMerge w:val="continue"/>
            <w:shd w:val="clear" w:color="auto" w:fill="E5E5E5"/>
          </w:tcPr>
          <w:p>
            <w:pPr>
              <w:spacing w:after="0"/>
              <w:rPr>
                <w:sz w:val="11"/>
                <w:szCs w:val="11"/>
                <w:color w:val="auto"/>
              </w:rPr>
            </w:pPr>
          </w:p>
        </w:tc>
        <w:tc>
          <w:tcPr>
            <w:tcW w:w="120" w:type="dxa"/>
            <w:vAlign w:val="bottom"/>
            <w:vMerge w:val="continue"/>
            <w:shd w:val="clear" w:color="auto" w:fill="E5E5E5"/>
          </w:tcPr>
          <w:p>
            <w:pPr>
              <w:spacing w:after="0"/>
              <w:rPr>
                <w:sz w:val="11"/>
                <w:szCs w:val="11"/>
                <w:color w:val="auto"/>
              </w:rPr>
            </w:pPr>
          </w:p>
        </w:tc>
        <w:tc>
          <w:tcPr>
            <w:tcW w:w="540" w:type="dxa"/>
            <w:vAlign w:val="bottom"/>
            <w:gridSpan w:val="2"/>
            <w:vMerge w:val="continue"/>
            <w:shd w:val="clear" w:color="auto" w:fill="E5E5E5"/>
          </w:tcPr>
          <w:p>
            <w:pPr>
              <w:spacing w:after="0"/>
              <w:rPr>
                <w:sz w:val="11"/>
                <w:szCs w:val="11"/>
                <w:color w:val="auto"/>
              </w:rPr>
            </w:pPr>
          </w:p>
        </w:tc>
        <w:tc>
          <w:tcPr>
            <w:tcW w:w="2300" w:type="dxa"/>
            <w:vAlign w:val="bottom"/>
            <w:gridSpan w:val="4"/>
            <w:vMerge w:val="continue"/>
            <w:shd w:val="clear" w:color="auto" w:fill="E5E5E5"/>
          </w:tcPr>
          <w:p>
            <w:pPr>
              <w:spacing w:after="0"/>
              <w:rPr>
                <w:sz w:val="11"/>
                <w:szCs w:val="11"/>
                <w:color w:val="auto"/>
              </w:rPr>
            </w:pPr>
          </w:p>
        </w:tc>
        <w:tc>
          <w:tcPr>
            <w:tcW w:w="700" w:type="dxa"/>
            <w:vAlign w:val="bottom"/>
            <w:tcBorders>
              <w:right w:val="single" w:sz="8" w:color="0033A0"/>
            </w:tcBorders>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980" w:type="dxa"/>
            <w:vAlign w:val="bottom"/>
            <w:vMerge w:val="restart"/>
            <w:shd w:val="clear" w:color="auto" w:fill="E5E5E5"/>
          </w:tcPr>
          <w:p>
            <w:pPr>
              <w:ind w:left="160"/>
              <w:spacing w:after="0"/>
              <w:rPr>
                <w:sz w:val="20"/>
                <w:szCs w:val="20"/>
                <w:color w:val="auto"/>
              </w:rPr>
            </w:pPr>
            <w:r>
              <w:rPr>
                <w:rFonts w:ascii="Arial" w:cs="Arial" w:eastAsia="Arial" w:hAnsi="Arial"/>
                <w:sz w:val="16"/>
                <w:szCs w:val="16"/>
                <w:color w:val="auto"/>
              </w:rPr>
              <w:t>responsive</w:t>
            </w:r>
          </w:p>
        </w:tc>
        <w:tc>
          <w:tcPr>
            <w:tcW w:w="32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auto"/>
              </w:rPr>
              <w:t>to</w:t>
            </w:r>
          </w:p>
        </w:tc>
        <w:tc>
          <w:tcPr>
            <w:tcW w:w="720" w:type="dxa"/>
            <w:vAlign w:val="bottom"/>
            <w:gridSpan w:val="2"/>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industry</w:t>
            </w:r>
          </w:p>
        </w:tc>
        <w:tc>
          <w:tcPr>
            <w:tcW w:w="54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trends</w:t>
            </w:r>
          </w:p>
        </w:tc>
        <w:tc>
          <w:tcPr>
            <w:tcW w:w="360" w:type="dxa"/>
            <w:vAlign w:val="bottom"/>
            <w:vMerge w:val="restart"/>
            <w:shd w:val="clear" w:color="auto" w:fill="E5E5E5"/>
          </w:tcPr>
          <w:p>
            <w:pPr>
              <w:ind w:left="80"/>
              <w:spacing w:after="0"/>
              <w:rPr>
                <w:sz w:val="20"/>
                <w:szCs w:val="20"/>
                <w:color w:val="auto"/>
              </w:rPr>
            </w:pPr>
            <w:r>
              <w:rPr>
                <w:rFonts w:ascii="Arial" w:cs="Arial" w:eastAsia="Arial" w:hAnsi="Arial"/>
                <w:sz w:val="16"/>
                <w:szCs w:val="16"/>
                <w:color w:val="auto"/>
                <w:w w:val="97"/>
              </w:rPr>
              <w:t>and</w:t>
            </w:r>
          </w:p>
        </w:tc>
        <w:tc>
          <w:tcPr>
            <w:tcW w:w="1000" w:type="dxa"/>
            <w:vAlign w:val="bottom"/>
            <w:gridSpan w:val="2"/>
            <w:vMerge w:val="restart"/>
            <w:shd w:val="clear" w:color="auto" w:fill="E5E5E5"/>
          </w:tcPr>
          <w:p>
            <w:pPr>
              <w:ind w:left="120"/>
              <w:spacing w:after="0"/>
              <w:rPr>
                <w:sz w:val="20"/>
                <w:szCs w:val="20"/>
                <w:color w:val="auto"/>
              </w:rPr>
            </w:pPr>
            <w:r>
              <w:rPr>
                <w:rFonts w:ascii="Arial" w:cs="Arial" w:eastAsia="Arial" w:hAnsi="Arial"/>
                <w:sz w:val="16"/>
                <w:szCs w:val="16"/>
                <w:color w:val="auto"/>
              </w:rPr>
              <w:t>shareholder</w:t>
            </w:r>
          </w:p>
        </w:tc>
        <w:tc>
          <w:tcPr>
            <w:tcW w:w="9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demands.</w:t>
            </w:r>
          </w:p>
        </w:tc>
        <w:tc>
          <w:tcPr>
            <w:tcW w:w="700" w:type="dxa"/>
            <w:vAlign w:val="bottom"/>
            <w:tcBorders>
              <w:right w:val="single" w:sz="8" w:color="0033A0"/>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auto"/>
              </w:rPr>
              <w:t>During</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disruption.  Your  Board  is  composed  of  directors  with  diverse</w:t>
            </w:r>
          </w:p>
        </w:tc>
        <w:tc>
          <w:tcPr>
            <w:tcW w:w="980" w:type="dxa"/>
            <w:vAlign w:val="bottom"/>
            <w:vMerge w:val="continue"/>
            <w:shd w:val="clear" w:color="auto" w:fill="E5E5E5"/>
          </w:tcPr>
          <w:p>
            <w:pPr>
              <w:spacing w:after="0"/>
              <w:rPr>
                <w:sz w:val="11"/>
                <w:szCs w:val="11"/>
                <w:color w:val="auto"/>
              </w:rPr>
            </w:pPr>
          </w:p>
        </w:tc>
        <w:tc>
          <w:tcPr>
            <w:tcW w:w="320" w:type="dxa"/>
            <w:vAlign w:val="bottom"/>
            <w:vMerge w:val="continue"/>
            <w:shd w:val="clear" w:color="auto" w:fill="E5E5E5"/>
          </w:tcPr>
          <w:p>
            <w:pPr>
              <w:spacing w:after="0"/>
              <w:rPr>
                <w:sz w:val="11"/>
                <w:szCs w:val="11"/>
                <w:color w:val="auto"/>
              </w:rPr>
            </w:pPr>
          </w:p>
        </w:tc>
        <w:tc>
          <w:tcPr>
            <w:tcW w:w="720" w:type="dxa"/>
            <w:vAlign w:val="bottom"/>
            <w:gridSpan w:val="2"/>
            <w:vMerge w:val="continue"/>
            <w:shd w:val="clear" w:color="auto" w:fill="E5E5E5"/>
          </w:tcPr>
          <w:p>
            <w:pPr>
              <w:spacing w:after="0"/>
              <w:rPr>
                <w:sz w:val="11"/>
                <w:szCs w:val="11"/>
                <w:color w:val="auto"/>
              </w:rPr>
            </w:pPr>
          </w:p>
        </w:tc>
        <w:tc>
          <w:tcPr>
            <w:tcW w:w="540" w:type="dxa"/>
            <w:vAlign w:val="bottom"/>
            <w:gridSpan w:val="2"/>
            <w:vMerge w:val="continue"/>
            <w:shd w:val="clear" w:color="auto" w:fill="E5E5E5"/>
          </w:tcPr>
          <w:p>
            <w:pPr>
              <w:spacing w:after="0"/>
              <w:rPr>
                <w:sz w:val="11"/>
                <w:szCs w:val="11"/>
                <w:color w:val="auto"/>
              </w:rPr>
            </w:pPr>
          </w:p>
        </w:tc>
        <w:tc>
          <w:tcPr>
            <w:tcW w:w="360" w:type="dxa"/>
            <w:vAlign w:val="bottom"/>
            <w:vMerge w:val="continue"/>
            <w:shd w:val="clear" w:color="auto" w:fill="E5E5E5"/>
          </w:tcPr>
          <w:p>
            <w:pPr>
              <w:spacing w:after="0"/>
              <w:rPr>
                <w:sz w:val="11"/>
                <w:szCs w:val="11"/>
                <w:color w:val="auto"/>
              </w:rPr>
            </w:pPr>
          </w:p>
        </w:tc>
        <w:tc>
          <w:tcPr>
            <w:tcW w:w="1000" w:type="dxa"/>
            <w:vAlign w:val="bottom"/>
            <w:gridSpan w:val="2"/>
            <w:vMerge w:val="continue"/>
            <w:shd w:val="clear" w:color="auto" w:fill="E5E5E5"/>
          </w:tcPr>
          <w:p>
            <w:pPr>
              <w:spacing w:after="0"/>
              <w:rPr>
                <w:sz w:val="11"/>
                <w:szCs w:val="11"/>
                <w:color w:val="auto"/>
              </w:rPr>
            </w:pPr>
          </w:p>
        </w:tc>
        <w:tc>
          <w:tcPr>
            <w:tcW w:w="940" w:type="dxa"/>
            <w:vAlign w:val="bottom"/>
            <w:vMerge w:val="continue"/>
            <w:shd w:val="clear" w:color="auto" w:fill="E5E5E5"/>
          </w:tcPr>
          <w:p>
            <w:pPr>
              <w:spacing w:after="0"/>
              <w:rPr>
                <w:sz w:val="11"/>
                <w:szCs w:val="11"/>
                <w:color w:val="auto"/>
              </w:rPr>
            </w:pPr>
          </w:p>
        </w:tc>
        <w:tc>
          <w:tcPr>
            <w:tcW w:w="700" w:type="dxa"/>
            <w:vAlign w:val="bottom"/>
            <w:tcBorders>
              <w:right w:val="single" w:sz="8" w:color="0033A0"/>
            </w:tcBorders>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Ms. Barra’s tenure, GM has taken bold, strategic actions to grow long-</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backgrounds, experience, perspectives, and in-depth knowledge about</w:t>
            </w:r>
          </w:p>
        </w:tc>
        <w:tc>
          <w:tcPr>
            <w:tcW w:w="5560" w:type="dxa"/>
            <w:vAlign w:val="bottom"/>
            <w:tcBorders>
              <w:right w:val="single" w:sz="8" w:color="0033A0"/>
            </w:tcBorders>
            <w:gridSpan w:val="11"/>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term shareholder value, strengthened its core business and invested to</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the Company. With this expertise, it is uniquely positioned to evaluate</w:t>
            </w:r>
          </w:p>
        </w:tc>
        <w:tc>
          <w:tcPr>
            <w:tcW w:w="5560" w:type="dxa"/>
            <w:vAlign w:val="bottom"/>
            <w:tcBorders>
              <w:right w:val="single" w:sz="8" w:color="0033A0"/>
            </w:tcBorders>
            <w:gridSpan w:val="11"/>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lead in the future of mobility. More recently, with the Board’s full support,</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the Company’s key challenges and needs, including the optimal Board</w:t>
            </w:r>
          </w:p>
        </w:tc>
        <w:tc>
          <w:tcPr>
            <w:tcW w:w="5560" w:type="dxa"/>
            <w:vAlign w:val="bottom"/>
            <w:tcBorders>
              <w:right w:val="single" w:sz="8" w:color="0033A0"/>
            </w:tcBorders>
            <w:gridSpan w:val="11"/>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0033A0"/>
            </w:tcBorders>
          </w:tcPr>
          <w:p>
            <w:pPr>
              <w:spacing w:after="0"/>
              <w:rPr>
                <w:sz w:val="4"/>
                <w:szCs w:val="4"/>
                <w:color w:val="auto"/>
              </w:rPr>
            </w:pPr>
          </w:p>
        </w:tc>
        <w:tc>
          <w:tcPr>
            <w:tcW w:w="120" w:type="dxa"/>
            <w:vAlign w:val="bottom"/>
            <w:tcBorders>
              <w:right w:val="single" w:sz="8" w:color="E5E5E5"/>
            </w:tcBorders>
            <w:shd w:val="clear" w:color="auto" w:fill="E5E5E5"/>
          </w:tcPr>
          <w:p>
            <w:pPr>
              <w:spacing w:after="0"/>
              <w:rPr>
                <w:sz w:val="4"/>
                <w:szCs w:val="4"/>
                <w:color w:val="auto"/>
              </w:rPr>
            </w:pPr>
          </w:p>
        </w:tc>
        <w:tc>
          <w:tcPr>
            <w:tcW w:w="5300" w:type="dxa"/>
            <w:vAlign w:val="bottom"/>
            <w:gridSpan w:val="2"/>
            <w:vMerge w:val="continue"/>
            <w:shd w:val="clear" w:color="auto" w:fill="E5E5E5"/>
          </w:tcPr>
          <w:p>
            <w:pPr>
              <w:spacing w:after="0"/>
              <w:rPr>
                <w:sz w:val="4"/>
                <w:szCs w:val="4"/>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she has articulated GM’s vision for zero crashes, zero emissions, and</w:t>
            </w: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leadership structure.</w:t>
            </w:r>
          </w:p>
        </w:tc>
        <w:tc>
          <w:tcPr>
            <w:tcW w:w="5560" w:type="dxa"/>
            <w:vAlign w:val="bottom"/>
            <w:tcBorders>
              <w:right w:val="single" w:sz="8" w:color="0033A0"/>
            </w:tcBorders>
            <w:gridSpan w:val="11"/>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 w:type="dxa"/>
            <w:vAlign w:val="bottom"/>
            <w:tcBorders>
              <w:right w:val="single" w:sz="8" w:color="0033A0"/>
            </w:tcBorders>
          </w:tcPr>
          <w:p>
            <w:pPr>
              <w:spacing w:after="0"/>
              <w:rPr>
                <w:sz w:val="5"/>
                <w:szCs w:val="5"/>
                <w:color w:val="auto"/>
              </w:rPr>
            </w:pPr>
          </w:p>
        </w:tc>
        <w:tc>
          <w:tcPr>
            <w:tcW w:w="120" w:type="dxa"/>
            <w:vAlign w:val="bottom"/>
            <w:tcBorders>
              <w:right w:val="single" w:sz="8" w:color="E5E5E5"/>
            </w:tcBorders>
            <w:shd w:val="clear" w:color="auto" w:fill="E5E5E5"/>
          </w:tcPr>
          <w:p>
            <w:pPr>
              <w:spacing w:after="0"/>
              <w:rPr>
                <w:sz w:val="5"/>
                <w:szCs w:val="5"/>
                <w:color w:val="auto"/>
              </w:rPr>
            </w:pPr>
          </w:p>
        </w:tc>
        <w:tc>
          <w:tcPr>
            <w:tcW w:w="5300" w:type="dxa"/>
            <w:vAlign w:val="bottom"/>
            <w:gridSpan w:val="2"/>
            <w:vMerge w:val="continue"/>
            <w:shd w:val="clear" w:color="auto" w:fill="E5E5E5"/>
          </w:tcPr>
          <w:p>
            <w:pPr>
              <w:spacing w:after="0"/>
              <w:rPr>
                <w:sz w:val="5"/>
                <w:szCs w:val="5"/>
                <w:color w:val="auto"/>
              </w:rPr>
            </w:pPr>
          </w:p>
        </w:tc>
        <w:tc>
          <w:tcPr>
            <w:tcW w:w="5560" w:type="dxa"/>
            <w:vAlign w:val="bottom"/>
            <w:tcBorders>
              <w:right w:val="single" w:sz="8" w:color="0033A0"/>
            </w:tcBorders>
            <w:gridSpan w:val="11"/>
            <w:vMerge w:val="restart"/>
            <w:shd w:val="clear" w:color="auto" w:fill="E5E5E5"/>
          </w:tcPr>
          <w:p>
            <w:pPr>
              <w:ind w:left="160"/>
              <w:spacing w:after="0"/>
              <w:rPr>
                <w:sz w:val="20"/>
                <w:szCs w:val="20"/>
                <w:color w:val="auto"/>
              </w:rPr>
            </w:pPr>
            <w:r>
              <w:rPr>
                <w:rFonts w:ascii="Arial" w:cs="Arial" w:eastAsia="Arial" w:hAnsi="Arial"/>
                <w:sz w:val="16"/>
                <w:szCs w:val="16"/>
                <w:color w:val="auto"/>
              </w:rPr>
              <w:t>zero congestion, outlined an all-electric future, and announced plans to</w:t>
            </w:r>
          </w:p>
        </w:tc>
        <w:tc>
          <w:tcPr>
            <w:tcW w:w="2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tcBorders>
              <w:right w:val="single" w:sz="8" w:color="0033A0"/>
            </w:tcBorders>
          </w:tcPr>
          <w:p>
            <w:pPr>
              <w:spacing w:after="0"/>
              <w:rPr>
                <w:sz w:val="11"/>
                <w:szCs w:val="11"/>
                <w:color w:val="auto"/>
              </w:rPr>
            </w:pPr>
          </w:p>
        </w:tc>
        <w:tc>
          <w:tcPr>
            <w:tcW w:w="120" w:type="dxa"/>
            <w:vAlign w:val="bottom"/>
            <w:tcBorders>
              <w:right w:val="single" w:sz="8" w:color="E5E5E5"/>
            </w:tcBorders>
            <w:shd w:val="clear" w:color="auto" w:fill="E5E5E5"/>
          </w:tcPr>
          <w:p>
            <w:pPr>
              <w:spacing w:after="0"/>
              <w:rPr>
                <w:sz w:val="11"/>
                <w:szCs w:val="11"/>
                <w:color w:val="auto"/>
              </w:rPr>
            </w:pPr>
          </w:p>
        </w:tc>
        <w:tc>
          <w:tcPr>
            <w:tcW w:w="5300" w:type="dxa"/>
            <w:vAlign w:val="bottom"/>
            <w:gridSpan w:val="2"/>
            <w:vMerge w:val="restart"/>
            <w:shd w:val="clear" w:color="auto" w:fill="E5E5E5"/>
          </w:tcPr>
          <w:p>
            <w:pPr>
              <w:ind w:left="40"/>
              <w:spacing w:after="0"/>
              <w:rPr>
                <w:sz w:val="20"/>
                <w:szCs w:val="20"/>
                <w:color w:val="auto"/>
              </w:rPr>
            </w:pPr>
            <w:r>
              <w:rPr>
                <w:rFonts w:ascii="Arial" w:cs="Arial" w:eastAsia="Arial" w:hAnsi="Arial"/>
                <w:sz w:val="16"/>
                <w:szCs w:val="16"/>
                <w:color w:val="auto"/>
              </w:rPr>
              <w:t>It is critical that your Board have the flexibility to choose the best</w:t>
            </w:r>
          </w:p>
        </w:tc>
        <w:tc>
          <w:tcPr>
            <w:tcW w:w="5560" w:type="dxa"/>
            <w:vAlign w:val="bottom"/>
            <w:tcBorders>
              <w:right w:val="single" w:sz="8" w:color="0033A0"/>
            </w:tcBorders>
            <w:gridSpan w:val="11"/>
            <w:vMerge w:val="continue"/>
            <w:shd w:val="clear" w:color="auto" w:fill="E5E5E5"/>
          </w:tcPr>
          <w:p>
            <w:pPr>
              <w:spacing w:after="0"/>
              <w:rPr>
                <w:sz w:val="11"/>
                <w:szCs w:val="11"/>
                <w:color w:val="auto"/>
              </w:rPr>
            </w:pPr>
          </w:p>
        </w:tc>
        <w:tc>
          <w:tcPr>
            <w:tcW w:w="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0033A0"/>
            </w:tcBorders>
          </w:tcPr>
          <w:p>
            <w:pPr>
              <w:spacing w:after="0"/>
              <w:rPr>
                <w:sz w:val="14"/>
                <w:szCs w:val="14"/>
                <w:color w:val="auto"/>
              </w:rPr>
            </w:pPr>
          </w:p>
        </w:tc>
        <w:tc>
          <w:tcPr>
            <w:tcW w:w="120" w:type="dxa"/>
            <w:vAlign w:val="bottom"/>
            <w:tcBorders>
              <w:right w:val="single" w:sz="8" w:color="E5E5E5"/>
            </w:tcBorders>
            <w:shd w:val="clear" w:color="auto" w:fill="E5E5E5"/>
          </w:tcPr>
          <w:p>
            <w:pPr>
              <w:spacing w:after="0"/>
              <w:rPr>
                <w:sz w:val="14"/>
                <w:szCs w:val="14"/>
                <w:color w:val="auto"/>
              </w:rPr>
            </w:pPr>
          </w:p>
        </w:tc>
        <w:tc>
          <w:tcPr>
            <w:tcW w:w="5300" w:type="dxa"/>
            <w:vAlign w:val="bottom"/>
            <w:gridSpan w:val="2"/>
            <w:vMerge w:val="continue"/>
            <w:shd w:val="clear" w:color="auto" w:fill="E5E5E5"/>
          </w:tcPr>
          <w:p>
            <w:pPr>
              <w:spacing w:after="0"/>
              <w:rPr>
                <w:sz w:val="14"/>
                <w:szCs w:val="14"/>
                <w:color w:val="auto"/>
              </w:rPr>
            </w:pPr>
          </w:p>
        </w:tc>
        <w:tc>
          <w:tcPr>
            <w:tcW w:w="5560" w:type="dxa"/>
            <w:vAlign w:val="bottom"/>
            <w:tcBorders>
              <w:right w:val="single" w:sz="8" w:color="0033A0"/>
            </w:tcBorders>
            <w:gridSpan w:val="11"/>
            <w:shd w:val="clear" w:color="auto" w:fill="E5E5E5"/>
          </w:tcPr>
          <w:p>
            <w:pPr>
              <w:ind w:left="160"/>
              <w:spacing w:after="0" w:line="162" w:lineRule="exact"/>
              <w:rPr>
                <w:sz w:val="20"/>
                <w:szCs w:val="20"/>
                <w:color w:val="auto"/>
              </w:rPr>
            </w:pPr>
            <w:r>
              <w:rPr>
                <w:rFonts w:ascii="Arial" w:cs="Arial" w:eastAsia="Arial" w:hAnsi="Arial"/>
                <w:sz w:val="16"/>
                <w:szCs w:val="16"/>
                <w:color w:val="auto"/>
              </w:rPr>
              <w:t>deploy self-driving vehicles in a dense urban environment in 2019.</w:t>
            </w:r>
          </w:p>
        </w:tc>
        <w:tc>
          <w:tcPr>
            <w:tcW w:w="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person to serve as Chairman and not be arbitrarily constrained by a</w:t>
            </w: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700" w:type="dxa"/>
            <w:vAlign w:val="bottom"/>
            <w:tcBorders>
              <w:right w:val="single" w:sz="8" w:color="0033A0"/>
            </w:tcBorders>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one-size-fits-all policy that has been empirically shown to have little</w:t>
            </w: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700" w:type="dxa"/>
            <w:vAlign w:val="bottom"/>
            <w:tcBorders>
              <w:right w:val="single" w:sz="8" w:color="0033A0"/>
            </w:tcBorders>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relation to long-term shareholder value. The proposal would remove</w:t>
            </w: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700" w:type="dxa"/>
            <w:vAlign w:val="bottom"/>
            <w:tcBorders>
              <w:right w:val="single" w:sz="8" w:color="0033A0"/>
            </w:tcBorders>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0033A0"/>
            </w:tcBorders>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3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the Board’s current flexibility to determine the</w:t>
            </w: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700" w:type="dxa"/>
            <w:vAlign w:val="bottom"/>
            <w:tcBorders>
              <w:right w:val="single" w:sz="8" w:color="0033A0"/>
            </w:tcBorders>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0033A0"/>
            </w:tcBorders>
          </w:tcPr>
          <w:p>
            <w:pPr>
              <w:spacing w:after="0"/>
              <w:rPr>
                <w:sz w:val="16"/>
                <w:szCs w:val="16"/>
                <w:color w:val="auto"/>
              </w:rPr>
            </w:pPr>
          </w:p>
        </w:tc>
        <w:tc>
          <w:tcPr>
            <w:tcW w:w="120" w:type="dxa"/>
            <w:vAlign w:val="bottom"/>
            <w:tcBorders>
              <w:bottom w:val="single" w:sz="8" w:color="0033A0"/>
              <w:right w:val="single" w:sz="8" w:color="E5E5E5"/>
            </w:tcBorders>
            <w:shd w:val="clear" w:color="auto" w:fill="E5E5E5"/>
          </w:tcPr>
          <w:p>
            <w:pPr>
              <w:spacing w:after="0"/>
              <w:rPr>
                <w:sz w:val="16"/>
                <w:szCs w:val="16"/>
                <w:color w:val="auto"/>
              </w:rPr>
            </w:pPr>
          </w:p>
        </w:tc>
        <w:tc>
          <w:tcPr>
            <w:tcW w:w="5060" w:type="dxa"/>
            <w:vAlign w:val="bottom"/>
            <w:tcBorders>
              <w:bottom w:val="single" w:sz="8" w:color="0033A0"/>
              <w:right w:val="single" w:sz="8" w:color="E5E5E5"/>
            </w:tcBorders>
            <w:shd w:val="clear" w:color="auto" w:fill="E5E5E5"/>
          </w:tcPr>
          <w:p>
            <w:pPr>
              <w:spacing w:after="0"/>
              <w:rPr>
                <w:sz w:val="16"/>
                <w:szCs w:val="16"/>
                <w:color w:val="auto"/>
              </w:rPr>
            </w:pPr>
          </w:p>
        </w:tc>
        <w:tc>
          <w:tcPr>
            <w:tcW w:w="240" w:type="dxa"/>
            <w:vAlign w:val="bottom"/>
            <w:tcBorders>
              <w:bottom w:val="single" w:sz="8" w:color="0033A0"/>
            </w:tcBorders>
            <w:shd w:val="clear" w:color="auto" w:fill="E5E5E5"/>
          </w:tcPr>
          <w:p>
            <w:pPr>
              <w:spacing w:after="0"/>
              <w:rPr>
                <w:sz w:val="16"/>
                <w:szCs w:val="16"/>
                <w:color w:val="auto"/>
              </w:rPr>
            </w:pPr>
          </w:p>
        </w:tc>
        <w:tc>
          <w:tcPr>
            <w:tcW w:w="980" w:type="dxa"/>
            <w:vAlign w:val="bottom"/>
            <w:tcBorders>
              <w:bottom w:val="single" w:sz="8" w:color="0033A0"/>
            </w:tcBorders>
            <w:shd w:val="clear" w:color="auto" w:fill="E5E5E5"/>
          </w:tcPr>
          <w:p>
            <w:pPr>
              <w:spacing w:after="0"/>
              <w:rPr>
                <w:sz w:val="16"/>
                <w:szCs w:val="16"/>
                <w:color w:val="auto"/>
              </w:rPr>
            </w:pPr>
          </w:p>
        </w:tc>
        <w:tc>
          <w:tcPr>
            <w:tcW w:w="320" w:type="dxa"/>
            <w:vAlign w:val="bottom"/>
            <w:tcBorders>
              <w:bottom w:val="single" w:sz="8" w:color="0033A0"/>
            </w:tcBorders>
            <w:shd w:val="clear" w:color="auto" w:fill="E5E5E5"/>
          </w:tcPr>
          <w:p>
            <w:pPr>
              <w:spacing w:after="0"/>
              <w:rPr>
                <w:sz w:val="16"/>
                <w:szCs w:val="16"/>
                <w:color w:val="auto"/>
              </w:rPr>
            </w:pPr>
          </w:p>
        </w:tc>
        <w:tc>
          <w:tcPr>
            <w:tcW w:w="600" w:type="dxa"/>
            <w:vAlign w:val="bottom"/>
            <w:tcBorders>
              <w:bottom w:val="single" w:sz="8" w:color="0033A0"/>
            </w:tcBorders>
            <w:shd w:val="clear" w:color="auto" w:fill="E5E5E5"/>
          </w:tcPr>
          <w:p>
            <w:pPr>
              <w:spacing w:after="0"/>
              <w:rPr>
                <w:sz w:val="16"/>
                <w:szCs w:val="16"/>
                <w:color w:val="auto"/>
              </w:rPr>
            </w:pPr>
          </w:p>
        </w:tc>
        <w:tc>
          <w:tcPr>
            <w:tcW w:w="120" w:type="dxa"/>
            <w:vAlign w:val="bottom"/>
            <w:tcBorders>
              <w:bottom w:val="single" w:sz="8" w:color="0033A0"/>
            </w:tcBorders>
            <w:shd w:val="clear" w:color="auto" w:fill="E5E5E5"/>
          </w:tcPr>
          <w:p>
            <w:pPr>
              <w:spacing w:after="0"/>
              <w:rPr>
                <w:sz w:val="16"/>
                <w:szCs w:val="16"/>
                <w:color w:val="auto"/>
              </w:rPr>
            </w:pPr>
          </w:p>
        </w:tc>
        <w:tc>
          <w:tcPr>
            <w:tcW w:w="160" w:type="dxa"/>
            <w:vAlign w:val="bottom"/>
            <w:tcBorders>
              <w:bottom w:val="single" w:sz="8" w:color="0033A0"/>
            </w:tcBorders>
            <w:shd w:val="clear" w:color="auto" w:fill="E5E5E5"/>
          </w:tcPr>
          <w:p>
            <w:pPr>
              <w:spacing w:after="0"/>
              <w:rPr>
                <w:sz w:val="16"/>
                <w:szCs w:val="16"/>
                <w:color w:val="auto"/>
              </w:rPr>
            </w:pPr>
          </w:p>
        </w:tc>
        <w:tc>
          <w:tcPr>
            <w:tcW w:w="380" w:type="dxa"/>
            <w:vAlign w:val="bottom"/>
            <w:tcBorders>
              <w:bottom w:val="single" w:sz="8" w:color="0033A0"/>
            </w:tcBorders>
            <w:shd w:val="clear" w:color="auto" w:fill="E5E5E5"/>
          </w:tcPr>
          <w:p>
            <w:pPr>
              <w:spacing w:after="0"/>
              <w:rPr>
                <w:sz w:val="16"/>
                <w:szCs w:val="16"/>
                <w:color w:val="auto"/>
              </w:rPr>
            </w:pPr>
          </w:p>
        </w:tc>
        <w:tc>
          <w:tcPr>
            <w:tcW w:w="360" w:type="dxa"/>
            <w:vAlign w:val="bottom"/>
            <w:tcBorders>
              <w:bottom w:val="single" w:sz="8" w:color="0033A0"/>
            </w:tcBorders>
            <w:shd w:val="clear" w:color="auto" w:fill="E5E5E5"/>
          </w:tcPr>
          <w:p>
            <w:pPr>
              <w:spacing w:after="0"/>
              <w:rPr>
                <w:sz w:val="16"/>
                <w:szCs w:val="16"/>
                <w:color w:val="auto"/>
              </w:rPr>
            </w:pPr>
          </w:p>
        </w:tc>
        <w:tc>
          <w:tcPr>
            <w:tcW w:w="500" w:type="dxa"/>
            <w:vAlign w:val="bottom"/>
            <w:tcBorders>
              <w:bottom w:val="single" w:sz="8" w:color="0033A0"/>
            </w:tcBorders>
            <w:shd w:val="clear" w:color="auto" w:fill="E5E5E5"/>
          </w:tcPr>
          <w:p>
            <w:pPr>
              <w:spacing w:after="0"/>
              <w:rPr>
                <w:sz w:val="16"/>
                <w:szCs w:val="16"/>
                <w:color w:val="auto"/>
              </w:rPr>
            </w:pPr>
          </w:p>
        </w:tc>
        <w:tc>
          <w:tcPr>
            <w:tcW w:w="500" w:type="dxa"/>
            <w:vAlign w:val="bottom"/>
            <w:tcBorders>
              <w:bottom w:val="single" w:sz="8" w:color="0033A0"/>
            </w:tcBorders>
            <w:shd w:val="clear" w:color="auto" w:fill="E5E5E5"/>
          </w:tcPr>
          <w:p>
            <w:pPr>
              <w:spacing w:after="0"/>
              <w:rPr>
                <w:sz w:val="16"/>
                <w:szCs w:val="16"/>
                <w:color w:val="auto"/>
              </w:rPr>
            </w:pPr>
          </w:p>
        </w:tc>
        <w:tc>
          <w:tcPr>
            <w:tcW w:w="940" w:type="dxa"/>
            <w:vAlign w:val="bottom"/>
            <w:tcBorders>
              <w:bottom w:val="single" w:sz="8" w:color="0033A0"/>
            </w:tcBorders>
            <w:shd w:val="clear" w:color="auto" w:fill="E5E5E5"/>
          </w:tcPr>
          <w:p>
            <w:pPr>
              <w:spacing w:after="0"/>
              <w:rPr>
                <w:sz w:val="16"/>
                <w:szCs w:val="16"/>
                <w:color w:val="auto"/>
              </w:rPr>
            </w:pPr>
          </w:p>
        </w:tc>
        <w:tc>
          <w:tcPr>
            <w:tcW w:w="700" w:type="dxa"/>
            <w:vAlign w:val="bottom"/>
            <w:tcBorders>
              <w:bottom w:val="single" w:sz="8" w:color="0033A0"/>
              <w:right w:val="single" w:sz="8" w:color="0033A0"/>
            </w:tcBorders>
            <w:shd w:val="clear" w:color="auto" w:fill="E5E5E5"/>
          </w:tcPr>
          <w:p>
            <w:pPr>
              <w:spacing w:after="0"/>
              <w:rPr>
                <w:sz w:val="16"/>
                <w:szCs w:val="16"/>
                <w:color w:val="auto"/>
              </w:rPr>
            </w:pPr>
          </w:p>
        </w:tc>
        <w:tc>
          <w:tcPr>
            <w:tcW w:w="20" w:type="dxa"/>
            <w:vAlign w:val="bottom"/>
            <w:tcBorders>
              <w:bottom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5220" w:type="dxa"/>
            <w:vAlign w:val="bottom"/>
            <w:gridSpan w:val="3"/>
          </w:tcPr>
          <w:p>
            <w:pPr>
              <w:jc w:val="right"/>
              <w:ind w:right="4979"/>
              <w:spacing w:after="0"/>
              <w:rPr>
                <w:sz w:val="20"/>
                <w:szCs w:val="20"/>
                <w:color w:val="auto"/>
              </w:rPr>
            </w:pPr>
            <w:r>
              <w:rPr>
                <w:rFonts w:ascii="Arial" w:cs="Arial" w:eastAsia="Arial" w:hAnsi="Arial"/>
                <w:sz w:val="14"/>
                <w:szCs w:val="14"/>
                <w:color w:val="0033A0"/>
                <w:w w:val="89"/>
              </w:rPr>
              <w:t>72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-103505</wp:posOffset>
            </wp:positionV>
            <wp:extent cx="6174740" cy="946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74740" cy="946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-3747770</wp:posOffset>
            </wp:positionV>
            <wp:extent cx="3215640" cy="13893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15640" cy="13893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SHAREHOLDER PROPOSAL REGARDING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5360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536003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Ms. Barra’s Board leadership is complemented by a strong Independent Lead Director.</w:t>
      </w:r>
    </w:p>
    <w:p>
      <w:pPr>
        <w:spacing w:after="0" w:line="68" w:lineRule="exact"/>
        <w:rPr>
          <w:sz w:val="20"/>
          <w:szCs w:val="20"/>
          <w:color w:val="auto"/>
        </w:rPr>
      </w:pPr>
    </w:p>
    <w:p>
      <w:pPr>
        <w:jc w:val="both"/>
        <w:ind w:left="400"/>
        <w:spacing w:after="0" w:line="247" w:lineRule="auto"/>
        <w:rPr>
          <w:sz w:val="20"/>
          <w:szCs w:val="20"/>
          <w:color w:val="auto"/>
        </w:rPr>
      </w:pPr>
      <w:r>
        <w:rPr>
          <w:rFonts w:ascii="Arial" w:cs="Arial" w:eastAsia="Arial" w:hAnsi="Arial"/>
          <w:sz w:val="16"/>
          <w:szCs w:val="16"/>
          <w:color w:val="auto"/>
        </w:rPr>
        <w:t>While Ms. Barra’s in-depth knowledge of our businesses and understanding of day-to-day operations brings focused leadership to your Board, the independent directors also recognize the importance of strong independent leadership. As the Independent Lead Director, Mr. Solso provides leadership and oversight for shareholders, including focus on strategic risk management, compliance, governance, and CEO succession planning. He regularly provides specific input on Board and Committee agendas and attends each Committee meeting. The specific duties of the Independent Lead Director are discussed on page 22 in this Proxy Statement. In addition, Mr. Solso maintains an office at our headquarters in Detroit, where he regularly provides mentorship and counsel to Ms. Barra and other members of senior management.</w:t>
      </w:r>
    </w:p>
    <w:p>
      <w:pPr>
        <w:spacing w:after="0" w:line="274"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GM’s strong corporate governance practices reinforce Board independence and management accountability.</w:t>
      </w:r>
    </w:p>
    <w:p>
      <w:pPr>
        <w:spacing w:after="0" w:line="68" w:lineRule="exact"/>
        <w:rPr>
          <w:sz w:val="20"/>
          <w:szCs w:val="20"/>
          <w:color w:val="auto"/>
        </w:rPr>
      </w:pPr>
    </w:p>
    <w:p>
      <w:pPr>
        <w:jc w:val="both"/>
        <w:ind w:left="400"/>
        <w:spacing w:after="0" w:line="252" w:lineRule="auto"/>
        <w:rPr>
          <w:sz w:val="20"/>
          <w:szCs w:val="20"/>
          <w:color w:val="auto"/>
        </w:rPr>
      </w:pPr>
      <w:r>
        <w:rPr>
          <w:rFonts w:ascii="Arial" w:cs="Arial" w:eastAsia="Arial" w:hAnsi="Arial"/>
          <w:sz w:val="16"/>
          <w:szCs w:val="16"/>
          <w:color w:val="auto"/>
        </w:rPr>
        <w:t>The Board has established and maintains numerous best-in-class governance practices to reinforce and facilitate management accountability and provide meaningful independent oversight, including:</w:t>
      </w:r>
    </w:p>
    <w:p>
      <w:pPr>
        <w:spacing w:after="0" w:line="298" w:lineRule="exact"/>
        <w:rPr>
          <w:sz w:val="20"/>
          <w:szCs w:val="20"/>
          <w:color w:val="auto"/>
        </w:rPr>
      </w:pPr>
    </w:p>
    <w:p>
      <w:pPr>
        <w:ind w:left="580" w:hanging="214"/>
        <w:spacing w:after="0"/>
        <w:tabs>
          <w:tab w:leader="none" w:pos="580" w:val="left"/>
        </w:tabs>
        <w:numPr>
          <w:ilvl w:val="0"/>
          <w:numId w:val="140"/>
        </w:numPr>
        <w:rPr>
          <w:rFonts w:ascii="Arial" w:cs="Arial" w:eastAsia="Arial" w:hAnsi="Arial"/>
          <w:sz w:val="16"/>
          <w:szCs w:val="16"/>
          <w:color w:val="0033A0"/>
        </w:rPr>
      </w:pPr>
      <w:r>
        <w:rPr>
          <w:rFonts w:ascii="Arial" w:cs="Arial" w:eastAsia="Arial" w:hAnsi="Arial"/>
          <w:sz w:val="16"/>
          <w:szCs w:val="16"/>
          <w:color w:val="auto"/>
        </w:rPr>
        <w:t>Annual election of directors;</w:t>
      </w:r>
    </w:p>
    <w:p>
      <w:pPr>
        <w:spacing w:after="0" w:line="5" w:lineRule="exact"/>
        <w:rPr>
          <w:rFonts w:ascii="Arial" w:cs="Arial" w:eastAsia="Arial" w:hAnsi="Arial"/>
          <w:sz w:val="16"/>
          <w:szCs w:val="16"/>
          <w:color w:val="0033A0"/>
        </w:rPr>
      </w:pPr>
    </w:p>
    <w:p>
      <w:pPr>
        <w:ind w:left="580" w:right="20" w:hanging="214"/>
        <w:spacing w:after="0" w:line="246" w:lineRule="auto"/>
        <w:tabs>
          <w:tab w:leader="none" w:pos="580" w:val="left"/>
        </w:tabs>
        <w:numPr>
          <w:ilvl w:val="0"/>
          <w:numId w:val="140"/>
        </w:numPr>
        <w:rPr>
          <w:rFonts w:ascii="Arial" w:cs="Arial" w:eastAsia="Arial" w:hAnsi="Arial"/>
          <w:sz w:val="16"/>
          <w:szCs w:val="16"/>
          <w:color w:val="0033A0"/>
        </w:rPr>
      </w:pPr>
      <w:r>
        <w:rPr>
          <w:rFonts w:ascii="Arial" w:cs="Arial" w:eastAsia="Arial" w:hAnsi="Arial"/>
          <w:sz w:val="16"/>
          <w:szCs w:val="16"/>
          <w:color w:val="auto"/>
        </w:rPr>
        <w:t>Annual evaluation of CEO performance and compensation by non-management directors;</w:t>
      </w:r>
    </w:p>
    <w:p>
      <w:pPr>
        <w:ind w:left="580" w:right="20" w:hanging="214"/>
        <w:spacing w:after="0" w:line="246" w:lineRule="auto"/>
        <w:tabs>
          <w:tab w:leader="none" w:pos="580" w:val="left"/>
        </w:tabs>
        <w:numPr>
          <w:ilvl w:val="0"/>
          <w:numId w:val="140"/>
        </w:numPr>
        <w:rPr>
          <w:rFonts w:ascii="Arial" w:cs="Arial" w:eastAsia="Arial" w:hAnsi="Arial"/>
          <w:sz w:val="16"/>
          <w:szCs w:val="16"/>
          <w:color w:val="0033A0"/>
        </w:rPr>
      </w:pPr>
      <w:r>
        <w:rPr>
          <w:rFonts w:ascii="Arial" w:cs="Arial" w:eastAsia="Arial" w:hAnsi="Arial"/>
          <w:sz w:val="16"/>
          <w:szCs w:val="16"/>
          <w:color w:val="auto"/>
        </w:rPr>
        <w:t>Executive sessions held at most Board and Committee meetings without management present;</w:t>
      </w:r>
    </w:p>
    <w:p>
      <w:pPr>
        <w:jc w:val="both"/>
        <w:ind w:left="580" w:right="20" w:hanging="214"/>
        <w:spacing w:after="0" w:line="246" w:lineRule="auto"/>
        <w:tabs>
          <w:tab w:leader="none" w:pos="580" w:val="left"/>
        </w:tabs>
        <w:numPr>
          <w:ilvl w:val="0"/>
          <w:numId w:val="140"/>
        </w:numPr>
        <w:rPr>
          <w:rFonts w:ascii="Arial" w:cs="Arial" w:eastAsia="Arial" w:hAnsi="Arial"/>
          <w:sz w:val="16"/>
          <w:szCs w:val="16"/>
          <w:color w:val="0033A0"/>
        </w:rPr>
      </w:pPr>
      <w:r>
        <w:rPr>
          <w:rFonts w:ascii="Arial" w:cs="Arial" w:eastAsia="Arial" w:hAnsi="Arial"/>
          <w:sz w:val="16"/>
          <w:szCs w:val="16"/>
          <w:color w:val="auto"/>
        </w:rPr>
        <w:t>Six of our seven standing Committees, including the Executive Compensation Committee, are composed entirely of independent directors; and</w:t>
      </w:r>
    </w:p>
    <w:p>
      <w:pPr>
        <w:spacing w:after="0" w:line="1" w:lineRule="exact"/>
        <w:rPr>
          <w:rFonts w:ascii="Arial" w:cs="Arial" w:eastAsia="Arial" w:hAnsi="Arial"/>
          <w:sz w:val="16"/>
          <w:szCs w:val="16"/>
          <w:color w:val="0033A0"/>
        </w:rPr>
      </w:pPr>
    </w:p>
    <w:p>
      <w:pPr>
        <w:ind w:left="580" w:right="20" w:hanging="214"/>
        <w:spacing w:after="0" w:line="260" w:lineRule="auto"/>
        <w:tabs>
          <w:tab w:leader="none" w:pos="580" w:val="left"/>
        </w:tabs>
        <w:numPr>
          <w:ilvl w:val="0"/>
          <w:numId w:val="140"/>
        </w:numPr>
        <w:rPr>
          <w:rFonts w:ascii="Arial" w:cs="Arial" w:eastAsia="Arial" w:hAnsi="Arial"/>
          <w:sz w:val="16"/>
          <w:szCs w:val="16"/>
          <w:color w:val="0033A0"/>
        </w:rPr>
      </w:pPr>
      <w:r>
        <w:rPr>
          <w:rFonts w:ascii="Arial" w:cs="Arial" w:eastAsia="Arial" w:hAnsi="Arial"/>
          <w:sz w:val="16"/>
          <w:szCs w:val="16"/>
          <w:color w:val="auto"/>
        </w:rPr>
        <w:t>Directors have unrestricted access to management and independent, outside advisors.</w:t>
      </w:r>
    </w:p>
    <w:p>
      <w:pPr>
        <w:spacing w:after="0" w:line="68"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Your Board routinely engages directly with shareholders, reinforcing management accountability.</w:t>
      </w:r>
    </w:p>
    <w:p>
      <w:pPr>
        <w:spacing w:after="0" w:line="68" w:lineRule="exact"/>
        <w:rPr>
          <w:sz w:val="20"/>
          <w:szCs w:val="20"/>
          <w:color w:val="auto"/>
        </w:rPr>
      </w:pPr>
    </w:p>
    <w:p>
      <w:pPr>
        <w:jc w:val="both"/>
        <w:ind w:left="400" w:right="20"/>
        <w:spacing w:after="0" w:line="251" w:lineRule="auto"/>
        <w:rPr>
          <w:sz w:val="20"/>
          <w:szCs w:val="20"/>
          <w:color w:val="auto"/>
        </w:rPr>
      </w:pPr>
      <w:r>
        <w:rPr>
          <w:rFonts w:ascii="Arial" w:cs="Arial" w:eastAsia="Arial" w:hAnsi="Arial"/>
          <w:sz w:val="16"/>
          <w:szCs w:val="16"/>
          <w:color w:val="auto"/>
        </w:rPr>
        <w:t>Since implementing the Director-Shareholder Engagement Policy in 2016, directors have conducted over a dozen individual meetings with our largest shareholders, representing approximately 30% of our outstanding common stock.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engagements help shape the Board’s perspective on many issues, such as Board leadership, succession planning, and refreshment; executive compensation, including the link between corporate strategy and executive compensation; and corporate responsibility, environmental, social, and other current and emerging issues so that your Board and management can understand and address the issues that are important to our shareholders. Examples of the Board incorporating feedback include proactively adopting proxy access (2016) and making significant changes to our compensation programs (2017). In addition, in connection with last year’s proxy contest with Greenlight Capital, your Board utilized engagement opportunities to discuss its director nominees and strategy for creating long-term shareholder value with investors, which led to an overwhelming victory for GM at the 2017 Annual</w:t>
      </w:r>
    </w:p>
    <w:p>
      <w:pPr>
        <w:spacing w:after="0" w:line="6"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Meeting. Your Board’s engagement efforts demonstrate its commitment to ensuring that management and your Board are accountable to shareholders.</w:t>
      </w:r>
    </w:p>
    <w:p>
      <w:pPr>
        <w:spacing w:after="0" w:line="73"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i w:val="1"/>
          <w:iCs w:val="1"/>
          <w:color w:val="auto"/>
        </w:rPr>
        <w:t>Your Board’s current leadership structure is consistent with the practices of the largest U.S. public companies.</w:t>
      </w:r>
    </w:p>
    <w:p>
      <w:pPr>
        <w:spacing w:after="0" w:line="68"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According to Shearman &amp; Sterling’s 2017 Corporate Governance &amp; Executive Compensation Survey of the 100 largest</w:t>
      </w:r>
    </w:p>
    <w:p>
      <w:pPr>
        <w:spacing w:after="0" w:line="1" w:lineRule="exact"/>
        <w:rPr>
          <w:sz w:val="20"/>
          <w:szCs w:val="20"/>
          <w:color w:val="auto"/>
        </w:rPr>
      </w:pPr>
    </w:p>
    <w:p>
      <w:pPr>
        <w:jc w:val="both"/>
        <w:ind w:right="220"/>
        <w:spacing w:after="0" w:line="249" w:lineRule="auto"/>
        <w:rPr>
          <w:sz w:val="20"/>
          <w:szCs w:val="20"/>
          <w:color w:val="auto"/>
        </w:rPr>
      </w:pPr>
      <w:r>
        <w:rPr>
          <w:rFonts w:ascii="Arial" w:cs="Arial" w:eastAsia="Arial" w:hAnsi="Arial"/>
          <w:sz w:val="16"/>
          <w:szCs w:val="16"/>
          <w:color w:val="auto"/>
        </w:rPr>
        <w:t>U.S. public companies, only 12 companies have a policy that requires separate individuals to serve as chairman and CEO, while the overwhelming majority of corporate policies provide boards with the flexibility to separate or combine the positions. Contrary to the proponent’s statements, your Board’s flexible approach to its leadership structure does not make it an outlier among its peers.</w:t>
      </w:r>
    </w:p>
    <w:p>
      <w:pPr>
        <w:spacing w:after="0" w:line="76" w:lineRule="exact"/>
        <w:rPr>
          <w:sz w:val="20"/>
          <w:szCs w:val="20"/>
          <w:color w:val="auto"/>
        </w:rPr>
      </w:pPr>
    </w:p>
    <w:p>
      <w:pPr>
        <w:ind w:right="500"/>
        <w:spacing w:after="0" w:line="273"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A1DF"/>
        </w:rPr>
        <w:t xml:space="preserve"> </w:t>
      </w:r>
      <w:r>
        <w:rPr>
          <w:rFonts w:ascii="Arial" w:cs="Arial" w:eastAsia="Arial" w:hAnsi="Arial"/>
          <w:sz w:val="19"/>
          <w:szCs w:val="19"/>
          <w:b w:val="1"/>
          <w:bCs w:val="1"/>
          <w:color w:val="0033A0"/>
        </w:rPr>
        <w:t>this shareholder proposal.</w:t>
      </w:r>
    </w:p>
    <w:p>
      <w:pPr>
        <w:spacing w:after="0" w:line="2155"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56"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73</w:t>
      </w:r>
    </w:p>
    <w:p>
      <w:pPr>
        <w:sectPr>
          <w:pgSz w:w="11900" w:h="16838" w:orient="portrait"/>
          <w:cols w:equalWidth="0" w:num="1">
            <w:col w:w="11260"/>
          </w:cols>
          <w:pgMar w:left="240" w:top="459" w:right="3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37"/>
          <w:szCs w:val="37"/>
          <w:b w:val="1"/>
          <w:bCs w:val="1"/>
          <w:color w:val="00A1DF"/>
        </w:rPr>
        <w:t xml:space="preserve">ITEM NO. 5 </w:t>
      </w:r>
      <w:r>
        <w:rPr>
          <w:rFonts w:ascii="Arial" w:cs="Arial" w:eastAsia="Arial" w:hAnsi="Arial"/>
          <w:sz w:val="37"/>
          <w:szCs w:val="37"/>
          <w:color w:val="0033A0"/>
        </w:rPr>
        <w:t>– SHAREHOLDER PROPOSAL REGARDING</w:t>
      </w:r>
    </w:p>
    <w:p>
      <w:pPr>
        <w:spacing w:after="0" w:line="55" w:lineRule="exact"/>
        <w:rPr>
          <w:sz w:val="20"/>
          <w:szCs w:val="20"/>
          <w:color w:val="auto"/>
        </w:rPr>
      </w:pPr>
    </w:p>
    <w:p>
      <w:pPr>
        <w:ind w:left="2620" w:right="2340"/>
        <w:spacing w:after="0" w:line="247" w:lineRule="auto"/>
        <w:rPr>
          <w:sz w:val="20"/>
          <w:szCs w:val="20"/>
          <w:color w:val="auto"/>
        </w:rPr>
      </w:pPr>
      <w:r>
        <w:rPr>
          <w:rFonts w:ascii="Arial" w:cs="Arial" w:eastAsia="Arial" w:hAnsi="Arial"/>
          <w:sz w:val="38"/>
          <w:szCs w:val="38"/>
          <w:color w:val="0033A0"/>
        </w:rPr>
        <w:t>SHAREHOLDER RIGHT TO ACT BY WRITTEN CONSENT</w:t>
      </w:r>
    </w:p>
    <w:p>
      <w:pPr>
        <w:sectPr>
          <w:pgSz w:w="11900" w:h="16838" w:orient="portrait"/>
          <w:cols w:equalWidth="0" w:num="1">
            <w:col w:w="11220"/>
          </w:cols>
          <w:pgMar w:left="240" w:top="459" w:right="439" w:bottom="1440" w:gutter="0" w:footer="0" w:header="0"/>
        </w:sectPr>
      </w:pPr>
    </w:p>
    <w:p>
      <w:pPr>
        <w:spacing w:after="0" w:line="363"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John Chevedden, 2215 Nelson Avenue, No. 205, Redondo Beach, CA 90278, owner of approximately 100 shares of GM common stock, has given notice that he intends to present for action at the annual meeting the following shareholder proposal:</w:t>
      </w:r>
    </w:p>
    <w:p>
      <w:pPr>
        <w:spacing w:after="0" w:line="9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This written consent is to be consistent with applicable law and consistent with giving shareholders the fullest power to act by written consent consistent with applicable law. This includes shareholder ability to initiate any topic for written consent consistent with applicable law.</w:t>
      </w:r>
    </w:p>
    <w:p>
      <w:pPr>
        <w:spacing w:after="0" w:line="99" w:lineRule="exact"/>
        <w:rPr>
          <w:sz w:val="20"/>
          <w:szCs w:val="20"/>
          <w:color w:val="auto"/>
        </w:rPr>
      </w:pPr>
    </w:p>
    <w:p>
      <w:pPr>
        <w:jc w:val="both"/>
        <w:ind w:left="220" w:right="20"/>
        <w:spacing w:after="0" w:line="251" w:lineRule="auto"/>
        <w:rPr>
          <w:sz w:val="20"/>
          <w:szCs w:val="20"/>
          <w:color w:val="auto"/>
        </w:rPr>
      </w:pPr>
      <w:r>
        <w:rPr>
          <w:rFonts w:ascii="Arial" w:cs="Arial" w:eastAsia="Arial" w:hAnsi="Arial"/>
          <w:sz w:val="16"/>
          <w:szCs w:val="16"/>
          <w:color w:val="auto"/>
        </w:rPr>
        <w:t>This proposal topic won majority shareholder support at 13 major companies in a single year. This included 67%-support at both Allstate and Sprint. Hundreds of major companies enable shareholder action by written consent.</w:t>
      </w:r>
    </w:p>
    <w:p>
      <w:pPr>
        <w:spacing w:after="0" w:line="9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Taking action by written consent in lieu of a meeting is a means shareholders can use to raise important matters outside the normal annual meeting cycle. A shareholder right to act by</w:t>
      </w:r>
    </w:p>
    <w:p>
      <w:pPr>
        <w:spacing w:after="0" w:line="285" w:lineRule="exact"/>
        <w:rPr>
          <w:sz w:val="20"/>
          <w:szCs w:val="20"/>
          <w:color w:val="auto"/>
        </w:rPr>
      </w:pPr>
    </w:p>
    <w:p>
      <w:pPr>
        <w:jc w:val="center"/>
        <w:ind w:right="4940"/>
        <w:spacing w:after="0"/>
        <w:rPr>
          <w:sz w:val="20"/>
          <w:szCs w:val="20"/>
          <w:color w:val="auto"/>
        </w:rPr>
      </w:pPr>
      <w:r>
        <w:rPr>
          <w:rFonts w:ascii="Arial" w:cs="Arial" w:eastAsia="Arial" w:hAnsi="Arial"/>
          <w:sz w:val="14"/>
          <w:szCs w:val="14"/>
          <w:color w:val="0033A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written consent and to call a special meeting are 2 complimentary ways to bring an important matter to the attention of both management and shareholders outside the annual meeting cycle. More than 100 Fortune 500 companies provide for shareholders to call special meetings and to act by written consent.</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 Motors shareholders have no right to act by written consent. Shareholders of companies incorporated in Delaware, like General Motors, automatically have the right to act by written consent. However, the GM charter specifically takes away this important right. GM shareholders also do not have the full right to call a special meeting that is available under Delaware law.</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proposal could receive a substantial supporting vote at the 2018 GM annual meeting. It might get a still higher vote if small shareholders would have the advantage of the same access to independent corporate governance recommendations as large shareholders.</w:t>
      </w:r>
    </w:p>
    <w:p>
      <w:pPr>
        <w:spacing w:after="0" w:line="95" w:lineRule="exact"/>
        <w:rPr>
          <w:sz w:val="20"/>
          <w:szCs w:val="20"/>
          <w:color w:val="auto"/>
        </w:rPr>
      </w:pPr>
    </w:p>
    <w:p>
      <w:pPr>
        <w:spacing w:after="0"/>
        <w:tabs>
          <w:tab w:leader="none" w:pos="660" w:val="left"/>
          <w:tab w:leader="none" w:pos="1140" w:val="left"/>
          <w:tab w:leader="none" w:pos="1460" w:val="left"/>
          <w:tab w:leader="none" w:pos="2220" w:val="left"/>
          <w:tab w:leader="none" w:pos="2920" w:val="left"/>
          <w:tab w:leader="none" w:pos="4080" w:val="left"/>
          <w:tab w:leader="none" w:pos="4400" w:val="left"/>
        </w:tabs>
        <w:rPr>
          <w:sz w:val="20"/>
          <w:szCs w:val="20"/>
          <w:color w:val="auto"/>
        </w:rPr>
      </w:pPr>
      <w:r>
        <w:rPr>
          <w:rFonts w:ascii="Arial" w:cs="Arial" w:eastAsia="Arial" w:hAnsi="Arial"/>
          <w:sz w:val="16"/>
          <w:szCs w:val="16"/>
          <w:color w:val="auto"/>
        </w:rPr>
        <w:t>Please</w:t>
        <w:tab/>
        <w:t>vote</w:t>
        <w:tab/>
        <w:t>to</w:t>
        <w:tab/>
        <w:t>improve</w:t>
        <w:tab/>
        <w:t>director</w:t>
        <w:tab/>
        <w:t>accountability</w:t>
        <w:tab/>
        <w:t>to</w:t>
        <w:tab/>
        <w:t>shareholders: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 to Act by Written Consent – Proposal 5.</w:t>
      </w:r>
    </w:p>
    <w:p>
      <w:pPr>
        <w:sectPr>
          <w:pgSz w:w="11900" w:h="16838" w:orient="portrait"/>
          <w:cols w:equalWidth="0" w:num="2">
            <w:col w:w="5500" w:space="320"/>
            <w:col w:w="5400"/>
          </w:cols>
          <w:pgMar w:left="24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SHAREHOLDER PROPOSAL REGARDING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4373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7700" cy="437388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right"/>
        <w:ind w:left="460" w:right="460"/>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proposal  would  significantly  limit  the  right  of  ALL</w:t>
      </w:r>
      <w:r>
        <w:rPr>
          <w:rFonts w:ascii="Arial" w:cs="Arial" w:eastAsia="Arial" w:hAnsi="Arial"/>
          <w:sz w:val="16"/>
          <w:szCs w:val="16"/>
          <w:color w:val="00A1DF"/>
        </w:rPr>
        <w:t xml:space="preserve"> </w:t>
      </w:r>
      <w:r>
        <w:rPr>
          <w:rFonts w:ascii="Arial" w:cs="Arial" w:eastAsia="Arial" w:hAnsi="Arial"/>
          <w:sz w:val="16"/>
          <w:szCs w:val="16"/>
          <w:color w:val="000000"/>
        </w:rPr>
        <w:t>shareholders to consider and be heard on important matters.</w:t>
      </w:r>
    </w:p>
    <w:p>
      <w:pPr>
        <w:spacing w:after="0" w:line="172" w:lineRule="exact"/>
        <w:rPr>
          <w:sz w:val="20"/>
          <w:szCs w:val="20"/>
          <w:color w:val="auto"/>
        </w:rPr>
      </w:pPr>
    </w:p>
    <w:p>
      <w:pPr>
        <w:jc w:val="right"/>
        <w:ind w:left="460" w:right="460"/>
        <w:spacing w:after="0" w:line="26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The right to call for a special meeting is a preferred, fair, and</w:t>
      </w:r>
      <w:r>
        <w:rPr>
          <w:rFonts w:ascii="Arial" w:cs="Arial" w:eastAsia="Arial" w:hAnsi="Arial"/>
          <w:sz w:val="16"/>
          <w:szCs w:val="16"/>
          <w:color w:val="00A1DF"/>
        </w:rPr>
        <w:t xml:space="preserve"> </w:t>
      </w:r>
      <w:r>
        <w:rPr>
          <w:rFonts w:ascii="Arial" w:cs="Arial" w:eastAsia="Arial" w:hAnsi="Arial"/>
          <w:sz w:val="16"/>
          <w:szCs w:val="16"/>
          <w:color w:val="000000"/>
        </w:rPr>
        <w:t>transparent  mechanism  for  shareholders  to  consider</w:t>
      </w:r>
    </w:p>
    <w:p>
      <w:pPr>
        <w:ind w:left="680"/>
        <w:spacing w:after="0"/>
        <w:rPr>
          <w:sz w:val="20"/>
          <w:szCs w:val="20"/>
          <w:color w:val="auto"/>
        </w:rPr>
      </w:pPr>
      <w:r>
        <w:rPr>
          <w:rFonts w:ascii="Arial" w:cs="Arial" w:eastAsia="Arial" w:hAnsi="Arial"/>
          <w:sz w:val="16"/>
          <w:szCs w:val="16"/>
          <w:color w:val="auto"/>
        </w:rPr>
        <w:t>important matters.</w:t>
      </w:r>
    </w:p>
    <w:p>
      <w:pPr>
        <w:spacing w:after="0" w:line="161"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16"/>
          <w:szCs w:val="16"/>
          <w:b w:val="1"/>
          <w:bCs w:val="1"/>
          <w:i w:val="1"/>
          <w:iCs w:val="1"/>
          <w:color w:val="auto"/>
        </w:rPr>
        <w:t>A simple-majority written consent provision is NOT in the best interests of shareholders because it would significantly limit the right of ALL shareholders to consider and be heard on important matters.</w:t>
      </w:r>
    </w:p>
    <w:p>
      <w:pPr>
        <w:spacing w:after="0" w:line="90"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Your Board believes that all shareholders – not just a simple majority – should have an opportunity to hear about and express their views on important shareholder proposals. Because there is no requirement that a written consent be distributed to all shareholders, actions permitted to be taken by the written consent of a simple majority of shareholders could deprive many shareholders of the critical opportunity to assess, discuss, deliberate, and vote on pending actions.</w:t>
      </w:r>
    </w:p>
    <w:p>
      <w:pPr>
        <w:spacing w:after="0" w:line="101"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Further, a simple-majority written consent provision caters particularly to special and short-term interests. The proposal would permit these special and short-term interests to bypass our existing procedural protections and marginalize smaller shareholders. Multiple shareholder groups could solicit written consents simultaneously, some of which may be duplicative or contradictory. In addition, the Board would not have the opportunity to consider the merits of the proposed action and provide its recommendation for shareholder consideration.</w:t>
      </w:r>
    </w:p>
    <w:p>
      <w:pPr>
        <w:spacing w:after="0" w:line="100" w:lineRule="exact"/>
        <w:rPr>
          <w:sz w:val="20"/>
          <w:szCs w:val="20"/>
          <w:color w:val="auto"/>
        </w:rPr>
      </w:pPr>
    </w:p>
    <w:p>
      <w:pPr>
        <w:jc w:val="both"/>
        <w:ind w:left="400"/>
        <w:spacing w:after="0" w:line="251" w:lineRule="auto"/>
        <w:rPr>
          <w:sz w:val="20"/>
          <w:szCs w:val="20"/>
          <w:color w:val="auto"/>
        </w:rPr>
      </w:pPr>
      <w:r>
        <w:rPr>
          <w:rFonts w:ascii="Arial" w:cs="Arial" w:eastAsia="Arial" w:hAnsi="Arial"/>
          <w:sz w:val="16"/>
          <w:szCs w:val="16"/>
          <w:color w:val="auto"/>
        </w:rPr>
        <w:t>The concerns are not merely theoretical. Just last year, GM shareholders overwhelmingly voted against a flawed, high-risk shareholder proposal to create a dual-class of common stock. However, had that proposal been more universally supported 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is not inconceivable that with a simple-majority written consent provision the proponent could have forced adoption of its proposal without resorting to the open proxy voting process.</w:t>
      </w:r>
    </w:p>
    <w:p>
      <w:pPr>
        <w:spacing w:after="0" w:line="7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b w:val="1"/>
          <w:bCs w:val="1"/>
          <w:i w:val="1"/>
          <w:iCs w:val="1"/>
          <w:color w:val="auto"/>
        </w:rPr>
        <w:t>GM’s shareholders already have a preferable, fair, and transparent mechanism to advance their concerns outside of the annual meeting process: special meetings.</w:t>
      </w:r>
    </w:p>
    <w:p>
      <w:pPr>
        <w:spacing w:after="0" w:line="84" w:lineRule="exact"/>
        <w:rPr>
          <w:sz w:val="20"/>
          <w:szCs w:val="20"/>
          <w:color w:val="auto"/>
        </w:rPr>
      </w:pPr>
    </w:p>
    <w:p>
      <w:pPr>
        <w:jc w:val="both"/>
        <w:ind w:right="220"/>
        <w:spacing w:after="0" w:line="249" w:lineRule="auto"/>
        <w:rPr>
          <w:sz w:val="20"/>
          <w:szCs w:val="20"/>
          <w:color w:val="auto"/>
        </w:rPr>
      </w:pPr>
      <w:r>
        <w:rPr>
          <w:rFonts w:ascii="Arial" w:cs="Arial" w:eastAsia="Arial" w:hAnsi="Arial"/>
          <w:sz w:val="16"/>
          <w:szCs w:val="16"/>
          <w:color w:val="auto"/>
        </w:rPr>
        <w:t>Shareholders that are able to demonstrate a relatively modest level of support (25% of shares that would be entitled to vote) for their concerns can call for a special meeting of shareholders. Your Board believes that this mechanism is preferable to a simple-majority written consent provision because it is much more fair and transparent to ALL shareholders.</w:t>
      </w:r>
    </w:p>
    <w:p>
      <w:pPr>
        <w:spacing w:after="0" w:line="77" w:lineRule="exact"/>
        <w:rPr>
          <w:sz w:val="20"/>
          <w:szCs w:val="20"/>
          <w:color w:val="auto"/>
        </w:rPr>
      </w:pPr>
    </w:p>
    <w:p>
      <w:pPr>
        <w:jc w:val="both"/>
        <w:ind w:right="580"/>
        <w:spacing w:after="0" w:line="266" w:lineRule="auto"/>
        <w:rPr>
          <w:sz w:val="20"/>
          <w:szCs w:val="20"/>
          <w:color w:val="auto"/>
        </w:rPr>
      </w:pPr>
      <w:r>
        <w:rPr>
          <w:rFonts w:ascii="Arial" w:cs="Arial" w:eastAsia="Arial" w:hAnsi="Arial"/>
          <w:sz w:val="16"/>
          <w:szCs w:val="16"/>
          <w:b w:val="1"/>
          <w:bCs w:val="1"/>
          <w:i w:val="1"/>
          <w:iCs w:val="1"/>
          <w:color w:val="auto"/>
        </w:rPr>
        <w:t>GM’s commitment to shareholder engagement and governance best practices enhances Board accountability and preserves a meaningful voice for shareholders.</w:t>
      </w:r>
    </w:p>
    <w:p>
      <w:pPr>
        <w:spacing w:after="0" w:line="8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Board has also adopted a variety of other practices and policies that enhance Board accountability to shareholders, including:</w:t>
      </w:r>
    </w:p>
    <w:p>
      <w:pPr>
        <w:spacing w:after="0" w:line="101" w:lineRule="exact"/>
        <w:rPr>
          <w:sz w:val="20"/>
          <w:szCs w:val="20"/>
          <w:color w:val="auto"/>
        </w:rPr>
      </w:pPr>
    </w:p>
    <w:p>
      <w:pPr>
        <w:ind w:left="200" w:hanging="196"/>
        <w:spacing w:after="0"/>
        <w:tabs>
          <w:tab w:leader="none" w:pos="200" w:val="left"/>
        </w:tabs>
        <w:numPr>
          <w:ilvl w:val="0"/>
          <w:numId w:val="141"/>
        </w:numPr>
        <w:rPr>
          <w:rFonts w:ascii="Arial" w:cs="Arial" w:eastAsia="Arial" w:hAnsi="Arial"/>
          <w:sz w:val="16"/>
          <w:szCs w:val="16"/>
          <w:color w:val="0033A0"/>
        </w:rPr>
      </w:pPr>
      <w:r>
        <w:rPr>
          <w:rFonts w:ascii="Arial" w:cs="Arial" w:eastAsia="Arial" w:hAnsi="Arial"/>
          <w:sz w:val="16"/>
          <w:szCs w:val="16"/>
          <w:color w:val="auto"/>
        </w:rPr>
        <w:t>Annual election of directors;</w:t>
      </w:r>
    </w:p>
    <w:p>
      <w:pPr>
        <w:spacing w:after="0" w:line="5" w:lineRule="exact"/>
        <w:rPr>
          <w:rFonts w:ascii="Arial" w:cs="Arial" w:eastAsia="Arial" w:hAnsi="Arial"/>
          <w:sz w:val="16"/>
          <w:szCs w:val="16"/>
          <w:color w:val="0033A0"/>
        </w:rPr>
      </w:pPr>
    </w:p>
    <w:p>
      <w:pPr>
        <w:ind w:left="200" w:hanging="196"/>
        <w:spacing w:after="0"/>
        <w:tabs>
          <w:tab w:leader="none" w:pos="200" w:val="left"/>
        </w:tabs>
        <w:numPr>
          <w:ilvl w:val="0"/>
          <w:numId w:val="141"/>
        </w:numPr>
        <w:rPr>
          <w:rFonts w:ascii="Arial" w:cs="Arial" w:eastAsia="Arial" w:hAnsi="Arial"/>
          <w:sz w:val="16"/>
          <w:szCs w:val="16"/>
          <w:color w:val="0033A0"/>
        </w:rPr>
      </w:pPr>
      <w:r>
        <w:rPr>
          <w:rFonts w:ascii="Arial" w:cs="Arial" w:eastAsia="Arial" w:hAnsi="Arial"/>
          <w:sz w:val="16"/>
          <w:szCs w:val="16"/>
          <w:color w:val="auto"/>
        </w:rPr>
        <w:t>Proxy access rights;</w:t>
      </w:r>
    </w:p>
    <w:p>
      <w:pPr>
        <w:spacing w:after="0" w:line="5" w:lineRule="exact"/>
        <w:rPr>
          <w:rFonts w:ascii="Arial" w:cs="Arial" w:eastAsia="Arial" w:hAnsi="Arial"/>
          <w:sz w:val="16"/>
          <w:szCs w:val="16"/>
          <w:color w:val="0033A0"/>
        </w:rPr>
      </w:pPr>
    </w:p>
    <w:p>
      <w:pPr>
        <w:ind w:left="200" w:right="240" w:hanging="196"/>
        <w:spacing w:after="0" w:line="246" w:lineRule="auto"/>
        <w:tabs>
          <w:tab w:leader="none" w:pos="200" w:val="left"/>
        </w:tabs>
        <w:numPr>
          <w:ilvl w:val="0"/>
          <w:numId w:val="141"/>
        </w:numPr>
        <w:rPr>
          <w:rFonts w:ascii="Arial" w:cs="Arial" w:eastAsia="Arial" w:hAnsi="Arial"/>
          <w:sz w:val="16"/>
          <w:szCs w:val="16"/>
          <w:color w:val="0033A0"/>
        </w:rPr>
      </w:pPr>
      <w:r>
        <w:rPr>
          <w:rFonts w:ascii="Arial" w:cs="Arial" w:eastAsia="Arial" w:hAnsi="Arial"/>
          <w:sz w:val="16"/>
          <w:szCs w:val="16"/>
          <w:color w:val="auto"/>
        </w:rPr>
        <w:t>Active shareholder engagement process, including a Director-Shareholder Engagement Policy; and</w:t>
      </w:r>
    </w:p>
    <w:p>
      <w:pPr>
        <w:ind w:left="200" w:hanging="196"/>
        <w:spacing w:after="0"/>
        <w:tabs>
          <w:tab w:leader="none" w:pos="200" w:val="left"/>
        </w:tabs>
        <w:numPr>
          <w:ilvl w:val="0"/>
          <w:numId w:val="141"/>
        </w:numPr>
        <w:rPr>
          <w:rFonts w:ascii="Arial" w:cs="Arial" w:eastAsia="Arial" w:hAnsi="Arial"/>
          <w:sz w:val="16"/>
          <w:szCs w:val="16"/>
          <w:color w:val="0033A0"/>
        </w:rPr>
      </w:pPr>
      <w:r>
        <w:rPr>
          <w:rFonts w:ascii="Arial" w:cs="Arial" w:eastAsia="Arial" w:hAnsi="Arial"/>
          <w:sz w:val="16"/>
          <w:szCs w:val="16"/>
          <w:color w:val="auto"/>
        </w:rPr>
        <w:t>Direct line of communication from shareholders to the Board.</w:t>
      </w:r>
    </w:p>
    <w:p>
      <w:pPr>
        <w:spacing w:after="0" w:line="113" w:lineRule="exact"/>
        <w:rPr>
          <w:sz w:val="20"/>
          <w:szCs w:val="20"/>
          <w:color w:val="auto"/>
        </w:rPr>
      </w:pPr>
    </w:p>
    <w:p>
      <w:pPr>
        <w:jc w:val="both"/>
        <w:ind w:right="220"/>
        <w:spacing w:after="0" w:line="250" w:lineRule="auto"/>
        <w:rPr>
          <w:sz w:val="20"/>
          <w:szCs w:val="20"/>
          <w:color w:val="auto"/>
        </w:rPr>
      </w:pPr>
      <w:r>
        <w:rPr>
          <w:rFonts w:ascii="Arial" w:cs="Arial" w:eastAsia="Arial" w:hAnsi="Arial"/>
          <w:sz w:val="16"/>
          <w:szCs w:val="16"/>
          <w:color w:val="auto"/>
        </w:rPr>
        <w:t>In addition, on an annual basis, the Governance Committee reviews GM’s governance program, discusses best practices, and considers shareholder feedback. For a detailed discussion of our governance best practices, see “Proxy Statement Summary—Governance Highlights” on page 3 and “Corporate Governance” on page 20.</w:t>
      </w:r>
    </w:p>
    <w:p>
      <w:pPr>
        <w:spacing w:after="0" w:line="74" w:lineRule="exact"/>
        <w:rPr>
          <w:sz w:val="20"/>
          <w:szCs w:val="20"/>
          <w:color w:val="auto"/>
        </w:rPr>
      </w:pPr>
    </w:p>
    <w:p>
      <w:pPr>
        <w:ind w:right="500"/>
        <w:spacing w:after="0" w:line="273"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A1DF"/>
        </w:rPr>
        <w:t xml:space="preserve"> </w:t>
      </w:r>
      <w:r>
        <w:rPr>
          <w:rFonts w:ascii="Arial" w:cs="Arial" w:eastAsia="Arial" w:hAnsi="Arial"/>
          <w:sz w:val="19"/>
          <w:szCs w:val="19"/>
          <w:b w:val="1"/>
          <w:bCs w:val="1"/>
          <w:color w:val="0033A0"/>
        </w:rPr>
        <w:t>this shareholder proposal.</w:t>
      </w:r>
    </w:p>
    <w:p>
      <w:pPr>
        <w:spacing w:after="0" w:line="200"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26"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75</w:t>
      </w:r>
    </w:p>
    <w:p>
      <w:pPr>
        <w:sectPr>
          <w:pgSz w:w="11900" w:h="16838" w:orient="portrait"/>
          <w:cols w:equalWidth="0" w:num="1">
            <w:col w:w="11260"/>
          </w:cols>
          <w:pgMar w:left="240" w:top="459" w:right="3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600" w:right="460" w:hanging="1911"/>
        <w:spacing w:after="0" w:line="255" w:lineRule="auto"/>
        <w:rPr>
          <w:sz w:val="20"/>
          <w:szCs w:val="20"/>
          <w:color w:val="auto"/>
        </w:rPr>
      </w:pPr>
      <w:r>
        <w:rPr>
          <w:rFonts w:ascii="Arial" w:cs="Arial" w:eastAsia="Arial" w:hAnsi="Arial"/>
          <w:sz w:val="38"/>
          <w:szCs w:val="38"/>
          <w:b w:val="1"/>
          <w:bCs w:val="1"/>
          <w:color w:val="00A1DF"/>
        </w:rPr>
        <w:t xml:space="preserve">ITEM NO. 6 </w:t>
      </w:r>
      <w:r>
        <w:rPr>
          <w:rFonts w:ascii="Arial" w:cs="Arial" w:eastAsia="Arial" w:hAnsi="Arial"/>
          <w:sz w:val="38"/>
          <w:szCs w:val="38"/>
          <w:color w:val="0033A0"/>
        </w:rPr>
        <w:t>– SHAREHOLDER PROPOSAL REGARDING</w:t>
      </w:r>
      <w:r>
        <w:rPr>
          <w:rFonts w:ascii="Arial" w:cs="Arial" w:eastAsia="Arial" w:hAnsi="Arial"/>
          <w:sz w:val="38"/>
          <w:szCs w:val="38"/>
          <w:b w:val="1"/>
          <w:bCs w:val="1"/>
          <w:color w:val="00A1DF"/>
        </w:rPr>
        <w:t xml:space="preserve"> </w:t>
      </w:r>
      <w:r>
        <w:rPr>
          <w:rFonts w:ascii="Arial" w:cs="Arial" w:eastAsia="Arial" w:hAnsi="Arial"/>
          <w:sz w:val="38"/>
          <w:szCs w:val="38"/>
          <w:color w:val="0033A0"/>
        </w:rPr>
        <w:t>REPORT ON GREENHOUSE GAS EMISSIONS AND CAFE STANDARDS</w:t>
      </w:r>
    </w:p>
    <w:p>
      <w:pPr>
        <w:sectPr>
          <w:pgSz w:w="11900" w:h="16838" w:orient="portrait"/>
          <w:cols w:equalWidth="0" w:num="1">
            <w:col w:w="11220"/>
          </w:cols>
          <w:pgMar w:left="240" w:top="459" w:right="439" w:bottom="1440" w:gutter="0" w:footer="0" w:header="0"/>
        </w:sectPr>
      </w:pPr>
    </w:p>
    <w:p>
      <w:pPr>
        <w:spacing w:after="0" w:line="330" w:lineRule="exact"/>
        <w:rPr>
          <w:sz w:val="20"/>
          <w:szCs w:val="20"/>
          <w:color w:val="auto"/>
        </w:rPr>
      </w:pPr>
    </w:p>
    <w:p>
      <w:pPr>
        <w:jc w:val="both"/>
        <w:ind w:left="22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Global action on climate change is accelerating. The Paris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goal of keeping global temperature rise below 2 degrees Celsius is already shaping global, national, and local policy decisions.</w:t>
      </w:r>
    </w:p>
    <w:p>
      <w:pPr>
        <w:spacing w:after="0" w:line="84" w:lineRule="exact"/>
        <w:rPr>
          <w:sz w:val="20"/>
          <w:szCs w:val="20"/>
          <w:color w:val="auto"/>
        </w:rPr>
      </w:pPr>
    </w:p>
    <w:p>
      <w:pPr>
        <w:jc w:val="both"/>
        <w:ind w:left="220"/>
        <w:spacing w:after="0" w:line="242" w:lineRule="auto"/>
        <w:rPr>
          <w:sz w:val="20"/>
          <w:szCs w:val="20"/>
          <w:color w:val="auto"/>
        </w:rPr>
      </w:pPr>
      <w:r>
        <w:rPr>
          <w:rFonts w:ascii="Arial" w:cs="Arial" w:eastAsia="Arial" w:hAnsi="Arial"/>
          <w:sz w:val="16"/>
          <w:szCs w:val="16"/>
          <w:color w:val="auto"/>
        </w:rPr>
        <w:t xml:space="preserve">Transportation accounts for more than 23 percent of global carbon dioxide emissions; this sector will need to deliver major emissions cuts for countries to achieve the Paris goal. (WEO 2017). In the U.S., a recent study found that greenhouse gas (GHG) reductions beyond those achievable from current vehicle emission reduction standards will be necessary by 2025 to meet global climate goals. </w:t>
      </w:r>
      <w:r>
        <w:rPr>
          <w:rFonts w:ascii="Arial" w:cs="Arial" w:eastAsia="Arial" w:hAnsi="Arial"/>
          <w:sz w:val="27"/>
          <w:szCs w:val="27"/>
          <w:color w:val="auto"/>
          <w:vertAlign w:val="superscript"/>
        </w:rPr>
        <w:t>1</w:t>
      </w:r>
    </w:p>
    <w:p>
      <w:pPr>
        <w:spacing w:after="0" w:line="2"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Globally, governments are adopting transportation policies requiring significant fuel economy increases, and are beginning to promote low carbon vehicle technology standards. China will require 40 percent of cars sold by 2030 to be electric and intends to ban vehicles with internal combustion engines. Other countries and cities have announced, and California is considering, similar measures.</w:t>
      </w:r>
    </w:p>
    <w:p>
      <w:pPr>
        <w:spacing w:after="0" w:line="97"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Many automakers have announced plans in line with this decarbonizing transportation market. Volvo committed that, by 2019, all new models will be electrified. BMW committed to sell 100,000 electrified vehicles in 2017 and that 20 to 25 percent of its sales will be plug-in hybrids or EVs by 2025. General Motors will need to undertake aggressive action to compete successfully in this transition to low carbon transportation.</w:t>
      </w:r>
    </w:p>
    <w:p>
      <w:pPr>
        <w:spacing w:after="0" w:line="97" w:lineRule="exact"/>
        <w:rPr>
          <w:sz w:val="20"/>
          <w:szCs w:val="20"/>
          <w:color w:val="auto"/>
        </w:rPr>
      </w:pPr>
    </w:p>
    <w:p>
      <w:pPr>
        <w:jc w:val="both"/>
        <w:ind w:left="220"/>
        <w:spacing w:after="0"/>
        <w:rPr>
          <w:sz w:val="20"/>
          <w:szCs w:val="20"/>
          <w:color w:val="auto"/>
        </w:rPr>
      </w:pPr>
      <w:r>
        <w:rPr>
          <w:rFonts w:ascii="Arial" w:cs="Arial" w:eastAsia="Arial" w:hAnsi="Arial"/>
          <w:sz w:val="16"/>
          <w:szCs w:val="16"/>
          <w:color w:val="auto"/>
        </w:rPr>
        <w:t xml:space="preserve">In 2012, the U.S. issued light duty vehicle rules strengthening GHG emission reduction standards and improving corporate average fuel economy standards (collectively “CAFE standards”). These rules are being challenged by General Motors (GM) and other automakers. </w:t>
      </w:r>
      <w:r>
        <w:rPr>
          <w:rFonts w:ascii="Arial" w:cs="Arial" w:eastAsia="Arial" w:hAnsi="Arial"/>
          <w:sz w:val="27"/>
          <w:szCs w:val="27"/>
          <w:color w:val="auto"/>
          <w:vertAlign w:val="superscript"/>
        </w:rPr>
        <w:t>2</w:t>
      </w:r>
    </w:p>
    <w:p>
      <w:pPr>
        <w:spacing w:after="0" w:line="2"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The proposed weakening of CAFE standards will lead to additional greenhouse gas emissions, regulatory uncertainty,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and significant reputational risk for automakers. A public, grassroots campaign was recently launched demanding that automakers end their advocacy for rollback of CAFE standards.</w:t>
      </w:r>
      <w:r>
        <w:rPr>
          <w:rFonts w:ascii="Arial" w:cs="Arial" w:eastAsia="Arial" w:hAnsi="Arial"/>
          <w:sz w:val="27"/>
          <w:szCs w:val="27"/>
          <w:color w:val="auto"/>
          <w:vertAlign w:val="superscript"/>
        </w:rPr>
        <w:t>3</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over 243,000 GM vehicles with electrification features have been sold as of 2016, this is a very small percentage of the company’s overall fleet sales. GM has announced a decision to accelerate and expand electrification of its global fleet, but has not specified sales targets, percentages of planned electric drive vehicles, or what percentage of its fleet will have electrification features. Coupled with lobbying to weaken CAFE standards, serious questions exist as to whether the company will retreat in reducing fleetwide GHG emissions, especially through 2025, a critical window of opportunity for the industry to meet climate goals. This uncertainty exposes the company to reputational harm, public controversy, and the potential to quickly lose global competitiveness.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Motors’ actions have created investor concern about the alignment of its fleet emissions with an increasingly low carbon global vehicle market.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General Motors, with Board</w:t>
      </w:r>
      <w:r>
        <w:rPr>
          <w:rFonts w:ascii="Arial" w:cs="Arial" w:eastAsia="Arial" w:hAnsi="Arial"/>
          <w:sz w:val="16"/>
          <w:szCs w:val="16"/>
          <w:b w:val="1"/>
          <w:bCs w:val="1"/>
          <w:color w:val="auto"/>
        </w:rPr>
        <w:t xml:space="preserve"> </w:t>
      </w:r>
      <w:r>
        <w:rPr>
          <w:rFonts w:ascii="Arial" w:cs="Arial" w:eastAsia="Arial" w:hAnsi="Arial"/>
          <w:sz w:val="16"/>
          <w:szCs w:val="16"/>
          <w:color w:val="auto"/>
        </w:rPr>
        <w:t>oversight, publish a report, at reasonable cost, describing whether our company’s fleet GHG emissions through 2025 will increase, given the industry’s proposed weakening of CAFE standards or, conversely, how GM plans to retain emissions consistent with current CAFE standards, to ensure its products are sustainable in a rapidly decarbonizing vehicle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34220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400" w:lineRule="exact"/>
        <w:rPr>
          <w:sz w:val="20"/>
          <w:szCs w:val="20"/>
          <w:color w:val="auto"/>
        </w:rPr>
      </w:pPr>
    </w:p>
    <w:p>
      <w:pPr>
        <w:ind w:left="280" w:hanging="271"/>
        <w:spacing w:after="0"/>
        <w:tabs>
          <w:tab w:leader="none" w:pos="280" w:val="left"/>
        </w:tabs>
        <w:numPr>
          <w:ilvl w:val="0"/>
          <w:numId w:val="142"/>
        </w:numPr>
        <w:rPr>
          <w:rFonts w:ascii="Arial" w:cs="Arial" w:eastAsia="Arial" w:hAnsi="Arial"/>
          <w:sz w:val="24"/>
          <w:szCs w:val="24"/>
          <w:color w:val="00A1DF"/>
          <w:vertAlign w:val="superscript"/>
        </w:rPr>
      </w:pPr>
      <w:r>
        <w:rPr>
          <w:rFonts w:ascii="Arial" w:cs="Arial" w:eastAsia="Arial" w:hAnsi="Arial"/>
          <w:sz w:val="14"/>
          <w:szCs w:val="14"/>
          <w:color w:val="00A1DF"/>
        </w:rPr>
        <w:t>http://ns.umich.edu/new/releases/25157-beyond-epa-s-clean-power-decision-</w:t>
      </w:r>
    </w:p>
    <w:p>
      <w:pPr>
        <w:ind w:left="280"/>
        <w:spacing w:after="0" w:line="230" w:lineRule="auto"/>
        <w:rPr>
          <w:sz w:val="20"/>
          <w:szCs w:val="20"/>
          <w:color w:val="auto"/>
        </w:rPr>
      </w:pPr>
      <w:r>
        <w:rPr>
          <w:rFonts w:ascii="Arial" w:cs="Arial" w:eastAsia="Arial" w:hAnsi="Arial"/>
          <w:sz w:val="14"/>
          <w:szCs w:val="14"/>
          <w:color w:val="00A1DF"/>
        </w:rPr>
        <w:t>climate-action-window-could-close-as-early-as-2023</w:t>
      </w:r>
    </w:p>
    <w:p>
      <w:pPr>
        <w:ind w:left="280" w:hanging="271"/>
        <w:spacing w:after="0" w:line="186" w:lineRule="auto"/>
        <w:tabs>
          <w:tab w:leader="none" w:pos="280" w:val="left"/>
        </w:tabs>
        <w:numPr>
          <w:ilvl w:val="0"/>
          <w:numId w:val="143"/>
        </w:numPr>
        <w:rPr>
          <w:rFonts w:ascii="Arial" w:cs="Arial" w:eastAsia="Arial" w:hAnsi="Arial"/>
          <w:sz w:val="19"/>
          <w:szCs w:val="19"/>
          <w:color w:val="00A1DF"/>
          <w:vertAlign w:val="superscript"/>
        </w:rPr>
      </w:pPr>
      <w:r>
        <w:rPr>
          <w:rFonts w:ascii="Arial" w:cs="Arial" w:eastAsia="Arial" w:hAnsi="Arial"/>
          <w:sz w:val="12"/>
          <w:szCs w:val="12"/>
          <w:color w:val="00A1DF"/>
        </w:rPr>
        <w:t>https://www.nytimes.com/2017/02/22/business/energy-</w:t>
      </w:r>
    </w:p>
    <w:p>
      <w:pPr>
        <w:ind w:left="280"/>
        <w:spacing w:after="0" w:line="231" w:lineRule="auto"/>
        <w:rPr>
          <w:sz w:val="20"/>
          <w:szCs w:val="20"/>
          <w:color w:val="auto"/>
        </w:rPr>
      </w:pPr>
      <w:r>
        <w:rPr>
          <w:rFonts w:ascii="Arial" w:cs="Arial" w:eastAsia="Arial" w:hAnsi="Arial"/>
          <w:sz w:val="14"/>
          <w:szCs w:val="14"/>
          <w:color w:val="00A1DF"/>
        </w:rPr>
        <w:t>environment/automakers-pruitt-mileage-rules.html?_r=0</w:t>
      </w:r>
    </w:p>
    <w:p>
      <w:pPr>
        <w:spacing w:after="0" w:line="8" w:lineRule="exact"/>
        <w:rPr>
          <w:sz w:val="20"/>
          <w:szCs w:val="20"/>
          <w:color w:val="auto"/>
        </w:rPr>
      </w:pPr>
    </w:p>
    <w:p>
      <w:pPr>
        <w:ind w:left="280" w:right="240" w:hanging="271"/>
        <w:spacing w:after="0" w:line="183" w:lineRule="auto"/>
        <w:tabs>
          <w:tab w:leader="none" w:pos="280" w:val="left"/>
        </w:tabs>
        <w:numPr>
          <w:ilvl w:val="0"/>
          <w:numId w:val="144"/>
        </w:numPr>
        <w:rPr>
          <w:rFonts w:ascii="Arial" w:cs="Arial" w:eastAsia="Arial" w:hAnsi="Arial"/>
          <w:sz w:val="24"/>
          <w:szCs w:val="24"/>
          <w:color w:val="00A1DF"/>
          <w:vertAlign w:val="superscript"/>
        </w:rPr>
      </w:pPr>
      <w:r>
        <w:rPr>
          <w:rFonts w:ascii="Arial" w:cs="Arial" w:eastAsia="Arial" w:hAnsi="Arial"/>
          <w:sz w:val="14"/>
          <w:szCs w:val="14"/>
          <w:color w:val="00A1DF"/>
        </w:rPr>
        <w:t>https://www.sierraclub.org/press-releases/2017/10/go-forward-not-backward-environmental-and-consumer-groups-launch-campaign</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88"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33A0"/>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00A1DF"/>
        </w:rPr>
        <w:t xml:space="preserve">ITEM NO. 6 </w:t>
      </w:r>
      <w:r>
        <w:rPr>
          <w:rFonts w:ascii="Arial" w:cs="Arial" w:eastAsia="Arial" w:hAnsi="Arial"/>
          <w:sz w:val="14"/>
          <w:szCs w:val="14"/>
          <w:b w:val="1"/>
          <w:bCs w:val="1"/>
          <w:color w:val="0033A0"/>
        </w:rPr>
        <w:t>– SHAREHOLDER PROPOSAL REGARDING REPORT ON GREENHOUSE GAS EMISSIONS AND CAFE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65690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656907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80" w:right="280" w:hanging="201"/>
        <w:spacing w:after="0" w:line="278" w:lineRule="auto"/>
        <w:tabs>
          <w:tab w:leader="none" w:pos="645" w:val="left"/>
        </w:tabs>
        <w:numPr>
          <w:ilvl w:val="0"/>
          <w:numId w:val="145"/>
        </w:numPr>
        <w:rPr>
          <w:rFonts w:ascii="Arial" w:cs="Arial" w:eastAsia="Arial" w:hAnsi="Arial"/>
          <w:sz w:val="16"/>
          <w:szCs w:val="16"/>
          <w:color w:val="00A1DF"/>
        </w:rPr>
      </w:pPr>
      <w:r>
        <w:rPr>
          <w:rFonts w:ascii="Arial" w:cs="Arial" w:eastAsia="Arial" w:hAnsi="Arial"/>
          <w:sz w:val="16"/>
          <w:szCs w:val="16"/>
          <w:color w:val="auto"/>
        </w:rPr>
        <w:t xml:space="preserve">GM believes climate change is </w:t>
      </w:r>
      <w:r>
        <w:rPr>
          <w:rFonts w:ascii="Arial" w:cs="Arial" w:eastAsia="Arial" w:hAnsi="Arial"/>
          <w:sz w:val="16"/>
          <w:szCs w:val="16"/>
          <w:u w:val="single" w:color="auto"/>
          <w:color w:val="auto"/>
        </w:rPr>
        <w:t>real</w:t>
      </w:r>
      <w:r>
        <w:rPr>
          <w:rFonts w:ascii="Arial" w:cs="Arial" w:eastAsia="Arial" w:hAnsi="Arial"/>
          <w:sz w:val="16"/>
          <w:szCs w:val="16"/>
          <w:color w:val="auto"/>
        </w:rPr>
        <w:t xml:space="preserve"> and advocates for climate action.</w:t>
      </w:r>
    </w:p>
    <w:p>
      <w:pPr>
        <w:spacing w:after="0" w:line="195" w:lineRule="exact"/>
        <w:rPr>
          <w:rFonts w:ascii="Arial" w:cs="Arial" w:eastAsia="Arial" w:hAnsi="Arial"/>
          <w:sz w:val="16"/>
          <w:szCs w:val="16"/>
          <w:color w:val="00A1DF"/>
        </w:rPr>
      </w:pPr>
    </w:p>
    <w:p>
      <w:pPr>
        <w:ind w:left="680" w:right="340" w:hanging="201"/>
        <w:spacing w:after="0" w:line="278" w:lineRule="auto"/>
        <w:tabs>
          <w:tab w:leader="none" w:pos="638" w:val="left"/>
        </w:tabs>
        <w:numPr>
          <w:ilvl w:val="0"/>
          <w:numId w:val="145"/>
        </w:numPr>
        <w:rPr>
          <w:rFonts w:ascii="Arial" w:cs="Arial" w:eastAsia="Arial" w:hAnsi="Arial"/>
          <w:sz w:val="16"/>
          <w:szCs w:val="16"/>
          <w:color w:val="00A1DF"/>
        </w:rPr>
      </w:pPr>
      <w:r>
        <w:rPr>
          <w:rFonts w:ascii="Arial" w:cs="Arial" w:eastAsia="Arial" w:hAnsi="Arial"/>
          <w:sz w:val="16"/>
          <w:szCs w:val="16"/>
          <w:color w:val="auto"/>
        </w:rPr>
        <w:t>GM is committed to zero emissions, and we are changing our business model to succeed in a carbon-constrained world.</w:t>
      </w:r>
    </w:p>
    <w:p>
      <w:pPr>
        <w:spacing w:after="0" w:line="195" w:lineRule="exact"/>
        <w:rPr>
          <w:rFonts w:ascii="Arial" w:cs="Arial" w:eastAsia="Arial" w:hAnsi="Arial"/>
          <w:sz w:val="16"/>
          <w:szCs w:val="16"/>
          <w:color w:val="00A1DF"/>
        </w:rPr>
      </w:pPr>
    </w:p>
    <w:p>
      <w:pPr>
        <w:ind w:left="680" w:right="280" w:hanging="201"/>
        <w:spacing w:after="0" w:line="278" w:lineRule="auto"/>
        <w:tabs>
          <w:tab w:leader="none" w:pos="645" w:val="left"/>
        </w:tabs>
        <w:numPr>
          <w:ilvl w:val="0"/>
          <w:numId w:val="145"/>
        </w:numPr>
        <w:rPr>
          <w:rFonts w:ascii="Arial" w:cs="Arial" w:eastAsia="Arial" w:hAnsi="Arial"/>
          <w:sz w:val="16"/>
          <w:szCs w:val="16"/>
          <w:color w:val="00A1DF"/>
        </w:rPr>
      </w:pPr>
      <w:r>
        <w:rPr>
          <w:rFonts w:ascii="Arial" w:cs="Arial" w:eastAsia="Arial" w:hAnsi="Arial"/>
          <w:sz w:val="16"/>
          <w:szCs w:val="16"/>
          <w:color w:val="auto"/>
        </w:rPr>
        <w:t>We are confident that GM’s fleet average GHG emissions will NOT increase through 2025.</w:t>
      </w:r>
    </w:p>
    <w:p>
      <w:pPr>
        <w:spacing w:after="0" w:line="195" w:lineRule="exact"/>
        <w:rPr>
          <w:rFonts w:ascii="Arial" w:cs="Arial" w:eastAsia="Arial" w:hAnsi="Arial"/>
          <w:sz w:val="16"/>
          <w:szCs w:val="16"/>
          <w:color w:val="00A1DF"/>
        </w:rPr>
      </w:pPr>
    </w:p>
    <w:p>
      <w:pPr>
        <w:ind w:left="640" w:hanging="161"/>
        <w:spacing w:after="0"/>
        <w:tabs>
          <w:tab w:leader="none" w:pos="640" w:val="left"/>
        </w:tabs>
        <w:numPr>
          <w:ilvl w:val="0"/>
          <w:numId w:val="145"/>
        </w:numPr>
        <w:rPr>
          <w:rFonts w:ascii="Arial" w:cs="Arial" w:eastAsia="Arial" w:hAnsi="Arial"/>
          <w:sz w:val="16"/>
          <w:szCs w:val="16"/>
          <w:color w:val="00A1DF"/>
        </w:rPr>
      </w:pPr>
      <w:r>
        <w:rPr>
          <w:rFonts w:ascii="Arial" w:cs="Arial" w:eastAsia="Arial" w:hAnsi="Arial"/>
          <w:sz w:val="16"/>
          <w:szCs w:val="16"/>
          <w:color w:val="auto"/>
        </w:rPr>
        <w:t>GM already provides transparent GHG emissions disclosure.</w:t>
      </w:r>
    </w:p>
    <w:p>
      <w:pPr>
        <w:spacing w:after="0" w:line="174" w:lineRule="exact"/>
        <w:rPr>
          <w:sz w:val="20"/>
          <w:szCs w:val="20"/>
          <w:color w:val="auto"/>
        </w:rPr>
      </w:pPr>
    </w:p>
    <w:p>
      <w:pPr>
        <w:jc w:val="both"/>
        <w:ind w:left="400" w:right="20"/>
        <w:spacing w:after="0" w:line="286" w:lineRule="auto"/>
        <w:rPr>
          <w:sz w:val="20"/>
          <w:szCs w:val="20"/>
          <w:color w:val="auto"/>
        </w:rPr>
      </w:pPr>
      <w:r>
        <w:rPr>
          <w:rFonts w:ascii="Arial" w:cs="Arial" w:eastAsia="Arial" w:hAnsi="Arial"/>
          <w:sz w:val="16"/>
          <w:szCs w:val="16"/>
          <w:b w:val="1"/>
          <w:bCs w:val="1"/>
          <w:i w:val="1"/>
          <w:iCs w:val="1"/>
          <w:color w:val="auto"/>
        </w:rPr>
        <w:t>GM believes that climate change is real and advocates for climate action.</w:t>
      </w:r>
    </w:p>
    <w:p>
      <w:pPr>
        <w:spacing w:after="0" w:line="68"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GM acknowledged long ago that climate change is real, and we have consistently advocated – in public forums – for climate action and awareness. GM is a founding member of the Climate Leadership Council, the only automaker to have signed the Ceres BICEP Climate Declaration and one of the first companies to sign the American Business Act on Climate Pledge. In addition, GM supported the goal of a decarbonized transportation sector through a World Economic Forum Auto Governors letter.</w:t>
      </w:r>
    </w:p>
    <w:p>
      <w:pPr>
        <w:spacing w:after="0" w:line="100" w:lineRule="exact"/>
        <w:rPr>
          <w:sz w:val="20"/>
          <w:szCs w:val="20"/>
          <w:color w:val="auto"/>
        </w:rPr>
      </w:pPr>
    </w:p>
    <w:p>
      <w:pPr>
        <w:jc w:val="both"/>
        <w:ind w:left="400"/>
        <w:spacing w:after="0" w:line="247" w:lineRule="auto"/>
        <w:rPr>
          <w:sz w:val="20"/>
          <w:szCs w:val="20"/>
          <w:color w:val="auto"/>
        </w:rPr>
      </w:pPr>
      <w:r>
        <w:rPr>
          <w:rFonts w:ascii="Arial" w:cs="Arial" w:eastAsia="Arial" w:hAnsi="Arial"/>
          <w:sz w:val="16"/>
          <w:szCs w:val="16"/>
          <w:color w:val="auto"/>
        </w:rPr>
        <w:t>We agree with the proponent that aggressive action is required to complete the transition to low-carbon transportation. Effectively addressing a complex challenge like climate change requires collaboration among various stakeholders from both inside and outside the auto industry. To that end, we frequently engage stakeholders in a variety of ways, with the goal of creating a meaningful dialogue to develop effective ways to combat climate change. A critical part of our strategy is regular engagement with an external sustainability stakeholder advisory group – which we have invited the proponent to join – that is coordinated through Ceres, a nonprofit organization advocating for corporate sustainability leadership. This group, now in its eighth year, consists of nongovernmental organizations, socially conscious investors, academics, a peer company, a fleet customer, and a supplier, to help inform our sustainability strategy as well as provide feedback about opportunities and challenges.</w:t>
      </w:r>
    </w:p>
    <w:p>
      <w:pPr>
        <w:spacing w:after="0" w:line="84" w:lineRule="exact"/>
        <w:rPr>
          <w:sz w:val="20"/>
          <w:szCs w:val="20"/>
          <w:color w:val="auto"/>
        </w:rPr>
      </w:pPr>
    </w:p>
    <w:p>
      <w:pPr>
        <w:jc w:val="both"/>
        <w:ind w:left="400"/>
        <w:spacing w:after="0" w:line="266" w:lineRule="auto"/>
        <w:rPr>
          <w:sz w:val="20"/>
          <w:szCs w:val="20"/>
          <w:color w:val="auto"/>
        </w:rPr>
      </w:pPr>
      <w:r>
        <w:rPr>
          <w:rFonts w:ascii="Arial" w:cs="Arial" w:eastAsia="Arial" w:hAnsi="Arial"/>
          <w:sz w:val="16"/>
          <w:szCs w:val="16"/>
          <w:b w:val="1"/>
          <w:bCs w:val="1"/>
          <w:i w:val="1"/>
          <w:iCs w:val="1"/>
          <w:color w:val="auto"/>
        </w:rPr>
        <w:t>GM is committed to zero crashes, zero emissions, and zero congestion, and we are changing our business to succeed in a carbon-constrained world.</w:t>
      </w:r>
    </w:p>
    <w:p>
      <w:pPr>
        <w:spacing w:after="0" w:line="84" w:lineRule="exact"/>
        <w:rPr>
          <w:sz w:val="20"/>
          <w:szCs w:val="20"/>
          <w:color w:val="auto"/>
        </w:rPr>
      </w:pPr>
    </w:p>
    <w:p>
      <w:pPr>
        <w:jc w:val="both"/>
        <w:ind w:left="400"/>
        <w:spacing w:after="0" w:line="248" w:lineRule="auto"/>
        <w:rPr>
          <w:sz w:val="20"/>
          <w:szCs w:val="20"/>
          <w:color w:val="auto"/>
        </w:rPr>
      </w:pPr>
      <w:r>
        <w:rPr>
          <w:rFonts w:ascii="Arial" w:cs="Arial" w:eastAsia="Arial" w:hAnsi="Arial"/>
          <w:sz w:val="16"/>
          <w:szCs w:val="16"/>
          <w:color w:val="auto"/>
        </w:rPr>
        <w:t>We believe that the convergence of connectivity, electric and other alternative propulsion systems, autonomous vehicles and the sharing economy will truly enable us to stretch the boundaries of what is possible in addressing climate change and developing vehicles that are safer, smarter, cleaner, and more energy-efficient than ever before. To advance our vision of a zero emissions world, we will introduce 20 new all-electric vehicles by 2023. In addition, we are also pursuing a variety of strategies to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auto"/>
        </w:rPr>
        <w:t>improve the fuel efficiency of our internal combustion engine vehicles, including light-weighting, improved aerodynamics, shifting to downsized turbo engines, and incorporating stop/start technology in more of our vehicles. Although a zero emissions future won’t arrive overnight, GM is already lowering GHG emissions from its products and facilities – GM has committed to using 100% renewable energy in its operations by 2050. These actions and others make us confident that GM’s fleet average GHG emissions will NOT increase through 2025.</w:t>
      </w:r>
    </w:p>
    <w:p>
      <w:pPr>
        <w:spacing w:after="0" w:line="80"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i w:val="1"/>
          <w:iCs w:val="1"/>
          <w:color w:val="auto"/>
        </w:rPr>
        <w:t>Regardless of any changes to U.S. CAFE standards, GM’s commitment to zero emissions will not change.</w:t>
      </w:r>
    </w:p>
    <w:p>
      <w:pPr>
        <w:spacing w:after="0" w:line="68"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auto"/>
        </w:rPr>
        <w:t>We support one national set of standards that comprehends new technologies and shared and autonomous electric vehicles, and we remain committed to improving fuel economy, reducing emissions, and an all-electric future. Regardless of any proposals relative to CAFE standards for cars and light trucks for model years 2022–2025, our overall commitment to zero emissions and our strategy to achieve that commitment will not change. Nothing showcases this commitment more than our leadership in electric vehicles and the Chevrolet Bolt EV – the first EV for everyone with 238 miles of range on a single charge and a price of less than $30,000 after tax incentives.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GM already provides transparent GHG emissions disclosure.</w:t>
      </w:r>
    </w:p>
    <w:p>
      <w:pPr>
        <w:spacing w:after="0" w:line="117" w:lineRule="exact"/>
        <w:rPr>
          <w:sz w:val="20"/>
          <w:szCs w:val="20"/>
          <w:color w:val="auto"/>
        </w:rPr>
      </w:pPr>
    </w:p>
    <w:p>
      <w:pPr>
        <w:jc w:val="both"/>
        <w:ind w:right="220"/>
        <w:spacing w:after="0" w:line="252" w:lineRule="auto"/>
        <w:rPr>
          <w:sz w:val="20"/>
          <w:szCs w:val="20"/>
          <w:color w:val="auto"/>
        </w:rPr>
      </w:pPr>
      <w:r>
        <w:rPr>
          <w:rFonts w:ascii="Arial" w:cs="Arial" w:eastAsia="Arial" w:hAnsi="Arial"/>
          <w:sz w:val="16"/>
          <w:szCs w:val="16"/>
          <w:color w:val="auto"/>
        </w:rPr>
        <w:t xml:space="preserve">GM’s annual Sustainability Report (available at </w:t>
      </w:r>
      <w:r>
        <w:rPr>
          <w:rFonts w:ascii="Arial" w:cs="Arial" w:eastAsia="Arial" w:hAnsi="Arial"/>
          <w:sz w:val="16"/>
          <w:szCs w:val="16"/>
          <w:i w:val="1"/>
          <w:iCs w:val="1"/>
          <w:color w:val="00A1DF"/>
        </w:rPr>
        <w:t>gmsustainability.com</w:t>
      </w:r>
      <w:r>
        <w:rPr>
          <w:rFonts w:ascii="Arial" w:cs="Arial" w:eastAsia="Arial" w:hAnsi="Arial"/>
          <w:sz w:val="16"/>
          <w:szCs w:val="16"/>
          <w:color w:val="auto"/>
        </w:rPr>
        <w:t>) discloses GM’s progress on our products’ fuel efficiency and emissions goals as well as our approach to fuel economy regulations around the world. GM also annually discloses our GHG emissions performance in its CDP Climate Change Report (formerly known as the Carbon Disclosure Project), which is publicly available through our Sustainability Report.</w:t>
      </w:r>
    </w:p>
    <w:p>
      <w:pPr>
        <w:spacing w:after="0" w:line="28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look forward to working with all parties, including the proponent, on modernized standards that achieve better fuel economy for our customers and a better environment for everyone.</w:t>
      </w:r>
    </w:p>
    <w:p>
      <w:pPr>
        <w:spacing w:after="0" w:line="200" w:lineRule="exact"/>
        <w:rPr>
          <w:sz w:val="20"/>
          <w:szCs w:val="20"/>
          <w:color w:val="auto"/>
        </w:rPr>
      </w:pPr>
    </w:p>
    <w:p>
      <w:pPr>
        <w:spacing w:after="0" w:line="305" w:lineRule="exact"/>
        <w:rPr>
          <w:sz w:val="20"/>
          <w:szCs w:val="20"/>
          <w:color w:val="auto"/>
        </w:rPr>
      </w:pPr>
    </w:p>
    <w:p>
      <w:pPr>
        <w:ind w:left="360" w:right="440"/>
        <w:spacing w:after="0"/>
        <w:rPr>
          <w:sz w:val="20"/>
          <w:szCs w:val="20"/>
          <w:color w:val="auto"/>
        </w:rPr>
      </w:pPr>
      <w:r>
        <w:rPr>
          <w:rFonts w:ascii="Arial" w:cs="Arial" w:eastAsia="Arial" w:hAnsi="Arial"/>
          <w:sz w:val="22"/>
          <w:szCs w:val="22"/>
          <w:b w:val="1"/>
          <w:bCs w:val="1"/>
          <w:i w:val="1"/>
          <w:iCs w:val="1"/>
          <w:color w:val="0033A0"/>
        </w:rPr>
        <w:t>“Our commitment on an all-electric, zero-emissions future is unwavering regardless of any modifications to future fuel economy standards, especially in the United States.”</w:t>
      </w:r>
    </w:p>
    <w:p>
      <w:pPr>
        <w:spacing w:after="0" w:line="224" w:lineRule="exact"/>
        <w:rPr>
          <w:sz w:val="20"/>
          <w:szCs w:val="20"/>
          <w:color w:val="auto"/>
        </w:rPr>
      </w:pPr>
    </w:p>
    <w:p>
      <w:pPr>
        <w:ind w:left="520" w:right="560" w:hanging="162"/>
        <w:spacing w:after="0" w:line="260" w:lineRule="auto"/>
        <w:rPr>
          <w:sz w:val="20"/>
          <w:szCs w:val="20"/>
          <w:color w:val="auto"/>
        </w:rPr>
      </w:pPr>
      <w:r>
        <w:rPr>
          <w:rFonts w:ascii="Arial" w:cs="Arial" w:eastAsia="Arial" w:hAnsi="Arial"/>
          <w:sz w:val="16"/>
          <w:szCs w:val="16"/>
          <w:color w:val="auto"/>
        </w:rPr>
        <w:t>– Mary Barra, Chairman &amp; CEO, at the Bank of America Merrill Lynch 2018 New York Auto Summit on March 28, 2018</w:t>
      </w:r>
    </w:p>
    <w:p>
      <w:pPr>
        <w:spacing w:after="0" w:line="200" w:lineRule="exact"/>
        <w:rPr>
          <w:sz w:val="20"/>
          <w:szCs w:val="20"/>
          <w:color w:val="auto"/>
        </w:rPr>
      </w:pPr>
    </w:p>
    <w:p>
      <w:pPr>
        <w:spacing w:after="0" w:line="204" w:lineRule="exact"/>
        <w:rPr>
          <w:sz w:val="20"/>
          <w:szCs w:val="20"/>
          <w:color w:val="auto"/>
        </w:rPr>
      </w:pPr>
    </w:p>
    <w:p>
      <w:pPr>
        <w:ind w:right="500"/>
        <w:spacing w:after="0" w:line="273"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A1DF"/>
        </w:rPr>
        <w:t xml:space="preserve"> </w:t>
      </w:r>
      <w:r>
        <w:rPr>
          <w:rFonts w:ascii="Arial" w:cs="Arial" w:eastAsia="Arial" w:hAnsi="Arial"/>
          <w:sz w:val="19"/>
          <w:szCs w:val="19"/>
          <w:b w:val="1"/>
          <w:bCs w:val="1"/>
          <w:color w:val="0033A0"/>
        </w:rPr>
        <w:t>this shareholder proposal.</w:t>
      </w:r>
    </w:p>
    <w:p>
      <w:pPr>
        <w:spacing w:after="0" w:line="637"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261" w:lineRule="exact"/>
        <w:rPr>
          <w:sz w:val="20"/>
          <w:szCs w:val="20"/>
          <w:color w:val="auto"/>
        </w:rPr>
      </w:pPr>
    </w:p>
    <w:p>
      <w:pPr>
        <w:ind w:left="220"/>
        <w:spacing w:after="0"/>
        <w:rPr>
          <w:sz w:val="20"/>
          <w:szCs w:val="20"/>
          <w:color w:val="auto"/>
        </w:rPr>
      </w:pPr>
      <w:r>
        <w:rPr>
          <w:sz w:val="1"/>
          <w:szCs w:val="1"/>
          <w:color w:val="auto"/>
        </w:rPr>
        <w:drawing>
          <wp:inline distT="0" distB="0" distL="0" distR="0">
            <wp:extent cx="6860540" cy="1028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60540" cy="102870"/>
                    </a:xfrm>
                    <a:prstGeom prst="rect">
                      <a:avLst/>
                    </a:prstGeom>
                    <a:noFill/>
                    <a:ln>
                      <a:noFill/>
                    </a:ln>
                  </pic:spPr>
                </pic:pic>
              </a:graphicData>
            </a:graphic>
          </wp:inline>
        </w:drawing>
      </w:r>
      <w:r>
        <w:rPr>
          <w:rFonts w:ascii="Arial" w:cs="Arial" w:eastAsia="Arial" w:hAnsi="Arial"/>
          <w:sz w:val="14"/>
          <w:szCs w:val="14"/>
          <w:color w:val="0033A0"/>
        </w:rPr>
        <w:t xml:space="preserve"> 77</w:t>
      </w:r>
    </w:p>
    <w:p>
      <w:pPr>
        <w:sectPr>
          <w:pgSz w:w="11900" w:h="16838" w:orient="portrait"/>
          <w:cols w:equalWidth="0" w:num="1">
            <w:col w:w="11260"/>
          </w:cols>
          <w:pgMar w:left="240" w:top="459" w:right="3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38"/>
          <w:szCs w:val="38"/>
          <w:color w:val="0033A0"/>
        </w:rPr>
        <w:t>GENERAL INFORMATION ABOUT THE ANNUAL MEETING</w:t>
      </w:r>
    </w:p>
    <w:p>
      <w:pPr>
        <w:spacing w:after="0" w:line="339"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25"/>
          <w:szCs w:val="25"/>
          <w:color w:val="0033A0"/>
        </w:rPr>
      </w:pPr>
      <w:r>
        <w:rPr>
          <w:rFonts w:ascii="Arial" w:cs="Arial" w:eastAsia="Arial" w:hAnsi="Arial"/>
          <w:sz w:val="25"/>
          <w:szCs w:val="25"/>
          <w:color w:val="auto"/>
        </w:rPr>
        <w:t>Voting and Meeting Information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Vote requirements and Board recommendations</w:t>
      </w:r>
    </w:p>
    <w:p>
      <w:pPr>
        <w:spacing w:after="0" w:line="186" w:lineRule="exact"/>
        <w:rPr>
          <w:sz w:val="20"/>
          <w:szCs w:val="20"/>
          <w:color w:val="auto"/>
        </w:rPr>
      </w:pPr>
    </w:p>
    <w:tbl>
      <w:tblPr>
        <w:tblLayout w:type="fixed"/>
        <w:tblInd w:w="230" w:type="dxa"/>
        <w:tblCellMar>
          <w:top w:w="0" w:type="dxa"/>
          <w:left w:w="0" w:type="dxa"/>
          <w:bottom w:w="0" w:type="dxa"/>
          <w:right w:w="0" w:type="dxa"/>
        </w:tblCellMar>
      </w:tblPr>
      <w:tr>
        <w:trPr>
          <w:trHeight w:val="154"/>
        </w:trPr>
        <w:tc>
          <w:tcPr>
            <w:tcW w:w="820" w:type="dxa"/>
            <w:vAlign w:val="bottom"/>
            <w:tcBorders>
              <w:top w:val="single" w:sz="8" w:color="00A1DF"/>
              <w:left w:val="single" w:sz="8" w:color="00A1DF"/>
            </w:tcBorders>
          </w:tcPr>
          <w:p>
            <w:pPr>
              <w:spacing w:after="0"/>
              <w:rPr>
                <w:sz w:val="13"/>
                <w:szCs w:val="13"/>
                <w:color w:val="auto"/>
              </w:rPr>
            </w:pPr>
          </w:p>
        </w:tc>
        <w:tc>
          <w:tcPr>
            <w:tcW w:w="3480" w:type="dxa"/>
            <w:vAlign w:val="bottom"/>
            <w:tcBorders>
              <w:top w:val="single" w:sz="8" w:color="00A1DF"/>
            </w:tcBorders>
          </w:tcPr>
          <w:p>
            <w:pPr>
              <w:spacing w:after="0"/>
              <w:rPr>
                <w:sz w:val="13"/>
                <w:szCs w:val="13"/>
                <w:color w:val="auto"/>
              </w:rPr>
            </w:pPr>
          </w:p>
        </w:tc>
        <w:tc>
          <w:tcPr>
            <w:tcW w:w="1380" w:type="dxa"/>
            <w:vAlign w:val="bottom"/>
            <w:tcBorders>
              <w:top w:val="single" w:sz="8" w:color="00A1DF"/>
            </w:tcBorders>
          </w:tcPr>
          <w:p>
            <w:pPr>
              <w:spacing w:after="0"/>
              <w:rPr>
                <w:sz w:val="13"/>
                <w:szCs w:val="13"/>
                <w:color w:val="auto"/>
              </w:rPr>
            </w:pPr>
          </w:p>
        </w:tc>
        <w:tc>
          <w:tcPr>
            <w:tcW w:w="3300" w:type="dxa"/>
            <w:vAlign w:val="bottom"/>
            <w:tcBorders>
              <w:top w:val="single" w:sz="8" w:color="00A1DF"/>
            </w:tcBorders>
          </w:tcPr>
          <w:p>
            <w:pPr>
              <w:spacing w:after="0"/>
              <w:rPr>
                <w:sz w:val="13"/>
                <w:szCs w:val="13"/>
                <w:color w:val="auto"/>
              </w:rPr>
            </w:pPr>
          </w:p>
        </w:tc>
        <w:tc>
          <w:tcPr>
            <w:tcW w:w="960" w:type="dxa"/>
            <w:vAlign w:val="bottom"/>
            <w:tcBorders>
              <w:top w:val="single" w:sz="8" w:color="00A1DF"/>
            </w:tcBorders>
          </w:tcPr>
          <w:p>
            <w:pPr>
              <w:spacing w:after="0"/>
              <w:rPr>
                <w:sz w:val="13"/>
                <w:szCs w:val="13"/>
                <w:color w:val="auto"/>
              </w:rPr>
            </w:pPr>
          </w:p>
        </w:tc>
        <w:tc>
          <w:tcPr>
            <w:tcW w:w="1100" w:type="dxa"/>
            <w:vAlign w:val="bottom"/>
            <w:tcBorders>
              <w:top w:val="single" w:sz="8" w:color="00A1DF"/>
              <w:right w:val="single" w:sz="8" w:color="00A1DF"/>
            </w:tcBorders>
          </w:tcPr>
          <w:p>
            <w:pPr>
              <w:ind w:left="80"/>
              <w:spacing w:after="0" w:line="154" w:lineRule="exact"/>
              <w:rPr>
                <w:sz w:val="20"/>
                <w:szCs w:val="20"/>
                <w:color w:val="auto"/>
              </w:rPr>
            </w:pPr>
            <w:r>
              <w:rPr>
                <w:rFonts w:ascii="Arial" w:cs="Arial" w:eastAsia="Arial" w:hAnsi="Arial"/>
                <w:sz w:val="15"/>
                <w:szCs w:val="15"/>
                <w:b w:val="1"/>
                <w:bCs w:val="1"/>
                <w:color w:val="00A1DF"/>
              </w:rPr>
              <w:t>Effect of</w:t>
            </w:r>
          </w:p>
        </w:tc>
        <w:tc>
          <w:tcPr>
            <w:tcW w:w="0" w:type="dxa"/>
            <w:vAlign w:val="bottom"/>
          </w:tcPr>
          <w:p>
            <w:pPr>
              <w:spacing w:after="0"/>
              <w:rPr>
                <w:sz w:val="1"/>
                <w:szCs w:val="1"/>
                <w:color w:val="auto"/>
              </w:rPr>
            </w:pPr>
          </w:p>
        </w:tc>
      </w:tr>
      <w:tr>
        <w:trPr>
          <w:trHeight w:val="170"/>
        </w:trPr>
        <w:tc>
          <w:tcPr>
            <w:tcW w:w="820" w:type="dxa"/>
            <w:vAlign w:val="bottom"/>
            <w:tcBorders>
              <w:left w:val="single" w:sz="8" w:color="00A1DF"/>
            </w:tcBorders>
          </w:tcPr>
          <w:p>
            <w:pPr>
              <w:jc w:val="right"/>
              <w:ind w:right="3"/>
              <w:spacing w:after="0" w:line="170" w:lineRule="exact"/>
              <w:rPr>
                <w:sz w:val="20"/>
                <w:szCs w:val="20"/>
                <w:color w:val="auto"/>
              </w:rPr>
            </w:pPr>
            <w:r>
              <w:rPr>
                <w:rFonts w:ascii="Arial" w:cs="Arial" w:eastAsia="Arial" w:hAnsi="Arial"/>
                <w:sz w:val="15"/>
                <w:szCs w:val="15"/>
                <w:b w:val="1"/>
                <w:bCs w:val="1"/>
                <w:color w:val="00A1DF"/>
              </w:rPr>
              <w:t>Agenda</w:t>
            </w:r>
          </w:p>
        </w:tc>
        <w:tc>
          <w:tcPr>
            <w:tcW w:w="3480" w:type="dxa"/>
            <w:vAlign w:val="bottom"/>
          </w:tcPr>
          <w:p>
            <w:pPr>
              <w:spacing w:after="0"/>
              <w:rPr>
                <w:sz w:val="14"/>
                <w:szCs w:val="14"/>
                <w:color w:val="auto"/>
              </w:rPr>
            </w:pPr>
          </w:p>
        </w:tc>
        <w:tc>
          <w:tcPr>
            <w:tcW w:w="1380" w:type="dxa"/>
            <w:vAlign w:val="bottom"/>
          </w:tcPr>
          <w:p>
            <w:pPr>
              <w:jc w:val="center"/>
              <w:spacing w:after="0" w:line="170" w:lineRule="exact"/>
              <w:rPr>
                <w:sz w:val="20"/>
                <w:szCs w:val="20"/>
                <w:color w:val="auto"/>
              </w:rPr>
            </w:pPr>
            <w:r>
              <w:rPr>
                <w:rFonts w:ascii="Arial" w:cs="Arial" w:eastAsia="Arial" w:hAnsi="Arial"/>
                <w:sz w:val="15"/>
                <w:szCs w:val="15"/>
                <w:b w:val="1"/>
                <w:bCs w:val="1"/>
                <w:color w:val="00A1DF"/>
              </w:rPr>
              <w:t>Board</w:t>
            </w:r>
          </w:p>
        </w:tc>
        <w:tc>
          <w:tcPr>
            <w:tcW w:w="3300" w:type="dxa"/>
            <w:vAlign w:val="bottom"/>
          </w:tcPr>
          <w:p>
            <w:pPr>
              <w:spacing w:after="0"/>
              <w:rPr>
                <w:sz w:val="14"/>
                <w:szCs w:val="14"/>
                <w:color w:val="auto"/>
              </w:rPr>
            </w:pPr>
          </w:p>
        </w:tc>
        <w:tc>
          <w:tcPr>
            <w:tcW w:w="960" w:type="dxa"/>
            <w:vAlign w:val="bottom"/>
          </w:tcPr>
          <w:p>
            <w:pPr>
              <w:ind w:left="40"/>
              <w:spacing w:after="0" w:line="170" w:lineRule="exact"/>
              <w:rPr>
                <w:sz w:val="20"/>
                <w:szCs w:val="20"/>
                <w:color w:val="auto"/>
              </w:rPr>
            </w:pPr>
            <w:r>
              <w:rPr>
                <w:rFonts w:ascii="Arial" w:cs="Arial" w:eastAsia="Arial" w:hAnsi="Arial"/>
                <w:sz w:val="15"/>
                <w:szCs w:val="15"/>
                <w:b w:val="1"/>
                <w:bCs w:val="1"/>
                <w:color w:val="00A1DF"/>
              </w:rPr>
              <w:t>Effect of</w:t>
            </w:r>
          </w:p>
        </w:tc>
        <w:tc>
          <w:tcPr>
            <w:tcW w:w="1100" w:type="dxa"/>
            <w:vAlign w:val="bottom"/>
            <w:tcBorders>
              <w:right w:val="single" w:sz="8" w:color="00A1DF"/>
            </w:tcBorders>
          </w:tcPr>
          <w:p>
            <w:pPr>
              <w:ind w:left="80"/>
              <w:spacing w:after="0" w:line="170" w:lineRule="exact"/>
              <w:rPr>
                <w:sz w:val="20"/>
                <w:szCs w:val="20"/>
                <w:color w:val="auto"/>
              </w:rPr>
            </w:pPr>
            <w:r>
              <w:rPr>
                <w:rFonts w:ascii="Arial" w:cs="Arial" w:eastAsia="Arial" w:hAnsi="Arial"/>
                <w:sz w:val="15"/>
                <w:szCs w:val="15"/>
                <w:b w:val="1"/>
                <w:bCs w:val="1"/>
                <w:color w:val="00A1DF"/>
              </w:rPr>
              <w:t>Broker</w:t>
            </w:r>
          </w:p>
        </w:tc>
        <w:tc>
          <w:tcPr>
            <w:tcW w:w="0" w:type="dxa"/>
            <w:vAlign w:val="bottom"/>
          </w:tcPr>
          <w:p>
            <w:pPr>
              <w:spacing w:after="0"/>
              <w:rPr>
                <w:sz w:val="1"/>
                <w:szCs w:val="1"/>
                <w:color w:val="auto"/>
              </w:rPr>
            </w:pPr>
          </w:p>
        </w:tc>
      </w:tr>
      <w:tr>
        <w:trPr>
          <w:trHeight w:val="189"/>
        </w:trPr>
        <w:tc>
          <w:tcPr>
            <w:tcW w:w="820" w:type="dxa"/>
            <w:vAlign w:val="bottom"/>
            <w:tcBorders>
              <w:left w:val="single" w:sz="8" w:color="00A1DF"/>
              <w:bottom w:val="single" w:sz="8" w:color="00A1DF"/>
            </w:tcBorders>
          </w:tcPr>
          <w:p>
            <w:pPr>
              <w:jc w:val="right"/>
              <w:ind w:right="203"/>
              <w:spacing w:after="0"/>
              <w:rPr>
                <w:sz w:val="20"/>
                <w:szCs w:val="20"/>
                <w:color w:val="auto"/>
              </w:rPr>
            </w:pPr>
            <w:r>
              <w:rPr>
                <w:rFonts w:ascii="Arial" w:cs="Arial" w:eastAsia="Arial" w:hAnsi="Arial"/>
                <w:sz w:val="15"/>
                <w:szCs w:val="15"/>
                <w:b w:val="1"/>
                <w:bCs w:val="1"/>
                <w:color w:val="00A1DF"/>
              </w:rPr>
              <w:t>Item</w:t>
            </w:r>
          </w:p>
        </w:tc>
        <w:tc>
          <w:tcPr>
            <w:tcW w:w="348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Description</w:t>
            </w:r>
          </w:p>
        </w:tc>
        <w:tc>
          <w:tcPr>
            <w:tcW w:w="1380" w:type="dxa"/>
            <w:vAlign w:val="bottom"/>
            <w:tcBorders>
              <w:bottom w:val="single" w:sz="8" w:color="00A1DF"/>
            </w:tcBorders>
          </w:tcPr>
          <w:p>
            <w:pPr>
              <w:jc w:val="center"/>
              <w:spacing w:after="0"/>
              <w:rPr>
                <w:sz w:val="20"/>
                <w:szCs w:val="20"/>
                <w:color w:val="auto"/>
              </w:rPr>
            </w:pPr>
            <w:r>
              <w:rPr>
                <w:rFonts w:ascii="Arial" w:cs="Arial" w:eastAsia="Arial" w:hAnsi="Arial"/>
                <w:sz w:val="15"/>
                <w:szCs w:val="15"/>
                <w:b w:val="1"/>
                <w:bCs w:val="1"/>
                <w:color w:val="00A1DF"/>
              </w:rPr>
              <w:t>Recommendation</w:t>
            </w:r>
          </w:p>
        </w:tc>
        <w:tc>
          <w:tcPr>
            <w:tcW w:w="330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Vote Requirement for Approval</w:t>
            </w:r>
          </w:p>
        </w:tc>
        <w:tc>
          <w:tcPr>
            <w:tcW w:w="960" w:type="dxa"/>
            <w:vAlign w:val="bottom"/>
            <w:tcBorders>
              <w:bottom w:val="single" w:sz="8" w:color="00A1DF"/>
            </w:tcBorders>
          </w:tcPr>
          <w:p>
            <w:pPr>
              <w:jc w:val="center"/>
              <w:spacing w:after="0"/>
              <w:rPr>
                <w:sz w:val="20"/>
                <w:szCs w:val="20"/>
                <w:color w:val="auto"/>
              </w:rPr>
            </w:pPr>
            <w:r>
              <w:rPr>
                <w:rFonts w:ascii="Arial" w:cs="Arial" w:eastAsia="Arial" w:hAnsi="Arial"/>
                <w:sz w:val="15"/>
                <w:szCs w:val="15"/>
                <w:b w:val="1"/>
                <w:bCs w:val="1"/>
                <w:color w:val="00A1DF"/>
              </w:rPr>
              <w:t>Abstentions</w:t>
            </w:r>
          </w:p>
        </w:tc>
        <w:tc>
          <w:tcPr>
            <w:tcW w:w="1100" w:type="dxa"/>
            <w:vAlign w:val="bottom"/>
            <w:tcBorders>
              <w:bottom w:val="single" w:sz="8" w:color="00A1DF"/>
              <w:right w:val="single" w:sz="8" w:color="00A1DF"/>
            </w:tcBorders>
          </w:tcPr>
          <w:p>
            <w:pPr>
              <w:ind w:left="80"/>
              <w:spacing w:after="0"/>
              <w:rPr>
                <w:sz w:val="20"/>
                <w:szCs w:val="20"/>
                <w:color w:val="auto"/>
              </w:rPr>
            </w:pPr>
            <w:r>
              <w:rPr>
                <w:rFonts w:ascii="Arial" w:cs="Arial" w:eastAsia="Arial" w:hAnsi="Arial"/>
                <w:sz w:val="15"/>
                <w:szCs w:val="15"/>
                <w:b w:val="1"/>
                <w:bCs w:val="1"/>
                <w:color w:val="00A1DF"/>
              </w:rPr>
              <w:t>Non-Vote</w:t>
            </w:r>
          </w:p>
        </w:tc>
        <w:tc>
          <w:tcPr>
            <w:tcW w:w="0" w:type="dxa"/>
            <w:vAlign w:val="bottom"/>
          </w:tcPr>
          <w:p>
            <w:pPr>
              <w:spacing w:after="0"/>
              <w:rPr>
                <w:sz w:val="1"/>
                <w:szCs w:val="1"/>
                <w:color w:val="auto"/>
              </w:rPr>
            </w:pPr>
          </w:p>
        </w:tc>
      </w:tr>
      <w:tr>
        <w:trPr>
          <w:trHeight w:val="156"/>
        </w:trPr>
        <w:tc>
          <w:tcPr>
            <w:tcW w:w="820" w:type="dxa"/>
            <w:vAlign w:val="bottom"/>
            <w:tcBorders>
              <w:left w:val="single" w:sz="8" w:color="00A1DF"/>
              <w:bottom w:val="single" w:sz="8" w:color="auto"/>
            </w:tcBorders>
          </w:tcPr>
          <w:p>
            <w:pPr>
              <w:jc w:val="right"/>
              <w:ind w:right="203"/>
              <w:spacing w:after="0" w:line="156" w:lineRule="exact"/>
              <w:rPr>
                <w:sz w:val="20"/>
                <w:szCs w:val="20"/>
                <w:color w:val="auto"/>
              </w:rPr>
            </w:pPr>
            <w:r>
              <w:rPr>
                <w:rFonts w:ascii="Arial" w:cs="Arial" w:eastAsia="Arial" w:hAnsi="Arial"/>
                <w:sz w:val="15"/>
                <w:szCs w:val="15"/>
                <w:color w:val="auto"/>
              </w:rPr>
              <w:t>1</w:t>
            </w:r>
          </w:p>
        </w:tc>
        <w:tc>
          <w:tcPr>
            <w:tcW w:w="3480" w:type="dxa"/>
            <w:vAlign w:val="bottom"/>
            <w:tcBorders>
              <w:bottom w:val="single" w:sz="8" w:color="auto"/>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Election of Directors</w:t>
            </w:r>
            <w:r>
              <w:rPr>
                <w:rFonts w:ascii="Arial" w:cs="Arial" w:eastAsia="Arial" w:hAnsi="Arial"/>
                <w:sz w:val="13"/>
                <w:szCs w:val="13"/>
                <w:color w:val="auto"/>
              </w:rPr>
              <w:t>(1)</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00A1DF"/>
              </w:rPr>
              <w:t>FOR</w:t>
            </w:r>
          </w:p>
        </w:tc>
        <w:tc>
          <w:tcPr>
            <w:tcW w:w="33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Majority of votes cast</w:t>
            </w:r>
          </w:p>
        </w:tc>
        <w:tc>
          <w:tcPr>
            <w:tcW w:w="9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9"/>
              </w:rPr>
              <w:t>No effect</w:t>
            </w:r>
          </w:p>
        </w:tc>
        <w:tc>
          <w:tcPr>
            <w:tcW w:w="1100" w:type="dxa"/>
            <w:vAlign w:val="bottom"/>
            <w:tcBorders>
              <w:bottom w:val="single" w:sz="8" w:color="auto"/>
              <w:right w:val="single" w:sz="8" w:color="00A1DF"/>
            </w:tcBorders>
          </w:tcPr>
          <w:p>
            <w:pPr>
              <w:jc w:val="center"/>
              <w:spacing w:after="0" w:line="156" w:lineRule="exact"/>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203"/>
              <w:spacing w:after="0"/>
              <w:rPr>
                <w:sz w:val="20"/>
                <w:szCs w:val="20"/>
                <w:color w:val="auto"/>
              </w:rPr>
            </w:pPr>
            <w:r>
              <w:rPr>
                <w:rFonts w:ascii="Arial" w:cs="Arial" w:eastAsia="Arial" w:hAnsi="Arial"/>
                <w:sz w:val="15"/>
                <w:szCs w:val="15"/>
                <w:color w:val="auto"/>
              </w:rPr>
              <w:t>2</w:t>
            </w:r>
          </w:p>
        </w:tc>
        <w:tc>
          <w:tcPr>
            <w:tcW w:w="348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5"/>
                <w:szCs w:val="15"/>
                <w:color w:val="auto"/>
              </w:rPr>
              <w:t>Approval of, on an Advisory Basis, NEO</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FOR</w:t>
            </w:r>
          </w:p>
        </w:tc>
        <w:tc>
          <w:tcPr>
            <w:tcW w:w="3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compensation</w:t>
            </w:r>
          </w:p>
        </w:tc>
        <w:tc>
          <w:tcPr>
            <w:tcW w:w="138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20" w:type="dxa"/>
            <w:vAlign w:val="bottom"/>
            <w:tcBorders>
              <w:left w:val="single" w:sz="8" w:color="00A1DF"/>
              <w:bottom w:val="single" w:sz="8" w:color="auto"/>
            </w:tcBorders>
          </w:tcPr>
          <w:p>
            <w:pPr>
              <w:spacing w:after="0"/>
              <w:rPr>
                <w:sz w:val="6"/>
                <w:szCs w:val="6"/>
                <w:color w:val="auto"/>
              </w:rPr>
            </w:pPr>
          </w:p>
        </w:tc>
        <w:tc>
          <w:tcPr>
            <w:tcW w:w="348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3300" w:type="dxa"/>
            <w:vAlign w:val="bottom"/>
            <w:tcBorders>
              <w:right w:val="single" w:sz="8" w:color="auto"/>
            </w:tcBorders>
          </w:tcPr>
          <w:p>
            <w:pPr>
              <w:spacing w:after="0"/>
              <w:rPr>
                <w:sz w:val="6"/>
                <w:szCs w:val="6"/>
                <w:color w:val="auto"/>
              </w:rPr>
            </w:pPr>
          </w:p>
        </w:tc>
        <w:tc>
          <w:tcPr>
            <w:tcW w:w="960" w:type="dxa"/>
            <w:vAlign w:val="bottom"/>
            <w:tcBorders>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right w:val="single" w:sz="8" w:color="00A1DF"/>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tcPr>
          <w:p>
            <w:pPr>
              <w:spacing w:after="0"/>
              <w:rPr>
                <w:sz w:val="13"/>
                <w:szCs w:val="13"/>
                <w:color w:val="auto"/>
              </w:rPr>
            </w:pPr>
          </w:p>
        </w:tc>
        <w:tc>
          <w:tcPr>
            <w:tcW w:w="348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5"/>
                <w:szCs w:val="15"/>
                <w:color w:val="auto"/>
              </w:rPr>
              <w:t>Ratification of the Selection of Ernst &amp; Young LLP</w:t>
            </w:r>
          </w:p>
        </w:tc>
        <w:tc>
          <w:tcPr>
            <w:tcW w:w="1380" w:type="dxa"/>
            <w:vAlign w:val="bottom"/>
            <w:tcBorders>
              <w:right w:val="single" w:sz="8" w:color="auto"/>
            </w:tcBorders>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Discretionary</w:t>
            </w:r>
          </w:p>
        </w:tc>
        <w:tc>
          <w:tcPr>
            <w:tcW w:w="0" w:type="dxa"/>
            <w:vAlign w:val="bottom"/>
          </w:tcPr>
          <w:p>
            <w:pPr>
              <w:spacing w:after="0"/>
              <w:rPr>
                <w:sz w:val="1"/>
                <w:szCs w:val="1"/>
                <w:color w:val="auto"/>
              </w:rPr>
            </w:pPr>
          </w:p>
        </w:tc>
      </w:tr>
      <w:tr>
        <w:trPr>
          <w:trHeight w:val="68"/>
        </w:trPr>
        <w:tc>
          <w:tcPr>
            <w:tcW w:w="820" w:type="dxa"/>
            <w:vAlign w:val="bottom"/>
            <w:tcBorders>
              <w:left w:val="single" w:sz="8" w:color="00A1DF"/>
            </w:tcBorders>
            <w:vMerge w:val="restart"/>
          </w:tcPr>
          <w:p>
            <w:pPr>
              <w:jc w:val="right"/>
              <w:ind w:right="203"/>
              <w:spacing w:after="0" w:line="162" w:lineRule="exact"/>
              <w:rPr>
                <w:sz w:val="20"/>
                <w:szCs w:val="20"/>
                <w:color w:val="auto"/>
              </w:rPr>
            </w:pPr>
            <w:r>
              <w:rPr>
                <w:rFonts w:ascii="Arial" w:cs="Arial" w:eastAsia="Arial" w:hAnsi="Arial"/>
                <w:sz w:val="15"/>
                <w:szCs w:val="15"/>
                <w:color w:val="auto"/>
              </w:rPr>
              <w:t>3</w:t>
            </w:r>
          </w:p>
        </w:tc>
        <w:tc>
          <w:tcPr>
            <w:tcW w:w="348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rPr>
              <w:t>as the Company’s Independent Registered Public</w:t>
            </w:r>
          </w:p>
        </w:tc>
        <w:tc>
          <w:tcPr>
            <w:tcW w:w="13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00A1DF"/>
              </w:rPr>
              <w:t>FOR</w:t>
            </w:r>
          </w:p>
        </w:tc>
        <w:tc>
          <w:tcPr>
            <w:tcW w:w="33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00A1D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w w:val="97"/>
              </w:rPr>
              <w:t>Vote</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tcPr>
          <w:p>
            <w:pPr>
              <w:spacing w:after="0"/>
              <w:rPr>
                <w:sz w:val="8"/>
                <w:szCs w:val="8"/>
                <w:color w:val="auto"/>
              </w:rPr>
            </w:pPr>
          </w:p>
        </w:tc>
        <w:tc>
          <w:tcPr>
            <w:tcW w:w="3480" w:type="dxa"/>
            <w:vAlign w:val="bottom"/>
            <w:tcBorders>
              <w:right w:val="single" w:sz="8" w:color="auto"/>
            </w:tcBorders>
            <w:vMerge w:val="restart"/>
          </w:tcPr>
          <w:p>
            <w:pPr>
              <w:ind w:left="60"/>
              <w:spacing w:after="0" w:line="166" w:lineRule="exact"/>
              <w:rPr>
                <w:sz w:val="20"/>
                <w:szCs w:val="20"/>
                <w:color w:val="auto"/>
              </w:rPr>
            </w:pPr>
            <w:r>
              <w:rPr>
                <w:rFonts w:ascii="Arial" w:cs="Arial" w:eastAsia="Arial" w:hAnsi="Arial"/>
                <w:sz w:val="15"/>
                <w:szCs w:val="15"/>
                <w:color w:val="auto"/>
              </w:rPr>
              <w:t>Accounting Firm for 2018</w:t>
            </w:r>
          </w:p>
        </w:tc>
        <w:tc>
          <w:tcPr>
            <w:tcW w:w="1380" w:type="dxa"/>
            <w:vAlign w:val="bottom"/>
            <w:tcBorders>
              <w:right w:val="single" w:sz="8" w:color="auto"/>
            </w:tcBorders>
          </w:tcPr>
          <w:p>
            <w:pPr>
              <w:spacing w:after="0"/>
              <w:rPr>
                <w:sz w:val="8"/>
                <w:szCs w:val="8"/>
                <w:color w:val="auto"/>
              </w:rPr>
            </w:pPr>
          </w:p>
        </w:tc>
        <w:tc>
          <w:tcPr>
            <w:tcW w:w="3300" w:type="dxa"/>
            <w:vAlign w:val="bottom"/>
            <w:tcBorders>
              <w:right w:val="single" w:sz="8" w:color="auto"/>
            </w:tcBorders>
            <w:vMerge w:val="restart"/>
          </w:tcPr>
          <w:p>
            <w:pPr>
              <w:jc w:val="center"/>
              <w:spacing w:after="0" w:line="166" w:lineRule="exact"/>
              <w:rPr>
                <w:sz w:val="20"/>
                <w:szCs w:val="20"/>
                <w:color w:val="auto"/>
              </w:rPr>
            </w:pPr>
            <w:r>
              <w:rPr>
                <w:rFonts w:ascii="Arial" w:cs="Arial" w:eastAsia="Arial" w:hAnsi="Arial"/>
                <w:sz w:val="15"/>
                <w:szCs w:val="15"/>
                <w:color w:val="auto"/>
              </w:rPr>
              <w:t>Majority of shares present</w:t>
            </w:r>
          </w:p>
        </w:tc>
        <w:tc>
          <w:tcPr>
            <w:tcW w:w="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20" w:type="dxa"/>
            <w:vAlign w:val="bottom"/>
            <w:tcBorders>
              <w:left w:val="single" w:sz="8" w:color="00A1DF"/>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3300" w:type="dxa"/>
            <w:vAlign w:val="bottom"/>
            <w:tcBorders>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203"/>
              <w:spacing w:after="0"/>
              <w:rPr>
                <w:sz w:val="20"/>
                <w:szCs w:val="20"/>
                <w:color w:val="auto"/>
              </w:rPr>
            </w:pPr>
            <w:r>
              <w:rPr>
                <w:rFonts w:ascii="Arial" w:cs="Arial" w:eastAsia="Arial" w:hAnsi="Arial"/>
                <w:sz w:val="15"/>
                <w:szCs w:val="15"/>
                <w:color w:val="auto"/>
              </w:rPr>
              <w:t>4</w:t>
            </w:r>
          </w:p>
        </w:tc>
        <w:tc>
          <w:tcPr>
            <w:tcW w:w="348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5"/>
                <w:szCs w:val="15"/>
                <w:color w:val="auto"/>
              </w:rPr>
              <w:t>Shareholder Proposal Regarding Independent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AGAINST</w:t>
            </w:r>
          </w:p>
        </w:tc>
        <w:tc>
          <w:tcPr>
            <w:tcW w:w="330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(in person or by proxy)</w:t>
            </w: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Board Chairman</w:t>
            </w:r>
          </w:p>
        </w:tc>
        <w:tc>
          <w:tcPr>
            <w:tcW w:w="138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and entitled to vote</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20" w:type="dxa"/>
            <w:vAlign w:val="bottom"/>
            <w:tcBorders>
              <w:left w:val="single" w:sz="8" w:color="00A1DF"/>
              <w:bottom w:val="single" w:sz="8" w:color="auto"/>
            </w:tcBorders>
          </w:tcPr>
          <w:p>
            <w:pPr>
              <w:spacing w:after="0"/>
              <w:rPr>
                <w:sz w:val="6"/>
                <w:szCs w:val="6"/>
                <w:color w:val="auto"/>
              </w:rPr>
            </w:pPr>
          </w:p>
        </w:tc>
        <w:tc>
          <w:tcPr>
            <w:tcW w:w="348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3300" w:type="dxa"/>
            <w:vAlign w:val="bottom"/>
            <w:tcBorders>
              <w:right w:val="single" w:sz="8" w:color="auto"/>
            </w:tcBorders>
            <w:vMerge w:val="continue"/>
          </w:tcPr>
          <w:p>
            <w:pPr>
              <w:spacing w:after="0"/>
              <w:rPr>
                <w:sz w:val="6"/>
                <w:szCs w:val="6"/>
                <w:color w:val="auto"/>
              </w:rPr>
            </w:pPr>
          </w:p>
        </w:tc>
        <w:tc>
          <w:tcPr>
            <w:tcW w:w="960" w:type="dxa"/>
            <w:vAlign w:val="bottom"/>
            <w:tcBorders>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right w:val="single" w:sz="8" w:color="00A1DF"/>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203"/>
              <w:spacing w:after="0"/>
              <w:rPr>
                <w:sz w:val="20"/>
                <w:szCs w:val="20"/>
                <w:color w:val="auto"/>
              </w:rPr>
            </w:pPr>
            <w:r>
              <w:rPr>
                <w:rFonts w:ascii="Arial" w:cs="Arial" w:eastAsia="Arial" w:hAnsi="Arial"/>
                <w:sz w:val="15"/>
                <w:szCs w:val="15"/>
                <w:color w:val="auto"/>
              </w:rPr>
              <w:t>5</w:t>
            </w:r>
          </w:p>
        </w:tc>
        <w:tc>
          <w:tcPr>
            <w:tcW w:w="348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5"/>
                <w:szCs w:val="15"/>
                <w:color w:val="auto"/>
              </w:rPr>
              <w:t>Shareholder Proposal Regarding Shareholder</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AGAINST</w:t>
            </w:r>
          </w:p>
        </w:tc>
        <w:tc>
          <w:tcPr>
            <w:tcW w:w="3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Right to Act by Written Consent</w:t>
            </w:r>
          </w:p>
        </w:tc>
        <w:tc>
          <w:tcPr>
            <w:tcW w:w="138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20" w:type="dxa"/>
            <w:vAlign w:val="bottom"/>
            <w:tcBorders>
              <w:left w:val="single" w:sz="8" w:color="00A1DF"/>
              <w:bottom w:val="single" w:sz="8" w:color="auto"/>
            </w:tcBorders>
          </w:tcPr>
          <w:p>
            <w:pPr>
              <w:spacing w:after="0"/>
              <w:rPr>
                <w:sz w:val="6"/>
                <w:szCs w:val="6"/>
                <w:color w:val="auto"/>
              </w:rPr>
            </w:pPr>
          </w:p>
        </w:tc>
        <w:tc>
          <w:tcPr>
            <w:tcW w:w="348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3300" w:type="dxa"/>
            <w:vAlign w:val="bottom"/>
            <w:tcBorders>
              <w:right w:val="single" w:sz="8" w:color="auto"/>
            </w:tcBorders>
          </w:tcPr>
          <w:p>
            <w:pPr>
              <w:spacing w:after="0"/>
              <w:rPr>
                <w:sz w:val="6"/>
                <w:szCs w:val="6"/>
                <w:color w:val="auto"/>
              </w:rPr>
            </w:pPr>
          </w:p>
        </w:tc>
        <w:tc>
          <w:tcPr>
            <w:tcW w:w="960" w:type="dxa"/>
            <w:vAlign w:val="bottom"/>
            <w:tcBorders>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right w:val="single" w:sz="8" w:color="00A1DF"/>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820" w:type="dxa"/>
            <w:vAlign w:val="bottom"/>
            <w:tcBorders>
              <w:left w:val="single" w:sz="8" w:color="00A1DF"/>
            </w:tcBorders>
            <w:vMerge w:val="restart"/>
          </w:tcPr>
          <w:p>
            <w:pPr>
              <w:jc w:val="right"/>
              <w:ind w:right="203"/>
              <w:spacing w:after="0"/>
              <w:rPr>
                <w:sz w:val="20"/>
                <w:szCs w:val="20"/>
                <w:color w:val="auto"/>
              </w:rPr>
            </w:pPr>
            <w:r>
              <w:rPr>
                <w:rFonts w:ascii="Arial" w:cs="Arial" w:eastAsia="Arial" w:hAnsi="Arial"/>
                <w:sz w:val="15"/>
                <w:szCs w:val="15"/>
                <w:color w:val="auto"/>
              </w:rPr>
              <w:t>6</w:t>
            </w:r>
          </w:p>
        </w:tc>
        <w:tc>
          <w:tcPr>
            <w:tcW w:w="348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5"/>
                <w:szCs w:val="15"/>
                <w:color w:val="auto"/>
              </w:rPr>
              <w:t>Shareholder Proposal Regarding Report on</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00A1DF"/>
              </w:rPr>
              <w:t>AGAINST</w:t>
            </w:r>
          </w:p>
        </w:tc>
        <w:tc>
          <w:tcPr>
            <w:tcW w:w="33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Counted as</w:t>
            </w:r>
          </w:p>
        </w:tc>
        <w:tc>
          <w:tcPr>
            <w:tcW w:w="110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3"/>
        </w:trPr>
        <w:tc>
          <w:tcPr>
            <w:tcW w:w="820" w:type="dxa"/>
            <w:vAlign w:val="bottom"/>
            <w:tcBorders>
              <w:left w:val="single" w:sz="8" w:color="00A1DF"/>
            </w:tcBorders>
            <w:vMerge w:val="continue"/>
          </w:tcPr>
          <w:p>
            <w:pPr>
              <w:spacing w:after="0"/>
              <w:rPr>
                <w:sz w:val="8"/>
                <w:szCs w:val="8"/>
                <w:color w:val="auto"/>
              </w:rPr>
            </w:pPr>
          </w:p>
        </w:tc>
        <w:tc>
          <w:tcPr>
            <w:tcW w:w="3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Greenhouse Gas and CAFE Standards</w:t>
            </w:r>
          </w:p>
        </w:tc>
        <w:tc>
          <w:tcPr>
            <w:tcW w:w="1380" w:type="dxa"/>
            <w:vAlign w:val="bottom"/>
            <w:tcBorders>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“AGAINST”</w:t>
            </w:r>
          </w:p>
        </w:tc>
        <w:tc>
          <w:tcPr>
            <w:tcW w:w="110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20" w:type="dxa"/>
            <w:vAlign w:val="bottom"/>
            <w:tcBorders>
              <w:left w:val="single" w:sz="8" w:color="00A1DF"/>
              <w:bottom w:val="single" w:sz="8" w:color="0033A0"/>
            </w:tcBorders>
          </w:tcPr>
          <w:p>
            <w:pPr>
              <w:spacing w:after="0"/>
              <w:rPr>
                <w:sz w:val="6"/>
                <w:szCs w:val="6"/>
                <w:color w:val="auto"/>
              </w:rPr>
            </w:pPr>
          </w:p>
        </w:tc>
        <w:tc>
          <w:tcPr>
            <w:tcW w:w="3480" w:type="dxa"/>
            <w:vAlign w:val="bottom"/>
            <w:tcBorders>
              <w:bottom w:val="single" w:sz="8" w:color="0033A0"/>
              <w:right w:val="single" w:sz="8" w:color="auto"/>
            </w:tcBorders>
            <w:vMerge w:val="continue"/>
          </w:tcPr>
          <w:p>
            <w:pPr>
              <w:spacing w:after="0"/>
              <w:rPr>
                <w:sz w:val="6"/>
                <w:szCs w:val="6"/>
                <w:color w:val="auto"/>
              </w:rPr>
            </w:pPr>
          </w:p>
        </w:tc>
        <w:tc>
          <w:tcPr>
            <w:tcW w:w="1380" w:type="dxa"/>
            <w:vAlign w:val="bottom"/>
            <w:tcBorders>
              <w:bottom w:val="single" w:sz="8" w:color="0033A0"/>
              <w:right w:val="single" w:sz="8" w:color="auto"/>
            </w:tcBorders>
          </w:tcPr>
          <w:p>
            <w:pPr>
              <w:spacing w:after="0"/>
              <w:rPr>
                <w:sz w:val="6"/>
                <w:szCs w:val="6"/>
                <w:color w:val="auto"/>
              </w:rPr>
            </w:pPr>
          </w:p>
        </w:tc>
        <w:tc>
          <w:tcPr>
            <w:tcW w:w="3300" w:type="dxa"/>
            <w:vAlign w:val="bottom"/>
            <w:tcBorders>
              <w:bottom w:val="single" w:sz="8" w:color="0033A0"/>
              <w:right w:val="single" w:sz="8" w:color="auto"/>
            </w:tcBorders>
          </w:tcPr>
          <w:p>
            <w:pPr>
              <w:spacing w:after="0"/>
              <w:rPr>
                <w:sz w:val="6"/>
                <w:szCs w:val="6"/>
                <w:color w:val="auto"/>
              </w:rPr>
            </w:pPr>
          </w:p>
        </w:tc>
        <w:tc>
          <w:tcPr>
            <w:tcW w:w="960" w:type="dxa"/>
            <w:vAlign w:val="bottom"/>
            <w:tcBorders>
              <w:bottom w:val="single" w:sz="8" w:color="0033A0"/>
              <w:right w:val="single" w:sz="8" w:color="auto"/>
            </w:tcBorders>
            <w:vMerge w:val="continue"/>
          </w:tcPr>
          <w:p>
            <w:pPr>
              <w:spacing w:after="0"/>
              <w:rPr>
                <w:sz w:val="6"/>
                <w:szCs w:val="6"/>
                <w:color w:val="auto"/>
              </w:rPr>
            </w:pPr>
          </w:p>
        </w:tc>
        <w:tc>
          <w:tcPr>
            <w:tcW w:w="1100" w:type="dxa"/>
            <w:vAlign w:val="bottom"/>
            <w:tcBorders>
              <w:bottom w:val="single" w:sz="8" w:color="0033A0"/>
              <w:right w:val="single" w:sz="8" w:color="00A1D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20" w:right="20" w:hanging="316"/>
        <w:spacing w:after="0" w:line="260" w:lineRule="auto"/>
        <w:tabs>
          <w:tab w:leader="none" w:pos="520" w:val="left"/>
        </w:tabs>
        <w:numPr>
          <w:ilvl w:val="0"/>
          <w:numId w:val="148"/>
        </w:numPr>
        <w:rPr>
          <w:rFonts w:ascii="Arial" w:cs="Arial" w:eastAsia="Arial" w:hAnsi="Arial"/>
          <w:sz w:val="14"/>
          <w:szCs w:val="14"/>
          <w:i w:val="1"/>
          <w:iCs w:val="1"/>
          <w:color w:val="auto"/>
        </w:rPr>
      </w:pPr>
      <w:r>
        <w:rPr>
          <w:rFonts w:ascii="Arial" w:cs="Arial" w:eastAsia="Arial" w:hAnsi="Arial"/>
          <w:sz w:val="14"/>
          <w:szCs w:val="14"/>
          <w:i w:val="1"/>
          <w:iCs w:val="1"/>
          <w:color w:val="auto"/>
        </w:rPr>
        <w:t>Each person elected as director will serve a one-year term and until his or her successor has been duly elected and qualified or until his or her earlier resignation or removal. If any nominee becomes unable to serve, proxies will be voted for the election of such other person as the Board may designate, unless the Board chooses to reduce the number of directors.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Other matters to be presented at the Annual Meeting</w:t>
      </w:r>
    </w:p>
    <w:p>
      <w:pPr>
        <w:spacing w:after="0" w:line="167"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We do not know of any matters to be voted on by shareholders at the Annual Meeting other than those included in this Proxy Statement. If any other matter is properly presented at the meeting, your executed proxy gives the Proxies (as defined below) discretionary authority to vote your shares in accordance with its best judgment with respect to the matter.</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Attending the Annual Meeting</w:t>
      </w:r>
    </w:p>
    <w:p>
      <w:pPr>
        <w:spacing w:after="0" w:line="181"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Only shareholders and authorized guests of the Company may attend the Annual Meeting, and all attendees will be required to show a valid form of ID (such as a government-issued form of photo identification). If you hold your shares in street name (</w:t>
      </w:r>
      <w:r>
        <w:rPr>
          <w:rFonts w:ascii="Arial" w:cs="Arial" w:eastAsia="Arial" w:hAnsi="Arial"/>
          <w:sz w:val="16"/>
          <w:szCs w:val="16"/>
          <w:i w:val="1"/>
          <w:iCs w:val="1"/>
          <w:color w:val="auto"/>
        </w:rPr>
        <w:t>i.e.</w:t>
      </w:r>
      <w:r>
        <w:rPr>
          <w:rFonts w:ascii="Arial" w:cs="Arial" w:eastAsia="Arial" w:hAnsi="Arial"/>
          <w:sz w:val="16"/>
          <w:szCs w:val="16"/>
          <w:color w:val="auto"/>
        </w:rPr>
        <w:t>, through a bank or broker), you must also provide proof of share ownership, such as a letter from your bank or broker or a recent brokerage statement.</w:t>
      </w:r>
    </w:p>
    <w:p>
      <w:pPr>
        <w:spacing w:after="0" w:line="77" w:lineRule="exact"/>
        <w:rPr>
          <w:sz w:val="20"/>
          <w:szCs w:val="20"/>
          <w:color w:val="auto"/>
        </w:rPr>
      </w:pPr>
    </w:p>
    <w:p>
      <w:pPr>
        <w:jc w:val="both"/>
        <w:ind w:left="200" w:right="20"/>
        <w:spacing w:after="0" w:line="281" w:lineRule="auto"/>
        <w:rPr>
          <w:sz w:val="20"/>
          <w:szCs w:val="20"/>
          <w:color w:val="auto"/>
        </w:rPr>
      </w:pPr>
      <w:r>
        <w:rPr>
          <w:rFonts w:ascii="Arial" w:cs="Arial" w:eastAsia="Arial" w:hAnsi="Arial"/>
          <w:sz w:val="16"/>
          <w:szCs w:val="16"/>
          <w:i w:val="1"/>
          <w:iCs w:val="1"/>
          <w:color w:val="00A1DF"/>
        </w:rPr>
        <w:t>Large bags, backpacks and packages, suitcases, briefcases, personal communication devices (e.g., cell phones, smartphones, and tablets), cameras, recording equipment, and other electronic devices will not be permitted in the meeting, and attendees will be subject to security inspections.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Quorum</w:t>
      </w:r>
    </w:p>
    <w:p>
      <w:pPr>
        <w:spacing w:after="0" w:line="167"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Proxies</w:t>
      </w:r>
    </w:p>
    <w:p>
      <w:pPr>
        <w:spacing w:after="0" w:line="167"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Board appointed the following executive officers to act as proxies: Mary T. Barra, Daniel Ammann, and Charles K. Stevens, III (collectively, the “Proxies”).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Who can vote</w:t>
      </w:r>
    </w:p>
    <w:p>
      <w:pPr>
        <w:spacing w:after="0" w:line="181"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Holders of record of our common stock as of the close of business on April 16, 2018, are entitled to vote at the Annual Meeting. On that date, the Company had 1,409,441,782 shares of common stock outstanding and entitled to vote. Each share of our common stock entitles the holder to one vote.</w:t>
      </w:r>
    </w:p>
    <w:p>
      <w:pPr>
        <w:spacing w:after="0" w:line="131"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Voting without attending the Annual Meeting</w:t>
      </w:r>
    </w:p>
    <w:p>
      <w:pPr>
        <w:spacing w:after="0" w:line="167"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When you timely submit your proxy or voting instructions in the proper form, your shares will be voted according to your instructions. You may give instructions to vote for or against or abstain from voting for the election of all the Board of Directors’ nominees or any individual nominee and to vote for or against or abstain from voting upon, each of the other matters submitted for voting. If you sign, date, and return the proxy card or voting instruction form without specifying how you wish to cast your vote, your shares will be voted by the Proxies according to the recommendations of the Board of Directors, as indicated above. Internet and telephone voting is available 24 hours a day, through 11:59 p.m. Eastern time on Monday, June 11, 2018.</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Voting at the Annual Meeting</w:t>
      </w:r>
    </w:p>
    <w:p>
      <w:pPr>
        <w:spacing w:after="0" w:line="151"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6"/>
          <w:szCs w:val="16"/>
          <w:color w:val="auto"/>
        </w:rPr>
        <w:t>You may vote your shares at the Annual Meeting by completing a ballot at the meeting. If you are a registered holder (</w:t>
      </w:r>
      <w:r>
        <w:rPr>
          <w:rFonts w:ascii="Arial" w:cs="Arial" w:eastAsia="Arial" w:hAnsi="Arial"/>
          <w:sz w:val="16"/>
          <w:szCs w:val="16"/>
          <w:i w:val="1"/>
          <w:iCs w:val="1"/>
          <w:color w:val="auto"/>
        </w:rPr>
        <w:t>i.e.</w:t>
      </w:r>
      <w:r>
        <w:rPr>
          <w:rFonts w:ascii="Arial" w:cs="Arial" w:eastAsia="Arial" w:hAnsi="Arial"/>
          <w:sz w:val="16"/>
          <w:szCs w:val="16"/>
          <w:color w:val="auto"/>
        </w:rPr>
        <w:t>, you hold shares in your name), you must present a valid form of ID (such as a government-issued form of photo identification) to vote at the meeting. If you are a beneficial shareholder and want to vote your shares in person at the Annual Meeting, you must bring a signed legal proxy form from your broker, bank, or other nominee giving you the right to vote the shares and submit that legal proxy with your ballot at the meeting. We encourage you to vote your shares in advance of the meeting, even if you plan to attend. Your vote at the meeting will supersede any prior vote by you.</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Revoking your proxy</w:t>
      </w:r>
    </w:p>
    <w:p>
      <w:pPr>
        <w:spacing w:after="0" w:line="181"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 xml:space="preserve">After you have submitted your proxy or voting instructions by Internet, telephone, or mail, you may revoke your proxy at any time until it is voted at the Annual Meeting. If you are a shareholder of record, you may do this by voting subsequently by Internet or telephone, submitting a new proxy card with a later date, sending a written notice of revocation to the Corporate Secretary at Mail Code 482-C24-A68, 300 Renaissance Center, Detroit, Michigan 48265, or by e-mail to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w:t>
      </w:r>
    </w:p>
    <w:p>
      <w:pPr>
        <w:spacing w:after="0" w:line="95"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If you are a beneficial shareholder, you may subsequently vote by Internet or telephone, or you may revoke your vote through your broker, bank, or other nominee in accordance with their instructions.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Annual Meeting voting results</w:t>
      </w:r>
    </w:p>
    <w:p>
      <w:pPr>
        <w:spacing w:after="0" w:line="167" w:lineRule="exact"/>
        <w:rPr>
          <w:sz w:val="20"/>
          <w:szCs w:val="20"/>
          <w:color w:val="auto"/>
        </w:rPr>
      </w:pPr>
    </w:p>
    <w:p>
      <w:pPr>
        <w:jc w:val="both"/>
        <w:ind w:left="200" w:right="40"/>
        <w:spacing w:after="0" w:line="260" w:lineRule="auto"/>
        <w:rPr>
          <w:sz w:val="20"/>
          <w:szCs w:val="20"/>
          <w:color w:val="auto"/>
        </w:rPr>
      </w:pPr>
      <w:r>
        <w:rPr>
          <w:rFonts w:ascii="Arial" w:cs="Arial" w:eastAsia="Arial" w:hAnsi="Arial"/>
          <w:sz w:val="16"/>
          <w:szCs w:val="16"/>
          <w:color w:val="auto"/>
        </w:rPr>
        <w:t>Our independent inspector of elections, Broadridge Financial Services, will tabulate the vote at the Annual Meeting. We will provide voting results on our website and in a Current Report on Form 8-K filed with the SEC.</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“Shareholder of record” and “Beneficial shareholder”</w:t>
      </w:r>
    </w:p>
    <w:p>
      <w:pPr>
        <w:spacing w:after="0" w:line="167"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6"/>
          <w:szCs w:val="16"/>
          <w:color w:val="auto"/>
        </w:rPr>
        <w:t xml:space="preserve">If your shares are owned directly in your name in an account with GM’s stock transfer agent, Computershare Trust Company, N.A. (“Computershare”),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16"/>
          <w:szCs w:val="16"/>
          <w:b w:val="1"/>
          <w:bCs w:val="1"/>
          <w:u w:val="single" w:color="auto"/>
          <w:color w:val="auto"/>
        </w:rPr>
        <w:t>must</w:t>
      </w:r>
      <w:r>
        <w:rPr>
          <w:rFonts w:ascii="Arial" w:cs="Arial" w:eastAsia="Arial" w:hAnsi="Arial"/>
          <w:sz w:val="16"/>
          <w:szCs w:val="16"/>
          <w:color w:val="auto"/>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3 (“Ratification of the Selection of Ernst &amp; Young LLP as the Company’s Independent Registered Public Accounting Firm for 2018”) even if you do not provide voting instructions, because it is considered a routine matter. </w:t>
      </w:r>
      <w:r>
        <w:rPr>
          <w:rFonts w:ascii="Arial" w:cs="Arial" w:eastAsia="Arial" w:hAnsi="Arial"/>
          <w:sz w:val="16"/>
          <w:szCs w:val="16"/>
          <w:b w:val="1"/>
          <w:bCs w:val="1"/>
          <w:color w:val="auto"/>
        </w:rPr>
        <w:t>Your broker is not permitted to vote on the other Agenda</w:t>
      </w:r>
      <w:r>
        <w:rPr>
          <w:rFonts w:ascii="Arial" w:cs="Arial" w:eastAsia="Arial" w:hAnsi="Arial"/>
          <w:sz w:val="16"/>
          <w:szCs w:val="16"/>
          <w:color w:val="auto"/>
        </w:rPr>
        <w:t xml:space="preserve"> </w:t>
      </w:r>
      <w:r>
        <w:rPr>
          <w:rFonts w:ascii="Arial" w:cs="Arial" w:eastAsia="Arial" w:hAnsi="Arial"/>
          <w:sz w:val="16"/>
          <w:szCs w:val="16"/>
          <w:b w:val="1"/>
          <w:bCs w:val="1"/>
          <w:color w:val="auto"/>
        </w:rPr>
        <w:t>Items if you do not provide voting instructions because those items involve matters that are considered non-routine.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20"/>
          <w:szCs w:val="20"/>
          <w:color w:val="00A1DF"/>
        </w:rPr>
        <w:t>Householding</w:t>
      </w:r>
    </w:p>
    <w:p>
      <w:pPr>
        <w:spacing w:after="0" w:line="181"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auto"/>
        </w:rPr>
        <w:t>SEC rules permit companies to send a single Proxy Statement and Annual Report on Form 10-K or Notice to two or more shareholders that share the same address, subject to certain conditions. Each shareholder will continue to receive a separate proxy card, voting instruction form, or Notice,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287" w:lineRule="exact"/>
        <w:rPr>
          <w:sz w:val="20"/>
          <w:szCs w:val="20"/>
          <w:color w:val="auto"/>
        </w:rPr>
      </w:pPr>
    </w:p>
    <w:p>
      <w:pPr>
        <w:jc w:val="both"/>
        <w:ind w:left="200" w:right="40"/>
        <w:spacing w:after="0" w:line="251" w:lineRule="auto"/>
        <w:rPr>
          <w:sz w:val="20"/>
          <w:szCs w:val="20"/>
          <w:color w:val="auto"/>
        </w:rPr>
      </w:pPr>
      <w:r>
        <w:rPr>
          <w:rFonts w:ascii="Arial" w:cs="Arial" w:eastAsia="Arial" w:hAnsi="Arial"/>
          <w:sz w:val="16"/>
          <w:szCs w:val="16"/>
          <w:color w:val="auto"/>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95"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If a broker, bank, or other nominee holds your shares, please contact your broker, bank, or other nominee directly if you have questions about delivery of materials, require additional copies of the Proxy Statement or Annual Report on Form 10-K, or wish to receive multiple copies of proxy materials by stating that you do not consent to householding.</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6"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25"/>
          <w:szCs w:val="25"/>
          <w:color w:val="0033A0"/>
        </w:rPr>
      </w:pPr>
      <w:r>
        <w:rPr>
          <w:rFonts w:ascii="Arial" w:cs="Arial" w:eastAsia="Arial" w:hAnsi="Arial"/>
          <w:sz w:val="25"/>
          <w:szCs w:val="25"/>
          <w:color w:val="auto"/>
        </w:rPr>
        <w:t>Shareholder Proposals and Director Nominations</w:t>
      </w:r>
    </w:p>
    <w:p>
      <w:pPr>
        <w:spacing w:after="0" w:line="204"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2580" w:type="dxa"/>
            <w:vAlign w:val="bottom"/>
            <w:tcBorders>
              <w:top w:val="single" w:sz="8" w:color="00A1DF"/>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Type of Proposal</w:t>
            </w:r>
          </w:p>
        </w:tc>
        <w:tc>
          <w:tcPr>
            <w:tcW w:w="3040" w:type="dxa"/>
            <w:vAlign w:val="bottom"/>
            <w:tcBorders>
              <w:top w:val="single" w:sz="8" w:color="00A1DF"/>
              <w:right w:val="single" w:sz="8" w:color="auto"/>
            </w:tcBorders>
          </w:tcPr>
          <w:p>
            <w:pPr>
              <w:jc w:val="center"/>
              <w:spacing w:after="0"/>
              <w:rPr>
                <w:sz w:val="20"/>
                <w:szCs w:val="20"/>
                <w:color w:val="auto"/>
              </w:rPr>
            </w:pPr>
            <w:r>
              <w:rPr>
                <w:rFonts w:ascii="Arial" w:cs="Arial" w:eastAsia="Arial" w:hAnsi="Arial"/>
                <w:sz w:val="16"/>
                <w:szCs w:val="16"/>
                <w:b w:val="1"/>
                <w:bCs w:val="1"/>
                <w:color w:val="auto"/>
              </w:rPr>
              <w:t>Rule 14a-8 Proposals by</w:t>
            </w:r>
          </w:p>
        </w:tc>
        <w:tc>
          <w:tcPr>
            <w:tcW w:w="2700" w:type="dxa"/>
            <w:vAlign w:val="bottom"/>
            <w:tcBorders>
              <w:top w:val="single" w:sz="8" w:color="00A1DF"/>
              <w:right w:val="single" w:sz="8" w:color="auto"/>
            </w:tcBorders>
          </w:tcPr>
          <w:p>
            <w:pPr>
              <w:ind w:left="100"/>
              <w:spacing w:after="0"/>
              <w:rPr>
                <w:sz w:val="20"/>
                <w:szCs w:val="20"/>
                <w:color w:val="auto"/>
              </w:rPr>
            </w:pPr>
            <w:r>
              <w:rPr>
                <w:rFonts w:ascii="Arial" w:cs="Arial" w:eastAsia="Arial" w:hAnsi="Arial"/>
                <w:sz w:val="16"/>
                <w:szCs w:val="16"/>
                <w:b w:val="1"/>
                <w:bCs w:val="1"/>
                <w:color w:val="auto"/>
              </w:rPr>
              <w:t>Director Nominees for</w:t>
            </w:r>
          </w:p>
        </w:tc>
        <w:tc>
          <w:tcPr>
            <w:tcW w:w="2720" w:type="dxa"/>
            <w:vAlign w:val="bottom"/>
            <w:tcBorders>
              <w:top w:val="single" w:sz="8" w:color="00A1DF"/>
              <w:right w:val="single" w:sz="8" w:color="00A1DF"/>
            </w:tcBorders>
          </w:tcPr>
          <w:p>
            <w:pPr>
              <w:ind w:left="80"/>
              <w:spacing w:after="0"/>
              <w:rPr>
                <w:sz w:val="20"/>
                <w:szCs w:val="20"/>
                <w:color w:val="auto"/>
              </w:rPr>
            </w:pPr>
            <w:r>
              <w:rPr>
                <w:rFonts w:ascii="Arial" w:cs="Arial" w:eastAsia="Arial" w:hAnsi="Arial"/>
                <w:sz w:val="16"/>
                <w:szCs w:val="16"/>
                <w:b w:val="1"/>
                <w:bCs w:val="1"/>
                <w:color w:val="auto"/>
              </w:rPr>
              <w:t>Other Proposals or</w:t>
            </w:r>
          </w:p>
        </w:tc>
      </w:tr>
      <w:tr>
        <w:trPr>
          <w:trHeight w:val="189"/>
        </w:trPr>
        <w:tc>
          <w:tcPr>
            <w:tcW w:w="2580" w:type="dxa"/>
            <w:vAlign w:val="bottom"/>
            <w:tcBorders>
              <w:left w:val="single" w:sz="8" w:color="00A1DF"/>
              <w:right w:val="single" w:sz="8" w:color="auto"/>
            </w:tcBorders>
          </w:tcPr>
          <w:p>
            <w:pPr>
              <w:spacing w:after="0"/>
              <w:rPr>
                <w:sz w:val="16"/>
                <w:szCs w:val="16"/>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Shareholders</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Inclusion in Next Year’s</w:t>
            </w:r>
          </w:p>
        </w:tc>
        <w:tc>
          <w:tcPr>
            <w:tcW w:w="2720" w:type="dxa"/>
            <w:vAlign w:val="bottom"/>
            <w:tcBorders>
              <w:right w:val="single" w:sz="8" w:color="00A1DF"/>
            </w:tcBorders>
          </w:tcPr>
          <w:p>
            <w:pPr>
              <w:ind w:left="80"/>
              <w:spacing w:after="0"/>
              <w:rPr>
                <w:sz w:val="20"/>
                <w:szCs w:val="20"/>
                <w:color w:val="auto"/>
              </w:rPr>
            </w:pPr>
            <w:r>
              <w:rPr>
                <w:rFonts w:ascii="Arial" w:cs="Arial" w:eastAsia="Arial" w:hAnsi="Arial"/>
                <w:sz w:val="16"/>
                <w:szCs w:val="16"/>
                <w:b w:val="1"/>
                <w:bCs w:val="1"/>
                <w:color w:val="auto"/>
              </w:rPr>
              <w:t>Nominees for</w:t>
            </w:r>
          </w:p>
        </w:tc>
      </w:tr>
      <w:tr>
        <w:trPr>
          <w:trHeight w:val="189"/>
        </w:trPr>
        <w:tc>
          <w:tcPr>
            <w:tcW w:w="2580" w:type="dxa"/>
            <w:vAlign w:val="bottom"/>
            <w:tcBorders>
              <w:left w:val="single" w:sz="8" w:color="00A1DF"/>
              <w:right w:val="single" w:sz="8" w:color="auto"/>
            </w:tcBorders>
          </w:tcPr>
          <w:p>
            <w:pPr>
              <w:spacing w:after="0"/>
              <w:rPr>
                <w:sz w:val="16"/>
                <w:szCs w:val="16"/>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 Inclusion in Next Year’s Proxy</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Proxy Statement</w:t>
            </w:r>
          </w:p>
        </w:tc>
        <w:tc>
          <w:tcPr>
            <w:tcW w:w="2720" w:type="dxa"/>
            <w:vAlign w:val="bottom"/>
            <w:tcBorders>
              <w:right w:val="single" w:sz="8" w:color="00A1DF"/>
            </w:tcBorders>
          </w:tcPr>
          <w:p>
            <w:pPr>
              <w:ind w:left="80"/>
              <w:spacing w:after="0"/>
              <w:rPr>
                <w:sz w:val="20"/>
                <w:szCs w:val="20"/>
                <w:color w:val="auto"/>
              </w:rPr>
            </w:pPr>
            <w:r>
              <w:rPr>
                <w:rFonts w:ascii="Arial" w:cs="Arial" w:eastAsia="Arial" w:hAnsi="Arial"/>
                <w:sz w:val="16"/>
                <w:szCs w:val="16"/>
                <w:b w:val="1"/>
                <w:bCs w:val="1"/>
                <w:color w:val="auto"/>
              </w:rPr>
              <w:t>Representation at Next</w:t>
            </w:r>
          </w:p>
        </w:tc>
      </w:tr>
      <w:tr>
        <w:trPr>
          <w:trHeight w:val="215"/>
        </w:trPr>
        <w:tc>
          <w:tcPr>
            <w:tcW w:w="2580" w:type="dxa"/>
            <w:vAlign w:val="bottom"/>
            <w:tcBorders>
              <w:left w:val="single" w:sz="8" w:color="00A1DF"/>
              <w:right w:val="single" w:sz="8" w:color="auto"/>
            </w:tcBorders>
          </w:tcPr>
          <w:p>
            <w:pPr>
              <w:spacing w:after="0"/>
              <w:rPr>
                <w:sz w:val="18"/>
                <w:szCs w:val="18"/>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Statement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(Proxy Access)</w:t>
            </w:r>
          </w:p>
        </w:tc>
        <w:tc>
          <w:tcPr>
            <w:tcW w:w="2720" w:type="dxa"/>
            <w:vAlign w:val="bottom"/>
            <w:tcBorders>
              <w:right w:val="single" w:sz="8" w:color="00A1DF"/>
            </w:tcBorders>
          </w:tcPr>
          <w:p>
            <w:pPr>
              <w:ind w:left="80"/>
              <w:spacing w:after="0"/>
              <w:rPr>
                <w:sz w:val="20"/>
                <w:szCs w:val="20"/>
                <w:color w:val="auto"/>
              </w:rPr>
            </w:pPr>
            <w:r>
              <w:rPr>
                <w:rFonts w:ascii="Arial" w:cs="Arial" w:eastAsia="Arial" w:hAnsi="Arial"/>
                <w:sz w:val="16"/>
                <w:szCs w:val="16"/>
                <w:b w:val="1"/>
                <w:bCs w:val="1"/>
                <w:color w:val="auto"/>
              </w:rPr>
              <w:t>Year’s Annual Meeting</w:t>
            </w:r>
          </w:p>
        </w:tc>
      </w:tr>
      <w:tr>
        <w:trPr>
          <w:trHeight w:val="87"/>
        </w:trPr>
        <w:tc>
          <w:tcPr>
            <w:tcW w:w="2580" w:type="dxa"/>
            <w:vAlign w:val="bottom"/>
            <w:tcBorders>
              <w:left w:val="single" w:sz="8" w:color="00A1DF"/>
              <w:bottom w:val="single" w:sz="8" w:color="00A1DF"/>
              <w:right w:val="single" w:sz="8" w:color="auto"/>
            </w:tcBorders>
          </w:tcPr>
          <w:p>
            <w:pPr>
              <w:spacing w:after="0"/>
              <w:rPr>
                <w:sz w:val="7"/>
                <w:szCs w:val="7"/>
                <w:color w:val="auto"/>
              </w:rPr>
            </w:pPr>
          </w:p>
        </w:tc>
        <w:tc>
          <w:tcPr>
            <w:tcW w:w="3040" w:type="dxa"/>
            <w:vAlign w:val="bottom"/>
            <w:tcBorders>
              <w:bottom w:val="single" w:sz="8" w:color="00A1DF"/>
              <w:right w:val="single" w:sz="8" w:color="auto"/>
            </w:tcBorders>
          </w:tcPr>
          <w:p>
            <w:pPr>
              <w:spacing w:after="0"/>
              <w:rPr>
                <w:sz w:val="7"/>
                <w:szCs w:val="7"/>
                <w:color w:val="auto"/>
              </w:rPr>
            </w:pPr>
          </w:p>
        </w:tc>
        <w:tc>
          <w:tcPr>
            <w:tcW w:w="2700" w:type="dxa"/>
            <w:vAlign w:val="bottom"/>
            <w:tcBorders>
              <w:bottom w:val="single" w:sz="8" w:color="00A1DF"/>
              <w:right w:val="single" w:sz="8" w:color="auto"/>
            </w:tcBorders>
          </w:tcPr>
          <w:p>
            <w:pPr>
              <w:spacing w:after="0"/>
              <w:rPr>
                <w:sz w:val="7"/>
                <w:szCs w:val="7"/>
                <w:color w:val="auto"/>
              </w:rPr>
            </w:pPr>
          </w:p>
        </w:tc>
        <w:tc>
          <w:tcPr>
            <w:tcW w:w="2720" w:type="dxa"/>
            <w:vAlign w:val="bottom"/>
            <w:tcBorders>
              <w:bottom w:val="single" w:sz="8" w:color="00A1DF"/>
              <w:right w:val="single" w:sz="8" w:color="00A1DF"/>
            </w:tcBorders>
          </w:tcPr>
          <w:p>
            <w:pPr>
              <w:spacing w:after="0"/>
              <w:rPr>
                <w:sz w:val="7"/>
                <w:szCs w:val="7"/>
                <w:color w:val="auto"/>
              </w:rPr>
            </w:pPr>
          </w:p>
        </w:tc>
      </w:tr>
      <w:tr>
        <w:trPr>
          <w:trHeight w:val="220"/>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Rules/Provisions</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SEC rules and our Bylaws permit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Our Bylaws permit a shareholder or</w:t>
            </w:r>
          </w:p>
        </w:tc>
        <w:tc>
          <w:tcPr>
            <w:tcW w:w="2720" w:type="dxa"/>
            <w:vAlign w:val="bottom"/>
            <w:tcBorders>
              <w:right w:val="single" w:sz="8" w:color="00A1DF"/>
            </w:tcBorders>
          </w:tcPr>
          <w:p>
            <w:pPr>
              <w:ind w:left="80"/>
              <w:spacing w:after="0"/>
              <w:rPr>
                <w:sz w:val="20"/>
                <w:szCs w:val="20"/>
                <w:color w:val="auto"/>
              </w:rPr>
            </w:pPr>
            <w:r>
              <w:rPr>
                <w:rFonts w:ascii="Arial" w:cs="Arial" w:eastAsia="Arial" w:hAnsi="Arial"/>
                <w:sz w:val="15"/>
                <w:szCs w:val="15"/>
                <w:color w:val="auto"/>
              </w:rPr>
              <w:t>Our Bylaws require that any</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shareholders to submit proposals for</w:t>
            </w: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group of shareholders (up to 20) who</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shareholder proposal, including a</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inclusion in our Proxy Statement if the</w:t>
            </w: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have owned a significant amount of</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director nomination, that is not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shareholder and the proposal meet the</w:t>
            </w: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common stock (at least 3%) for a</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submitted for inclusion in next year’s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requirements specified in SEC Rule 14a-8.</w:t>
            </w: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significant amount of time (at least</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Proxy Statement (either under SEC</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three years) to submit director</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Rule 14a-8 or our proxy access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nominees (up to 20% of the Board or</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bylaw), but is instead sought to be</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two directors, whichever is greater)</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presented directly at the next year’s</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for inclusion in our Proxy Statement if</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Annual Meeting must be received at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the shareholder(s) and the</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our principal executive offices no</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nominee(s) satisfy the requirements</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earlier than 180 days and no later</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specified in our Bylaws.</w:t>
            </w: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than 120 days before the first</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2720" w:type="dxa"/>
            <w:vAlign w:val="bottom"/>
            <w:tcBorders>
              <w:right w:val="single" w:sz="8" w:color="00A1DF"/>
            </w:tcBorders>
          </w:tcPr>
          <w:p>
            <w:pPr>
              <w:ind w:left="80"/>
              <w:spacing w:after="0" w:line="162" w:lineRule="exact"/>
              <w:rPr>
                <w:sz w:val="20"/>
                <w:szCs w:val="20"/>
                <w:color w:val="auto"/>
              </w:rPr>
            </w:pPr>
            <w:r>
              <w:rPr>
                <w:rFonts w:ascii="Arial" w:cs="Arial" w:eastAsia="Arial" w:hAnsi="Arial"/>
                <w:sz w:val="15"/>
                <w:szCs w:val="15"/>
                <w:color w:val="auto"/>
              </w:rPr>
              <w:t>anniversary of this year’s Annual</w:t>
            </w:r>
          </w:p>
        </w:tc>
      </w:tr>
      <w:tr>
        <w:trPr>
          <w:trHeight w:val="184"/>
        </w:trPr>
        <w:tc>
          <w:tcPr>
            <w:tcW w:w="2580" w:type="dxa"/>
            <w:vAlign w:val="bottom"/>
            <w:tcBorders>
              <w:left w:val="single" w:sz="8" w:color="00A1DF"/>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2720" w:type="dxa"/>
            <w:vAlign w:val="bottom"/>
            <w:tcBorders>
              <w:right w:val="single" w:sz="8" w:color="00A1DF"/>
            </w:tcBorders>
          </w:tcPr>
          <w:p>
            <w:pPr>
              <w:ind w:left="80"/>
              <w:spacing w:after="0"/>
              <w:rPr>
                <w:sz w:val="20"/>
                <w:szCs w:val="20"/>
                <w:color w:val="auto"/>
              </w:rPr>
            </w:pPr>
            <w:r>
              <w:rPr>
                <w:rFonts w:ascii="Arial" w:cs="Arial" w:eastAsia="Arial" w:hAnsi="Arial"/>
                <w:sz w:val="15"/>
                <w:szCs w:val="15"/>
                <w:color w:val="auto"/>
              </w:rPr>
              <w:t>Meeting.</w:t>
            </w:r>
          </w:p>
        </w:tc>
      </w:tr>
      <w:tr>
        <w:trPr>
          <w:trHeight w:val="62"/>
        </w:trPr>
        <w:tc>
          <w:tcPr>
            <w:tcW w:w="2580" w:type="dxa"/>
            <w:vAlign w:val="bottom"/>
            <w:tcBorders>
              <w:left w:val="single" w:sz="8" w:color="00A1DF"/>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00A1DF"/>
            </w:tcBorders>
          </w:tcPr>
          <w:p>
            <w:pPr>
              <w:spacing w:after="0"/>
              <w:rPr>
                <w:sz w:val="5"/>
                <w:szCs w:val="5"/>
                <w:color w:val="auto"/>
              </w:rPr>
            </w:pPr>
          </w:p>
        </w:tc>
      </w:tr>
      <w:tr>
        <w:trPr>
          <w:trHeight w:val="202"/>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When to send these proposals</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Must be received at our principal executive</w:t>
            </w:r>
          </w:p>
        </w:tc>
        <w:tc>
          <w:tcPr>
            <w:tcW w:w="5420" w:type="dxa"/>
            <w:vAlign w:val="bottom"/>
            <w:tcBorders>
              <w:right w:val="single" w:sz="8" w:color="00A1DF"/>
            </w:tcBorders>
            <w:gridSpan w:val="2"/>
          </w:tcPr>
          <w:p>
            <w:pPr>
              <w:ind w:left="100"/>
              <w:spacing w:after="0"/>
              <w:rPr>
                <w:sz w:val="20"/>
                <w:szCs w:val="20"/>
                <w:color w:val="auto"/>
              </w:rPr>
            </w:pPr>
            <w:r>
              <w:rPr>
                <w:rFonts w:ascii="Arial" w:cs="Arial" w:eastAsia="Arial" w:hAnsi="Arial"/>
                <w:sz w:val="15"/>
                <w:szCs w:val="15"/>
                <w:color w:val="auto"/>
              </w:rPr>
              <w:t xml:space="preserve">No earlier than </w:t>
            </w:r>
            <w:r>
              <w:rPr>
                <w:rFonts w:ascii="Arial" w:cs="Arial" w:eastAsia="Arial" w:hAnsi="Arial"/>
                <w:sz w:val="15"/>
                <w:szCs w:val="15"/>
                <w:b w:val="1"/>
                <w:bCs w:val="1"/>
                <w:color w:val="auto"/>
              </w:rPr>
              <w:t>December 14, 2018</w:t>
            </w:r>
            <w:r>
              <w:rPr>
                <w:rFonts w:ascii="Arial" w:cs="Arial" w:eastAsia="Arial" w:hAnsi="Arial"/>
                <w:sz w:val="15"/>
                <w:szCs w:val="15"/>
                <w:color w:val="auto"/>
              </w:rPr>
              <w:t>, and no later than 11:59 p.m. Eastern</w:t>
            </w:r>
          </w:p>
        </w:tc>
      </w:tr>
      <w:tr>
        <w:trPr>
          <w:trHeight w:val="162"/>
        </w:trPr>
        <w:tc>
          <w:tcPr>
            <w:tcW w:w="2580" w:type="dxa"/>
            <w:vAlign w:val="bottom"/>
            <w:tcBorders>
              <w:left w:val="single" w:sz="8" w:color="00A1DF"/>
              <w:right w:val="single" w:sz="8" w:color="auto"/>
            </w:tcBorders>
          </w:tcPr>
          <w:p>
            <w:pPr>
              <w:spacing w:after="0"/>
              <w:rPr>
                <w:sz w:val="14"/>
                <w:szCs w:val="14"/>
                <w:color w:val="auto"/>
              </w:rPr>
            </w:pPr>
          </w:p>
        </w:tc>
        <w:tc>
          <w:tcPr>
            <w:tcW w:w="30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offices no later than 11:59 p.m. Eastern</w:t>
            </w:r>
          </w:p>
        </w:tc>
        <w:tc>
          <w:tcPr>
            <w:tcW w:w="2700" w:type="dxa"/>
            <w:vAlign w:val="bottom"/>
          </w:tcPr>
          <w:p>
            <w:pPr>
              <w:ind w:left="100"/>
              <w:spacing w:after="0" w:line="162" w:lineRule="exact"/>
              <w:rPr>
                <w:sz w:val="20"/>
                <w:szCs w:val="20"/>
                <w:color w:val="auto"/>
              </w:rPr>
            </w:pPr>
            <w:r>
              <w:rPr>
                <w:rFonts w:ascii="Arial" w:cs="Arial" w:eastAsia="Arial" w:hAnsi="Arial"/>
                <w:sz w:val="15"/>
                <w:szCs w:val="15"/>
                <w:color w:val="auto"/>
              </w:rPr>
              <w:t xml:space="preserve">time on </w:t>
            </w:r>
            <w:r>
              <w:rPr>
                <w:rFonts w:ascii="Arial" w:cs="Arial" w:eastAsia="Arial" w:hAnsi="Arial"/>
                <w:sz w:val="15"/>
                <w:szCs w:val="15"/>
                <w:b w:val="1"/>
                <w:bCs w:val="1"/>
                <w:color w:val="auto"/>
              </w:rPr>
              <w:t>February 12, 2019.</w:t>
            </w:r>
          </w:p>
        </w:tc>
        <w:tc>
          <w:tcPr>
            <w:tcW w:w="2720" w:type="dxa"/>
            <w:vAlign w:val="bottom"/>
            <w:tcBorders>
              <w:right w:val="single" w:sz="8" w:color="00A1DF"/>
            </w:tcBorders>
          </w:tcPr>
          <w:p>
            <w:pPr>
              <w:spacing w:after="0"/>
              <w:rPr>
                <w:sz w:val="14"/>
                <w:szCs w:val="14"/>
                <w:color w:val="auto"/>
              </w:rPr>
            </w:pPr>
          </w:p>
        </w:tc>
      </w:tr>
      <w:tr>
        <w:trPr>
          <w:trHeight w:val="202"/>
        </w:trPr>
        <w:tc>
          <w:tcPr>
            <w:tcW w:w="2580" w:type="dxa"/>
            <w:vAlign w:val="bottom"/>
            <w:tcBorders>
              <w:left w:val="single" w:sz="8" w:color="00A1DF"/>
              <w:right w:val="single" w:sz="8" w:color="auto"/>
            </w:tcBorders>
          </w:tcPr>
          <w:p>
            <w:pPr>
              <w:spacing w:after="0"/>
              <w:rPr>
                <w:sz w:val="17"/>
                <w:szCs w:val="17"/>
                <w:color w:val="auto"/>
              </w:rPr>
            </w:pP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 xml:space="preserve">Time on </w:t>
            </w:r>
            <w:r>
              <w:rPr>
                <w:rFonts w:ascii="Arial" w:cs="Arial" w:eastAsia="Arial" w:hAnsi="Arial"/>
                <w:sz w:val="15"/>
                <w:szCs w:val="15"/>
                <w:b w:val="1"/>
                <w:bCs w:val="1"/>
                <w:color w:val="auto"/>
              </w:rPr>
              <w:t>December 28, 2018</w:t>
            </w:r>
            <w:r>
              <w:rPr>
                <w:rFonts w:ascii="Arial" w:cs="Arial" w:eastAsia="Arial" w:hAnsi="Arial"/>
                <w:sz w:val="15"/>
                <w:szCs w:val="15"/>
                <w:color w:val="auto"/>
              </w:rPr>
              <w:t>.</w:t>
            </w:r>
          </w:p>
        </w:tc>
        <w:tc>
          <w:tcPr>
            <w:tcW w:w="2700" w:type="dxa"/>
            <w:vAlign w:val="bottom"/>
          </w:tcPr>
          <w:p>
            <w:pPr>
              <w:spacing w:after="0"/>
              <w:rPr>
                <w:sz w:val="17"/>
                <w:szCs w:val="17"/>
                <w:color w:val="auto"/>
              </w:rPr>
            </w:pPr>
          </w:p>
        </w:tc>
        <w:tc>
          <w:tcPr>
            <w:tcW w:w="2720" w:type="dxa"/>
            <w:vAlign w:val="bottom"/>
            <w:tcBorders>
              <w:right w:val="single" w:sz="8" w:color="00A1DF"/>
            </w:tcBorders>
          </w:tcPr>
          <w:p>
            <w:pPr>
              <w:spacing w:after="0"/>
              <w:rPr>
                <w:sz w:val="17"/>
                <w:szCs w:val="17"/>
                <w:color w:val="auto"/>
              </w:rPr>
            </w:pPr>
          </w:p>
        </w:tc>
      </w:tr>
      <w:tr>
        <w:trPr>
          <w:trHeight w:val="62"/>
        </w:trPr>
        <w:tc>
          <w:tcPr>
            <w:tcW w:w="2580" w:type="dxa"/>
            <w:vAlign w:val="bottom"/>
            <w:tcBorders>
              <w:left w:val="single" w:sz="8" w:color="00A1DF"/>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00A1DF"/>
            </w:tcBorders>
          </w:tcPr>
          <w:p>
            <w:pPr>
              <w:spacing w:after="0"/>
              <w:rPr>
                <w:sz w:val="5"/>
                <w:szCs w:val="5"/>
                <w:color w:val="auto"/>
              </w:rPr>
            </w:pPr>
          </w:p>
        </w:tc>
      </w:tr>
      <w:tr>
        <w:trPr>
          <w:trHeight w:val="204"/>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Where to send these proposals</w:t>
            </w:r>
          </w:p>
        </w:tc>
        <w:tc>
          <w:tcPr>
            <w:tcW w:w="8460" w:type="dxa"/>
            <w:vAlign w:val="bottom"/>
            <w:tcBorders>
              <w:right w:val="single" w:sz="8" w:color="00A1DF"/>
            </w:tcBorders>
            <w:gridSpan w:val="3"/>
          </w:tcPr>
          <w:p>
            <w:pPr>
              <w:ind w:left="80"/>
              <w:spacing w:after="0"/>
              <w:rPr>
                <w:sz w:val="20"/>
                <w:szCs w:val="20"/>
                <w:color w:val="auto"/>
              </w:rPr>
            </w:pPr>
            <w:r>
              <w:rPr>
                <w:rFonts w:ascii="Arial" w:cs="Arial" w:eastAsia="Arial" w:hAnsi="Arial"/>
                <w:sz w:val="15"/>
                <w:szCs w:val="15"/>
                <w:color w:val="auto"/>
              </w:rPr>
              <w:t>Mail to our Corporate Secretary at Mail Code 482-C24-A68, 300 Renaissance Center, Detroit, Michigan 48265, or by</w:t>
            </w:r>
          </w:p>
        </w:tc>
      </w:tr>
      <w:tr>
        <w:trPr>
          <w:trHeight w:val="200"/>
        </w:trPr>
        <w:tc>
          <w:tcPr>
            <w:tcW w:w="2580" w:type="dxa"/>
            <w:vAlign w:val="bottom"/>
            <w:tcBorders>
              <w:left w:val="single" w:sz="8" w:color="00A1DF"/>
              <w:right w:val="single" w:sz="8" w:color="auto"/>
            </w:tcBorders>
          </w:tcPr>
          <w:p>
            <w:pPr>
              <w:spacing w:after="0"/>
              <w:rPr>
                <w:sz w:val="17"/>
                <w:szCs w:val="17"/>
                <w:color w:val="auto"/>
              </w:rPr>
            </w:pPr>
          </w:p>
        </w:tc>
        <w:tc>
          <w:tcPr>
            <w:tcW w:w="3040" w:type="dxa"/>
            <w:vAlign w:val="bottom"/>
          </w:tcPr>
          <w:p>
            <w:pPr>
              <w:ind w:left="80"/>
              <w:spacing w:after="0"/>
              <w:rPr>
                <w:sz w:val="20"/>
                <w:szCs w:val="20"/>
                <w:color w:val="auto"/>
              </w:rPr>
            </w:pPr>
            <w:r>
              <w:rPr>
                <w:rFonts w:ascii="Arial" w:cs="Arial" w:eastAsia="Arial" w:hAnsi="Arial"/>
                <w:sz w:val="15"/>
                <w:szCs w:val="15"/>
                <w:color w:val="auto"/>
              </w:rPr>
              <w:t xml:space="preserve">e-mail to </w:t>
            </w:r>
            <w:r>
              <w:rPr>
                <w:rFonts w:ascii="Arial" w:cs="Arial" w:eastAsia="Arial" w:hAnsi="Arial"/>
                <w:sz w:val="15"/>
                <w:szCs w:val="15"/>
                <w:i w:val="1"/>
                <w:iCs w:val="1"/>
                <w:color w:val="auto"/>
              </w:rPr>
              <w:t>shareholder.relations@gm.com.</w:t>
            </w:r>
          </w:p>
        </w:tc>
        <w:tc>
          <w:tcPr>
            <w:tcW w:w="2700" w:type="dxa"/>
            <w:vAlign w:val="bottom"/>
          </w:tcPr>
          <w:p>
            <w:pPr>
              <w:spacing w:after="0"/>
              <w:rPr>
                <w:sz w:val="17"/>
                <w:szCs w:val="17"/>
                <w:color w:val="auto"/>
              </w:rPr>
            </w:pPr>
          </w:p>
        </w:tc>
        <w:tc>
          <w:tcPr>
            <w:tcW w:w="2720" w:type="dxa"/>
            <w:vAlign w:val="bottom"/>
            <w:tcBorders>
              <w:right w:val="single" w:sz="8" w:color="00A1DF"/>
            </w:tcBorders>
          </w:tcPr>
          <w:p>
            <w:pPr>
              <w:spacing w:after="0"/>
              <w:rPr>
                <w:sz w:val="17"/>
                <w:szCs w:val="17"/>
                <w:color w:val="auto"/>
              </w:rPr>
            </w:pPr>
          </w:p>
        </w:tc>
      </w:tr>
      <w:tr>
        <w:trPr>
          <w:trHeight w:val="76"/>
        </w:trPr>
        <w:tc>
          <w:tcPr>
            <w:tcW w:w="2580" w:type="dxa"/>
            <w:vAlign w:val="bottom"/>
            <w:tcBorders>
              <w:left w:val="single" w:sz="8" w:color="00A1DF"/>
              <w:bottom w:val="single" w:sz="8" w:color="auto"/>
              <w:right w:val="single" w:sz="8" w:color="auto"/>
            </w:tcBorders>
          </w:tcPr>
          <w:p>
            <w:pPr>
              <w:spacing w:after="0"/>
              <w:rPr>
                <w:sz w:val="6"/>
                <w:szCs w:val="6"/>
                <w:color w:val="auto"/>
              </w:rPr>
            </w:pPr>
          </w:p>
        </w:tc>
        <w:tc>
          <w:tcPr>
            <w:tcW w:w="30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720" w:type="dxa"/>
            <w:vAlign w:val="bottom"/>
            <w:tcBorders>
              <w:bottom w:val="single" w:sz="8" w:color="auto"/>
              <w:right w:val="single" w:sz="8" w:color="00A1DF"/>
            </w:tcBorders>
          </w:tcPr>
          <w:p>
            <w:pPr>
              <w:spacing w:after="0"/>
              <w:rPr>
                <w:sz w:val="6"/>
                <w:szCs w:val="6"/>
                <w:color w:val="auto"/>
              </w:rPr>
            </w:pPr>
          </w:p>
        </w:tc>
      </w:tr>
      <w:tr>
        <w:trPr>
          <w:trHeight w:val="220"/>
        </w:trPr>
        <w:tc>
          <w:tcPr>
            <w:tcW w:w="2580" w:type="dxa"/>
            <w:vAlign w:val="bottom"/>
            <w:tcBorders>
              <w:left w:val="single" w:sz="8" w:color="00A1DF"/>
              <w:right w:val="single" w:sz="8" w:color="auto"/>
            </w:tcBorders>
          </w:tcPr>
          <w:p>
            <w:pPr>
              <w:ind w:left="140"/>
              <w:spacing w:after="0"/>
              <w:rPr>
                <w:sz w:val="20"/>
                <w:szCs w:val="20"/>
                <w:color w:val="auto"/>
              </w:rPr>
            </w:pPr>
            <w:r>
              <w:rPr>
                <w:rFonts w:ascii="Arial" w:cs="Arial" w:eastAsia="Arial" w:hAnsi="Arial"/>
                <w:sz w:val="15"/>
                <w:szCs w:val="15"/>
                <w:b w:val="1"/>
                <w:bCs w:val="1"/>
                <w:color w:val="00A1DF"/>
              </w:rPr>
              <w:t>What to include</w:t>
            </w:r>
          </w:p>
        </w:tc>
        <w:tc>
          <w:tcPr>
            <w:tcW w:w="30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Must conform to and include the</w:t>
            </w:r>
          </w:p>
        </w:tc>
        <w:tc>
          <w:tcPr>
            <w:tcW w:w="5420" w:type="dxa"/>
            <w:vAlign w:val="bottom"/>
            <w:tcBorders>
              <w:right w:val="single" w:sz="8" w:color="00A1DF"/>
            </w:tcBorders>
            <w:gridSpan w:val="2"/>
          </w:tcPr>
          <w:p>
            <w:pPr>
              <w:ind w:left="100"/>
              <w:spacing w:after="0"/>
              <w:rPr>
                <w:sz w:val="20"/>
                <w:szCs w:val="20"/>
                <w:color w:val="auto"/>
              </w:rPr>
            </w:pPr>
            <w:r>
              <w:rPr>
                <w:rFonts w:ascii="Arial" w:cs="Arial" w:eastAsia="Arial" w:hAnsi="Arial"/>
                <w:sz w:val="15"/>
                <w:szCs w:val="15"/>
                <w:color w:val="auto"/>
              </w:rPr>
              <w:t>Must include information required by our Bylaws, which are available on our</w:t>
            </w:r>
          </w:p>
        </w:tc>
      </w:tr>
      <w:tr>
        <w:trPr>
          <w:trHeight w:val="146"/>
        </w:trPr>
        <w:tc>
          <w:tcPr>
            <w:tcW w:w="2580" w:type="dxa"/>
            <w:vAlign w:val="bottom"/>
            <w:tcBorders>
              <w:left w:val="single" w:sz="8" w:color="00A1DF"/>
              <w:right w:val="single" w:sz="8" w:color="auto"/>
            </w:tcBorders>
          </w:tcPr>
          <w:p>
            <w:pPr>
              <w:spacing w:after="0"/>
              <w:rPr>
                <w:sz w:val="12"/>
                <w:szCs w:val="12"/>
                <w:color w:val="auto"/>
              </w:rPr>
            </w:pPr>
          </w:p>
        </w:tc>
        <w:tc>
          <w:tcPr>
            <w:tcW w:w="30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5"/>
                <w:szCs w:val="15"/>
                <w:color w:val="auto"/>
              </w:rPr>
              <w:t>information required by SEC Rule 14a-8.</w:t>
            </w:r>
          </w:p>
        </w:tc>
        <w:tc>
          <w:tcPr>
            <w:tcW w:w="2700" w:type="dxa"/>
            <w:vAlign w:val="bottom"/>
          </w:tcPr>
          <w:p>
            <w:pPr>
              <w:ind w:left="100"/>
              <w:spacing w:after="0" w:line="146" w:lineRule="exact"/>
              <w:rPr>
                <w:sz w:val="20"/>
                <w:szCs w:val="20"/>
                <w:color w:val="auto"/>
              </w:rPr>
            </w:pPr>
            <w:r>
              <w:rPr>
                <w:rFonts w:ascii="Arial" w:cs="Arial" w:eastAsia="Arial" w:hAnsi="Arial"/>
                <w:sz w:val="15"/>
                <w:szCs w:val="15"/>
                <w:color w:val="auto"/>
              </w:rPr>
              <w:t>website at</w:t>
            </w:r>
          </w:p>
        </w:tc>
        <w:tc>
          <w:tcPr>
            <w:tcW w:w="2720" w:type="dxa"/>
            <w:vAlign w:val="bottom"/>
            <w:tcBorders>
              <w:right w:val="single" w:sz="8" w:color="00A1DF"/>
            </w:tcBorders>
          </w:tcPr>
          <w:p>
            <w:pPr>
              <w:spacing w:after="0"/>
              <w:rPr>
                <w:sz w:val="12"/>
                <w:szCs w:val="12"/>
                <w:color w:val="auto"/>
              </w:rPr>
            </w:pPr>
          </w:p>
        </w:tc>
      </w:tr>
      <w:tr>
        <w:trPr>
          <w:trHeight w:val="204"/>
        </w:trPr>
        <w:tc>
          <w:tcPr>
            <w:tcW w:w="2580" w:type="dxa"/>
            <w:vAlign w:val="bottom"/>
            <w:tcBorders>
              <w:left w:val="single" w:sz="8" w:color="00A1DF"/>
              <w:bottom w:val="single" w:sz="8" w:color="0033A0"/>
              <w:right w:val="single" w:sz="8" w:color="auto"/>
            </w:tcBorders>
          </w:tcPr>
          <w:p>
            <w:pPr>
              <w:spacing w:after="0"/>
              <w:rPr>
                <w:sz w:val="17"/>
                <w:szCs w:val="17"/>
                <w:color w:val="auto"/>
              </w:rPr>
            </w:pPr>
          </w:p>
        </w:tc>
        <w:tc>
          <w:tcPr>
            <w:tcW w:w="3040" w:type="dxa"/>
            <w:vAlign w:val="bottom"/>
            <w:tcBorders>
              <w:bottom w:val="single" w:sz="8" w:color="0033A0"/>
              <w:right w:val="single" w:sz="8" w:color="auto"/>
            </w:tcBorders>
          </w:tcPr>
          <w:p>
            <w:pPr>
              <w:spacing w:after="0"/>
              <w:rPr>
                <w:sz w:val="17"/>
                <w:szCs w:val="17"/>
                <w:color w:val="auto"/>
              </w:rPr>
            </w:pPr>
          </w:p>
        </w:tc>
        <w:tc>
          <w:tcPr>
            <w:tcW w:w="5420" w:type="dxa"/>
            <w:vAlign w:val="bottom"/>
            <w:tcBorders>
              <w:bottom w:val="single" w:sz="8" w:color="0033A0"/>
              <w:right w:val="single" w:sz="8" w:color="00A1DF"/>
            </w:tcBorders>
            <w:gridSpan w:val="2"/>
          </w:tcPr>
          <w:p>
            <w:pPr>
              <w:ind w:left="100"/>
              <w:spacing w:after="0"/>
              <w:rPr>
                <w:sz w:val="20"/>
                <w:szCs w:val="20"/>
                <w:color w:val="auto"/>
              </w:rPr>
            </w:pPr>
            <w:r>
              <w:rPr>
                <w:rFonts w:ascii="Arial" w:cs="Arial" w:eastAsia="Arial" w:hAnsi="Arial"/>
                <w:sz w:val="15"/>
                <w:szCs w:val="15"/>
                <w:i w:val="1"/>
                <w:iCs w:val="1"/>
                <w:color w:val="00A1DF"/>
              </w:rPr>
              <w:t>gm.com/investors/corporate-governance.</w:t>
            </w:r>
          </w:p>
        </w:tc>
      </w:tr>
    </w:tbl>
    <w:p>
      <w:pPr>
        <w:spacing w:after="0" w:line="339"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25"/>
          <w:szCs w:val="25"/>
          <w:color w:val="0033A0"/>
        </w:rPr>
      </w:pPr>
      <w:r>
        <w:rPr>
          <w:rFonts w:ascii="Arial" w:cs="Arial" w:eastAsia="Arial" w:hAnsi="Arial"/>
          <w:sz w:val="25"/>
          <w:szCs w:val="25"/>
          <w:color w:val="auto"/>
        </w:rPr>
        <w:t>Annual Report on Form 10-K and Other Investor Materials</w:t>
      </w:r>
    </w:p>
    <w:p>
      <w:pPr>
        <w:spacing w:after="0" w:line="102" w:lineRule="exact"/>
        <w:rPr>
          <w:sz w:val="20"/>
          <w:szCs w:val="20"/>
          <w:color w:val="auto"/>
        </w:rPr>
      </w:pPr>
    </w:p>
    <w:p>
      <w:pPr>
        <w:jc w:val="both"/>
        <w:ind w:left="200" w:right="20"/>
        <w:spacing w:after="0" w:line="258" w:lineRule="auto"/>
        <w:rPr>
          <w:sz w:val="20"/>
          <w:szCs w:val="20"/>
          <w:color w:val="auto"/>
        </w:rPr>
      </w:pPr>
      <w:r>
        <w:rPr>
          <w:rFonts w:ascii="Arial" w:cs="Arial" w:eastAsia="Arial" w:hAnsi="Arial"/>
          <w:sz w:val="16"/>
          <w:szCs w:val="16"/>
          <w:color w:val="auto"/>
        </w:rPr>
        <w:t xml:space="preserve">You may download a copy of our 2017 Annual Report on Form 10-K by visiting the “Investors Contacts” section of our website at </w:t>
      </w:r>
      <w:r>
        <w:rPr>
          <w:rFonts w:ascii="Arial" w:cs="Arial" w:eastAsia="Arial" w:hAnsi="Arial"/>
          <w:sz w:val="16"/>
          <w:szCs w:val="16"/>
          <w:i w:val="1"/>
          <w:iCs w:val="1"/>
          <w:color w:val="00A1DF"/>
        </w:rPr>
        <w:t>gm.com/investors.</w:t>
      </w:r>
      <w:r>
        <w:rPr>
          <w:rFonts w:ascii="Arial" w:cs="Arial" w:eastAsia="Arial" w:hAnsi="Arial"/>
          <w:sz w:val="16"/>
          <w:szCs w:val="16"/>
          <w:color w:val="auto"/>
        </w:rPr>
        <w:t xml:space="preserve"> Other publications available for download at this website include our Proxy Statement, quarterly reports and our code of conduct, </w:t>
      </w:r>
      <w:r>
        <w:rPr>
          <w:rFonts w:ascii="Arial" w:cs="Arial" w:eastAsia="Arial" w:hAnsi="Arial"/>
          <w:sz w:val="16"/>
          <w:szCs w:val="16"/>
          <w:i w:val="1"/>
          <w:iCs w:val="1"/>
          <w:color w:val="auto"/>
        </w:rPr>
        <w:t>“Winning with Integrity.”</w:t>
      </w:r>
      <w:r>
        <w:rPr>
          <w:rFonts w:ascii="Arial" w:cs="Arial" w:eastAsia="Arial" w:hAnsi="Arial"/>
          <w:sz w:val="16"/>
          <w:szCs w:val="16"/>
          <w:color w:val="auto"/>
        </w:rPr>
        <w:t xml:space="preserve"> Alternatively, you may request a printed copy of these publications by writing to Shareholder Relations at General Motors Company, Mail Code: 482-C23-A68, 300 Renaissance Center, Detroit, Michigan 48265 or by e-mail to </w:t>
      </w:r>
      <w:r>
        <w:rPr>
          <w:rFonts w:ascii="Arial" w:cs="Arial" w:eastAsia="Arial" w:hAnsi="Arial"/>
          <w:sz w:val="16"/>
          <w:szCs w:val="16"/>
          <w:i w:val="1"/>
          <w:iCs w:val="1"/>
          <w:color w:val="auto"/>
        </w:rPr>
        <w:t>shareholder.relations@gm.com.</w:t>
      </w:r>
    </w:p>
    <w:p>
      <w:pPr>
        <w:spacing w:after="0" w:line="318"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25"/>
          <w:szCs w:val="25"/>
          <w:color w:val="0033A0"/>
        </w:rPr>
      </w:pPr>
      <w:r>
        <w:rPr>
          <w:rFonts w:ascii="Arial" w:cs="Arial" w:eastAsia="Arial" w:hAnsi="Arial"/>
          <w:sz w:val="25"/>
          <w:szCs w:val="25"/>
          <w:color w:val="auto"/>
        </w:rPr>
        <w:t>Cost of Proxy Solicitation</w:t>
      </w:r>
    </w:p>
    <w:p>
      <w:pPr>
        <w:spacing w:after="0" w:line="118"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We will pay our cost for soliciting proxies for the Annual Meeting. The Company will distribute proxy materials and follow-up reminders, if any, by mail and electronic means. We have engaged Morrow Sodali, LLC (“Morrow”), a professional proxy solicitation firm, located at 470 West Avenue, Stamford, Connecticut 06902 to assist with the solicitation of proxies and to provide related advice and informational support for a service fee, plus customary disbursements. We expect to pay Morrow an aggregate fee, including reasonable out-of-pocket expenses, of up to $25,000, depending on the level of services actually provided. GM directors, officers, and employees may also solicit proxies by mail, telephone, or personal visits. They will not receive any additional compensation for their services.</w:t>
      </w:r>
    </w:p>
    <w:p>
      <w:pPr>
        <w:spacing w:after="0" w:line="97"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General Motors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r>
        <w:rPr>
          <w:rFonts w:ascii="Arial" w:cs="Arial" w:eastAsia="Arial" w:hAnsi="Arial"/>
          <w:sz w:val="16"/>
          <w:szCs w:val="16"/>
          <w:i w:val="1"/>
          <w:iCs w:val="1"/>
          <w:color w:val="auto"/>
        </w:rPr>
        <w:t>.</w:t>
      </w:r>
    </w:p>
    <w:p>
      <w:pPr>
        <w:spacing w:after="0" w:line="137"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33A0"/>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-95885</wp:posOffset>
            </wp:positionV>
            <wp:extent cx="617474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740" w:right="2180" w:hanging="2540"/>
        <w:spacing w:after="0" w:line="326" w:lineRule="auto"/>
        <w:rPr>
          <w:sz w:val="20"/>
          <w:szCs w:val="20"/>
          <w:color w:val="auto"/>
        </w:rPr>
      </w:pPr>
      <w:r>
        <w:rPr>
          <w:rFonts w:ascii="Arial" w:cs="Arial" w:eastAsia="Arial" w:hAnsi="Arial"/>
          <w:sz w:val="37"/>
          <w:szCs w:val="37"/>
          <w:b w:val="1"/>
          <w:bCs w:val="1"/>
          <w:color w:val="00A1DF"/>
        </w:rPr>
        <w:t xml:space="preserve">APPENDIX A: </w:t>
      </w:r>
      <w:r>
        <w:rPr>
          <w:rFonts w:ascii="Arial" w:cs="Arial" w:eastAsia="Arial" w:hAnsi="Arial"/>
          <w:sz w:val="37"/>
          <w:szCs w:val="37"/>
          <w:color w:val="0033A0"/>
        </w:rPr>
        <w:t>RECONCILIATION OF GAAP AND</w:t>
      </w:r>
      <w:r>
        <w:rPr>
          <w:rFonts w:ascii="Arial" w:cs="Arial" w:eastAsia="Arial" w:hAnsi="Arial"/>
          <w:sz w:val="37"/>
          <w:szCs w:val="37"/>
          <w:b w:val="1"/>
          <w:bCs w:val="1"/>
          <w:color w:val="00A1DF"/>
        </w:rPr>
        <w:t xml:space="preserve"> </w:t>
      </w:r>
      <w:r>
        <w:rPr>
          <w:rFonts w:ascii="Arial" w:cs="Arial" w:eastAsia="Arial" w:hAnsi="Arial"/>
          <w:sz w:val="37"/>
          <w:szCs w:val="37"/>
          <w:color w:val="0033A0"/>
        </w:rPr>
        <w:t>NON-GAAP FINANCIAL MEASURES</w:t>
      </w:r>
    </w:p>
    <w:p>
      <w:pPr>
        <w:sectPr>
          <w:pgSz w:w="11900" w:h="16838" w:orient="portrait"/>
          <w:cols w:equalWidth="0" w:num="1">
            <w:col w:w="11240"/>
          </w:cols>
          <w:pgMar w:left="240" w:top="459" w:right="419" w:bottom="1440" w:gutter="0" w:footer="0" w:header="0"/>
        </w:sectPr>
      </w:pPr>
    </w:p>
    <w:p>
      <w:pPr>
        <w:spacing w:after="0" w:line="236"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Our Company reports its financial results in accordance with generally accepted accounting principles in the United States (“GAAP”). However, management believes that certain non-GAAP financial measures provide users with additional meaningful financial information.</w:t>
      </w:r>
    </w:p>
    <w:p>
      <w:pPr>
        <w:spacing w:after="0" w:line="9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non-GAAP measures presented in this Proxy Statement include earnings before interest and taxes (“EBIT”)-adjusted, presented net of noncontrolling interests, earnings per share (“EPS”)-diluted-adjusted and adjusted automotive free cash flow. These measures relate to our continuing operations and not our discontinued operations or our assets and liabilities held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for sale.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2017, and our subsequent filings with the SEC for additional information about the non-GAAP measures presented herein, including a description of the use of such measures. The numbers in the tables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309245</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 w:type="dxa"/>
            <w:vAlign w:val="bottom"/>
            <w:tcBorders>
              <w:bottom w:val="single" w:sz="8" w:color="00A1DF"/>
            </w:tcBorders>
          </w:tcPr>
          <w:p>
            <w:pPr>
              <w:spacing w:after="0"/>
              <w:rPr>
                <w:sz w:val="17"/>
                <w:szCs w:val="17"/>
                <w:color w:val="auto"/>
              </w:rPr>
            </w:pPr>
          </w:p>
        </w:tc>
        <w:tc>
          <w:tcPr>
            <w:tcW w:w="9180" w:type="dxa"/>
            <w:vAlign w:val="bottom"/>
            <w:tcBorders>
              <w:bottom w:val="single" w:sz="8" w:color="00A1DF"/>
            </w:tcBorders>
          </w:tcPr>
          <w:p>
            <w:pPr>
              <w:spacing w:after="0"/>
              <w:rPr>
                <w:sz w:val="20"/>
                <w:szCs w:val="20"/>
                <w:color w:val="auto"/>
              </w:rPr>
            </w:pPr>
            <w:r>
              <w:rPr>
                <w:rFonts w:ascii="Arial" w:cs="Arial" w:eastAsia="Arial" w:hAnsi="Arial"/>
                <w:sz w:val="15"/>
                <w:szCs w:val="15"/>
                <w:b w:val="1"/>
                <w:bCs w:val="1"/>
                <w:color w:val="00A1DF"/>
              </w:rPr>
              <w:t>($B, except Margin)</w:t>
            </w:r>
          </w:p>
        </w:tc>
        <w:tc>
          <w:tcPr>
            <w:tcW w:w="1780" w:type="dxa"/>
            <w:vAlign w:val="bottom"/>
            <w:tcBorders>
              <w:bottom w:val="single" w:sz="8" w:color="00A1DF"/>
            </w:tcBorders>
          </w:tcPr>
          <w:p>
            <w:pPr>
              <w:jc w:val="right"/>
              <w:ind w:right="163"/>
              <w:spacing w:after="0"/>
              <w:rPr>
                <w:sz w:val="20"/>
                <w:szCs w:val="20"/>
                <w:color w:val="auto"/>
              </w:rPr>
            </w:pPr>
            <w:r>
              <w:rPr>
                <w:rFonts w:ascii="Arial" w:cs="Arial" w:eastAsia="Arial" w:hAnsi="Arial"/>
                <w:sz w:val="15"/>
                <w:szCs w:val="15"/>
                <w:b w:val="1"/>
                <w:bCs w:val="1"/>
                <w:color w:val="00A1DF"/>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income attributable to stockholders</w:t>
            </w:r>
          </w:p>
        </w:tc>
        <w:tc>
          <w:tcPr>
            <w:tcW w:w="17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Income from discontinued operations, net of tax</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Subtract:</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Automotive Interest Expense</w:t>
            </w:r>
          </w:p>
        </w:tc>
        <w:tc>
          <w:tcPr>
            <w:tcW w:w="17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Automotive Interest Income</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Income Tax (Expense)</w:t>
            </w:r>
          </w:p>
        </w:tc>
        <w:tc>
          <w:tcPr>
            <w:tcW w:w="17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Add Back Special Items</w:t>
            </w:r>
            <w:r>
              <w:rPr>
                <w:rFonts w:ascii="Arial" w:cs="Arial" w:eastAsia="Arial" w:hAnsi="Arial"/>
                <w:sz w:val="13"/>
                <w:szCs w:val="13"/>
                <w:b w:val="1"/>
                <w:bCs w:val="1"/>
                <w:color w:val="auto"/>
              </w:rPr>
              <w:t>1</w:t>
            </w:r>
            <w:r>
              <w:rPr>
                <w:rFonts w:ascii="Arial" w:cs="Arial" w:eastAsia="Arial" w:hAnsi="Arial"/>
                <w:sz w:val="15"/>
                <w:szCs w:val="15"/>
                <w:b w:val="1"/>
                <w:bCs w:val="1"/>
                <w:color w:val="auto"/>
              </w:rPr>
              <w:t>:</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Ignition switch recall and related legal matters</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Venezuela related matters</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GMI restructuring</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 Special items</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0A1DF"/>
              </w:rPr>
              <w:t>EBIT-adjusted</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00A1DF"/>
              </w:rPr>
              <w:t>12.8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0A1DF"/>
              </w:rPr>
              <w:t>Net Revenue</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00A1DF"/>
              </w:rPr>
              <w:t>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0033A0"/>
            </w:tcBorders>
          </w:tcPr>
          <w:p>
            <w:pPr>
              <w:spacing w:after="0"/>
              <w:rPr>
                <w:sz w:val="20"/>
                <w:szCs w:val="20"/>
                <w:color w:val="auto"/>
              </w:rPr>
            </w:pPr>
          </w:p>
        </w:tc>
        <w:tc>
          <w:tcPr>
            <w:tcW w:w="9180" w:type="dxa"/>
            <w:vAlign w:val="bottom"/>
            <w:tcBorders>
              <w:bottom w:val="single" w:sz="8" w:color="0033A0"/>
            </w:tcBorders>
          </w:tcPr>
          <w:p>
            <w:pPr>
              <w:spacing w:after="0"/>
              <w:rPr>
                <w:sz w:val="20"/>
                <w:szCs w:val="20"/>
                <w:color w:val="auto"/>
              </w:rPr>
            </w:pPr>
            <w:r>
              <w:rPr>
                <w:rFonts w:ascii="Arial" w:cs="Arial" w:eastAsia="Arial" w:hAnsi="Arial"/>
                <w:sz w:val="15"/>
                <w:szCs w:val="15"/>
                <w:b w:val="1"/>
                <w:bCs w:val="1"/>
                <w:color w:val="00A1DF"/>
              </w:rPr>
              <w:t>EBIT-adjusted Margin</w:t>
            </w:r>
          </w:p>
        </w:tc>
        <w:tc>
          <w:tcPr>
            <w:tcW w:w="1780" w:type="dxa"/>
            <w:vAlign w:val="bottom"/>
            <w:tcBorders>
              <w:bottom w:val="single" w:sz="8" w:color="0033A0"/>
            </w:tcBorders>
          </w:tcPr>
          <w:p>
            <w:pPr>
              <w:jc w:val="right"/>
              <w:ind w:right="23"/>
              <w:spacing w:after="0"/>
              <w:rPr>
                <w:sz w:val="20"/>
                <w:szCs w:val="20"/>
                <w:color w:val="auto"/>
              </w:rPr>
            </w:pPr>
            <w:r>
              <w:rPr>
                <w:rFonts w:ascii="Arial" w:cs="Arial" w:eastAsia="Arial" w:hAnsi="Arial"/>
                <w:sz w:val="15"/>
                <w:szCs w:val="15"/>
                <w:b w:val="1"/>
                <w:bCs w:val="1"/>
                <w:color w:val="00A1DF"/>
              </w:rPr>
              <w:t>8.8%</w:t>
            </w:r>
          </w:p>
        </w:tc>
        <w:tc>
          <w:tcPr>
            <w:tcW w:w="0" w:type="dxa"/>
            <w:vAlign w:val="bottom"/>
          </w:tcPr>
          <w:p>
            <w:pPr>
              <w:spacing w:after="0"/>
              <w:rPr>
                <w:sz w:val="1"/>
                <w:szCs w:val="1"/>
                <w:color w:val="auto"/>
              </w:rPr>
            </w:pPr>
          </w:p>
        </w:tc>
      </w:tr>
      <w:tr>
        <w:trPr>
          <w:trHeight w:val="242"/>
        </w:trPr>
        <w:tc>
          <w:tcPr>
            <w:tcW w:w="80" w:type="dxa"/>
            <w:vAlign w:val="bottom"/>
            <w:gridSpan w:val="2"/>
          </w:tcPr>
          <w:p>
            <w:pPr>
              <w:jc w:val="right"/>
              <w:spacing w:after="0"/>
              <w:rPr>
                <w:sz w:val="20"/>
                <w:szCs w:val="20"/>
                <w:color w:val="auto"/>
              </w:rPr>
            </w:pPr>
            <w:r>
              <w:rPr>
                <w:rFonts w:ascii="Arial" w:cs="Arial" w:eastAsia="Arial" w:hAnsi="Arial"/>
                <w:sz w:val="12"/>
                <w:szCs w:val="12"/>
                <w:i w:val="1"/>
                <w:iCs w:val="1"/>
                <w:color w:val="auto"/>
                <w:w w:val="89"/>
              </w:rPr>
              <w:t>1</w:t>
            </w:r>
          </w:p>
        </w:tc>
        <w:tc>
          <w:tcPr>
            <w:tcW w:w="9180" w:type="dxa"/>
            <w:vAlign w:val="bottom"/>
          </w:tcPr>
          <w:p>
            <w:pPr>
              <w:ind w:left="240"/>
              <w:spacing w:after="0"/>
              <w:rPr>
                <w:sz w:val="20"/>
                <w:szCs w:val="20"/>
                <w:color w:val="auto"/>
              </w:rPr>
            </w:pPr>
            <w:r>
              <w:rPr>
                <w:rFonts w:ascii="Arial" w:cs="Arial" w:eastAsia="Arial" w:hAnsi="Arial"/>
                <w:sz w:val="14"/>
                <w:szCs w:val="14"/>
                <w:i w:val="1"/>
                <w:iCs w:val="1"/>
                <w:color w:val="auto"/>
              </w:rPr>
              <w:t>Additional information on adjustments available in our Annual Report on Form 10-K for the year ended December 31, 2017.</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 w:type="dxa"/>
            <w:vAlign w:val="bottom"/>
            <w:tcBorders>
              <w:bottom w:val="single" w:sz="8" w:color="00A1DF"/>
            </w:tcBorders>
          </w:tcPr>
          <w:p>
            <w:pPr>
              <w:spacing w:after="0"/>
              <w:rPr>
                <w:sz w:val="19"/>
                <w:szCs w:val="19"/>
                <w:color w:val="auto"/>
              </w:rPr>
            </w:pPr>
          </w:p>
        </w:tc>
        <w:tc>
          <w:tcPr>
            <w:tcW w:w="9180" w:type="dxa"/>
            <w:vAlign w:val="bottom"/>
            <w:tcBorders>
              <w:bottom w:val="single" w:sz="8" w:color="00A1DF"/>
            </w:tcBorders>
          </w:tcPr>
          <w:p>
            <w:pPr>
              <w:spacing w:after="0"/>
              <w:rPr>
                <w:sz w:val="19"/>
                <w:szCs w:val="19"/>
                <w:color w:val="auto"/>
              </w:rPr>
            </w:pPr>
          </w:p>
        </w:tc>
        <w:tc>
          <w:tcPr>
            <w:tcW w:w="1780" w:type="dxa"/>
            <w:vAlign w:val="bottom"/>
            <w:tcBorders>
              <w:bottom w:val="single" w:sz="8" w:color="00A1D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 w:type="dxa"/>
            <w:vAlign w:val="bottom"/>
            <w:tcBorders>
              <w:bottom w:val="single" w:sz="8" w:color="00A1DF"/>
            </w:tcBorders>
          </w:tcPr>
          <w:p>
            <w:pPr>
              <w:spacing w:after="0"/>
              <w:rPr>
                <w:sz w:val="20"/>
                <w:szCs w:val="20"/>
                <w:color w:val="auto"/>
              </w:rPr>
            </w:pPr>
          </w:p>
        </w:tc>
        <w:tc>
          <w:tcPr>
            <w:tcW w:w="9180" w:type="dxa"/>
            <w:vAlign w:val="bottom"/>
            <w:tcBorders>
              <w:bottom w:val="single" w:sz="8" w:color="00A1DF"/>
            </w:tcBorders>
          </w:tcPr>
          <w:p>
            <w:pPr>
              <w:spacing w:after="0"/>
              <w:rPr>
                <w:sz w:val="20"/>
                <w:szCs w:val="20"/>
                <w:color w:val="auto"/>
              </w:rPr>
            </w:pPr>
          </w:p>
        </w:tc>
        <w:tc>
          <w:tcPr>
            <w:tcW w:w="1780" w:type="dxa"/>
            <w:vAlign w:val="bottom"/>
            <w:tcBorders>
              <w:bottom w:val="single" w:sz="8" w:color="00A1DF"/>
            </w:tcBorders>
          </w:tcPr>
          <w:p>
            <w:pPr>
              <w:jc w:val="right"/>
              <w:ind w:right="163"/>
              <w:spacing w:after="0"/>
              <w:rPr>
                <w:sz w:val="20"/>
                <w:szCs w:val="20"/>
                <w:color w:val="auto"/>
              </w:rPr>
            </w:pPr>
            <w:r>
              <w:rPr>
                <w:rFonts w:ascii="Arial" w:cs="Arial" w:eastAsia="Arial" w:hAnsi="Arial"/>
                <w:sz w:val="15"/>
                <w:szCs w:val="15"/>
                <w:b w:val="1"/>
                <w:bCs w:val="1"/>
                <w:color w:val="00A1DF"/>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Diluted earnings (loss) per common share</w:t>
            </w:r>
          </w:p>
        </w:tc>
        <w:tc>
          <w:tcPr>
            <w:tcW w:w="17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Diluted loss per common share – discontinued operations</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Adjustments</w:t>
            </w:r>
            <w:r>
              <w:rPr>
                <w:rFonts w:ascii="Arial" w:cs="Arial" w:eastAsia="Arial" w:hAnsi="Arial"/>
                <w:sz w:val="13"/>
                <w:szCs w:val="13"/>
                <w:color w:val="auto"/>
              </w:rPr>
              <w:t>(a)</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80" w:type="dxa"/>
            <w:vAlign w:val="bottom"/>
          </w:tcPr>
          <w:p>
            <w:pPr>
              <w:ind w:left="1920"/>
              <w:spacing w:after="0"/>
              <w:rPr>
                <w:sz w:val="20"/>
                <w:szCs w:val="20"/>
                <w:color w:val="auto"/>
              </w:rPr>
            </w:pPr>
            <w:r>
              <w:rPr>
                <w:rFonts w:ascii="Arial" w:cs="Arial" w:eastAsia="Arial" w:hAnsi="Arial"/>
                <w:sz w:val="13"/>
                <w:szCs w:val="13"/>
                <w:color w:val="auto"/>
              </w:rPr>
              <w:t>(b)</w:t>
            </w:r>
          </w:p>
        </w:tc>
        <w:tc>
          <w:tcPr>
            <w:tcW w:w="1780" w:type="dxa"/>
            <w:vAlign w:val="bottom"/>
            <w:vMerge w:val="restart"/>
          </w:tcPr>
          <w:p>
            <w:pPr>
              <w:jc w:val="right"/>
              <w:ind w:right="103"/>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ind w:left="220"/>
              <w:spacing w:after="0" w:line="68" w:lineRule="exact"/>
              <w:rPr>
                <w:sz w:val="20"/>
                <w:szCs w:val="20"/>
                <w:color w:val="auto"/>
              </w:rPr>
            </w:pPr>
            <w:r>
              <w:rPr>
                <w:rFonts w:ascii="Arial" w:cs="Arial" w:eastAsia="Arial" w:hAnsi="Arial"/>
                <w:sz w:val="7"/>
                <w:szCs w:val="7"/>
                <w:color w:val="auto"/>
              </w:rPr>
              <w:t>Tax effect of adjustments</w:t>
            </w:r>
          </w:p>
        </w:tc>
        <w:tc>
          <w:tcPr>
            <w:tcW w:w="1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Tax adjustments</w:t>
            </w:r>
            <w:r>
              <w:rPr>
                <w:rFonts w:ascii="Arial" w:cs="Arial" w:eastAsia="Arial" w:hAnsi="Arial"/>
                <w:sz w:val="13"/>
                <w:szCs w:val="13"/>
                <w:color w:val="auto"/>
              </w:rPr>
              <w:t>(c)</w:t>
            </w:r>
          </w:p>
        </w:tc>
        <w:tc>
          <w:tcPr>
            <w:tcW w:w="17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Borders>
              <w:bottom w:val="single" w:sz="8" w:color="0033A0"/>
            </w:tcBorders>
          </w:tcPr>
          <w:p>
            <w:pPr>
              <w:spacing w:after="0"/>
              <w:rPr>
                <w:sz w:val="20"/>
                <w:szCs w:val="20"/>
                <w:color w:val="auto"/>
              </w:rPr>
            </w:pPr>
          </w:p>
        </w:tc>
        <w:tc>
          <w:tcPr>
            <w:tcW w:w="9180" w:type="dxa"/>
            <w:vAlign w:val="bottom"/>
            <w:tcBorders>
              <w:bottom w:val="single" w:sz="8" w:color="0033A0"/>
            </w:tcBorders>
          </w:tcPr>
          <w:p>
            <w:pPr>
              <w:spacing w:after="0"/>
              <w:rPr>
                <w:sz w:val="20"/>
                <w:szCs w:val="20"/>
                <w:color w:val="auto"/>
              </w:rPr>
            </w:pPr>
            <w:r>
              <w:rPr>
                <w:rFonts w:ascii="Arial" w:cs="Arial" w:eastAsia="Arial" w:hAnsi="Arial"/>
                <w:sz w:val="15"/>
                <w:szCs w:val="15"/>
                <w:b w:val="1"/>
                <w:bCs w:val="1"/>
                <w:color w:val="00A1DF"/>
              </w:rPr>
              <w:t>EPS-diluted-adjusted</w:t>
            </w:r>
          </w:p>
        </w:tc>
        <w:tc>
          <w:tcPr>
            <w:tcW w:w="1780" w:type="dxa"/>
            <w:vAlign w:val="bottom"/>
            <w:tcBorders>
              <w:bottom w:val="single" w:sz="8" w:color="0033A0"/>
            </w:tcBorders>
          </w:tcPr>
          <w:p>
            <w:pPr>
              <w:jc w:val="right"/>
              <w:ind w:right="163"/>
              <w:spacing w:after="0"/>
              <w:rPr>
                <w:sz w:val="20"/>
                <w:szCs w:val="20"/>
                <w:color w:val="auto"/>
              </w:rPr>
            </w:pPr>
            <w:r>
              <w:rPr>
                <w:rFonts w:ascii="Arial" w:cs="Arial" w:eastAsia="Arial" w:hAnsi="Arial"/>
                <w:sz w:val="15"/>
                <w:szCs w:val="15"/>
                <w:b w:val="1"/>
                <w:bCs w:val="1"/>
                <w:color w:val="00A1DF"/>
              </w:rPr>
              <w:t>$ 6.62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316"/>
        <w:spacing w:after="0"/>
        <w:tabs>
          <w:tab w:leader="none" w:pos="520" w:val="left"/>
        </w:tabs>
        <w:numPr>
          <w:ilvl w:val="0"/>
          <w:numId w:val="152"/>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reconciliation of EBIT-adjusted on a continuing operations basis above for adjustment details.</w:t>
      </w:r>
    </w:p>
    <w:p>
      <w:pPr>
        <w:spacing w:after="0" w:line="68" w:lineRule="exact"/>
        <w:rPr>
          <w:rFonts w:ascii="Arial" w:cs="Arial" w:eastAsia="Arial" w:hAnsi="Arial"/>
          <w:sz w:val="14"/>
          <w:szCs w:val="14"/>
          <w:i w:val="1"/>
          <w:iCs w:val="1"/>
          <w:color w:val="auto"/>
        </w:rPr>
      </w:pPr>
    </w:p>
    <w:p>
      <w:pPr>
        <w:ind w:left="520" w:hanging="316"/>
        <w:spacing w:after="0"/>
        <w:tabs>
          <w:tab w:leader="none" w:pos="520" w:val="left"/>
        </w:tabs>
        <w:numPr>
          <w:ilvl w:val="0"/>
          <w:numId w:val="152"/>
        </w:numPr>
        <w:rPr>
          <w:rFonts w:ascii="Arial" w:cs="Arial" w:eastAsia="Arial" w:hAnsi="Arial"/>
          <w:sz w:val="14"/>
          <w:szCs w:val="14"/>
          <w:i w:val="1"/>
          <w:iCs w:val="1"/>
          <w:color w:val="auto"/>
        </w:rPr>
      </w:pPr>
      <w:r>
        <w:rPr>
          <w:rFonts w:ascii="Arial" w:cs="Arial" w:eastAsia="Arial" w:hAnsi="Arial"/>
          <w:sz w:val="14"/>
          <w:szCs w:val="14"/>
          <w:i w:val="1"/>
          <w:iCs w:val="1"/>
          <w:color w:val="auto"/>
        </w:rPr>
        <w:t>The tax effect of each adjustment is determined based on the tax laws and valuation allowance status of the jurisdiction to which the adjustment relates.</w:t>
      </w:r>
    </w:p>
    <w:p>
      <w:pPr>
        <w:spacing w:after="0" w:line="68" w:lineRule="exact"/>
        <w:rPr>
          <w:rFonts w:ascii="Arial" w:cs="Arial" w:eastAsia="Arial" w:hAnsi="Arial"/>
          <w:sz w:val="14"/>
          <w:szCs w:val="14"/>
          <w:i w:val="1"/>
          <w:iCs w:val="1"/>
          <w:color w:val="auto"/>
        </w:rPr>
      </w:pPr>
    </w:p>
    <w:p>
      <w:pPr>
        <w:jc w:val="both"/>
        <w:ind w:left="520" w:right="20" w:hanging="316"/>
        <w:spacing w:after="0" w:line="255" w:lineRule="auto"/>
        <w:tabs>
          <w:tab w:leader="none" w:pos="520" w:val="left"/>
        </w:tabs>
        <w:numPr>
          <w:ilvl w:val="0"/>
          <w:numId w:val="152"/>
        </w:numPr>
        <w:rPr>
          <w:rFonts w:ascii="Arial" w:cs="Arial" w:eastAsia="Arial" w:hAnsi="Arial"/>
          <w:sz w:val="14"/>
          <w:szCs w:val="14"/>
          <w:i w:val="1"/>
          <w:iCs w:val="1"/>
          <w:color w:val="auto"/>
        </w:rPr>
      </w:pPr>
      <w:r>
        <w:rPr>
          <w:rFonts w:ascii="Arial" w:cs="Arial" w:eastAsia="Arial" w:hAnsi="Arial"/>
          <w:sz w:val="14"/>
          <w:szCs w:val="14"/>
          <w:i w:val="1"/>
          <w:iCs w:val="1"/>
          <w:color w:val="auto"/>
        </w:rPr>
        <w:t>In the year ended December 31, 2017, these adjustments consist of the tax expense of $7.3 billion related to U.S. tax reform legislation and the establishment of a valuation allowance against deferred tax assets of $2.3 billion that will no longer be realizable as a result of the sale of the Opel/Vauxhall Business, partially offset by tax benefits related to tax settlements. These adjustments were excluded because impacts of tax legislation and valuation allowances are not considered part of our core operations.</w:t>
      </w:r>
    </w:p>
    <w:p>
      <w:pPr>
        <w:spacing w:after="0" w:line="298" w:lineRule="exact"/>
        <w:rPr>
          <w:sz w:val="20"/>
          <w:szCs w:val="20"/>
          <w:color w:val="auto"/>
        </w:rPr>
      </w:pPr>
    </w:p>
    <w:p>
      <w:pPr>
        <w:jc w:val="right"/>
        <w:ind w:left="11100"/>
        <w:spacing w:after="0" w:line="258" w:lineRule="auto"/>
        <w:rPr>
          <w:sz w:val="20"/>
          <w:szCs w:val="20"/>
          <w:color w:val="auto"/>
        </w:rPr>
      </w:pPr>
      <w:r>
        <w:rPr>
          <w:rFonts w:ascii="Arial" w:cs="Arial" w:eastAsia="Arial" w:hAnsi="Arial"/>
          <w:sz w:val="14"/>
          <w:szCs w:val="14"/>
          <w:color w:val="0033A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-213360</wp:posOffset>
            </wp:positionV>
            <wp:extent cx="6860540" cy="1028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8160" w:type="dxa"/>
            <w:vAlign w:val="bottom"/>
            <w:tcBorders>
              <w:bottom w:val="single" w:sz="8" w:color="00A1DF"/>
            </w:tcBorders>
          </w:tcPr>
          <w:p>
            <w:pPr>
              <w:spacing w:after="0"/>
              <w:rPr>
                <w:sz w:val="17"/>
                <w:szCs w:val="17"/>
                <w:color w:val="auto"/>
              </w:rPr>
            </w:pPr>
          </w:p>
        </w:tc>
        <w:tc>
          <w:tcPr>
            <w:tcW w:w="286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2017</w:t>
            </w:r>
          </w:p>
        </w:tc>
      </w:tr>
      <w:tr>
        <w:trPr>
          <w:trHeight w:val="237"/>
        </w:trPr>
        <w:tc>
          <w:tcPr>
            <w:tcW w:w="81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automotive cash provided by operating activities – continuing operations</w:t>
            </w:r>
          </w:p>
        </w:tc>
        <w:tc>
          <w:tcPr>
            <w:tcW w:w="2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13.9</w:t>
            </w:r>
          </w:p>
        </w:tc>
      </w:tr>
      <w:tr>
        <w:trPr>
          <w:trHeight w:val="237"/>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Less: capital expenditures – continuing operations</w:t>
            </w:r>
          </w:p>
        </w:tc>
        <w:tc>
          <w:tcPr>
            <w:tcW w:w="2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(8.4)</w:t>
            </w:r>
          </w:p>
        </w:tc>
      </w:tr>
      <w:tr>
        <w:trPr>
          <w:trHeight w:val="55"/>
        </w:trPr>
        <w:tc>
          <w:tcPr>
            <w:tcW w:w="8160" w:type="dxa"/>
            <w:vAlign w:val="bottom"/>
          </w:tcPr>
          <w:p>
            <w:pPr>
              <w:ind w:left="280"/>
              <w:spacing w:after="0" w:line="56" w:lineRule="exact"/>
              <w:rPr>
                <w:sz w:val="20"/>
                <w:szCs w:val="20"/>
                <w:color w:val="auto"/>
              </w:rPr>
            </w:pPr>
            <w:r>
              <w:rPr>
                <w:rFonts w:ascii="Arial" w:cs="Arial" w:eastAsia="Arial" w:hAnsi="Arial"/>
                <w:sz w:val="5"/>
                <w:szCs w:val="5"/>
                <w:b w:val="1"/>
                <w:bCs w:val="1"/>
                <w:color w:val="auto"/>
              </w:rPr>
              <w:t>Adjustments</w:t>
            </w:r>
          </w:p>
        </w:tc>
        <w:tc>
          <w:tcPr>
            <w:tcW w:w="2860" w:type="dxa"/>
            <w:vAlign w:val="bottom"/>
          </w:tcPr>
          <w:p>
            <w:pPr>
              <w:spacing w:after="0"/>
              <w:rPr>
                <w:sz w:val="4"/>
                <w:szCs w:val="4"/>
                <w:color w:val="auto"/>
              </w:rPr>
            </w:pPr>
          </w:p>
        </w:tc>
      </w:tr>
      <w:tr>
        <w:trPr>
          <w:trHeight w:val="179"/>
        </w:trPr>
        <w:tc>
          <w:tcPr>
            <w:tcW w:w="816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1</w:t>
            </w:r>
          </w:p>
        </w:tc>
        <w:tc>
          <w:tcPr>
            <w:tcW w:w="2860" w:type="dxa"/>
            <w:vAlign w:val="bottom"/>
            <w:tcBorders>
              <w:bottom w:val="single" w:sz="8" w:color="auto"/>
            </w:tcBorders>
          </w:tcPr>
          <w:p>
            <w:pPr>
              <w:spacing w:after="0"/>
              <w:rPr>
                <w:sz w:val="15"/>
                <w:szCs w:val="15"/>
                <w:color w:val="auto"/>
              </w:rPr>
            </w:pPr>
          </w:p>
        </w:tc>
      </w:tr>
      <w:tr>
        <w:trPr>
          <w:trHeight w:val="239"/>
        </w:trPr>
        <w:tc>
          <w:tcPr>
            <w:tcW w:w="8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U.K. pension plan contribution</w:t>
            </w:r>
          </w:p>
        </w:tc>
        <w:tc>
          <w:tcPr>
            <w:tcW w:w="2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0.2</w:t>
            </w:r>
          </w:p>
        </w:tc>
      </w:tr>
      <w:tr>
        <w:trPr>
          <w:trHeight w:val="237"/>
        </w:trPr>
        <w:tc>
          <w:tcPr>
            <w:tcW w:w="8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GM Financial dividend</w:t>
            </w:r>
          </w:p>
        </w:tc>
        <w:tc>
          <w:tcPr>
            <w:tcW w:w="2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(0.6)</w:t>
            </w:r>
          </w:p>
        </w:tc>
      </w:tr>
      <w:tr>
        <w:trPr>
          <w:trHeight w:val="237"/>
        </w:trPr>
        <w:tc>
          <w:tcPr>
            <w:tcW w:w="816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Total adjustments</w:t>
            </w:r>
          </w:p>
        </w:tc>
        <w:tc>
          <w:tcPr>
            <w:tcW w:w="2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(0.4)</w:t>
            </w:r>
          </w:p>
        </w:tc>
      </w:tr>
      <w:tr>
        <w:trPr>
          <w:trHeight w:val="237"/>
        </w:trPr>
        <w:tc>
          <w:tcPr>
            <w:tcW w:w="81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A1DF"/>
              </w:rPr>
              <w:t>Adjusted automotive free cash flow – continuing operations</w:t>
            </w:r>
          </w:p>
        </w:tc>
        <w:tc>
          <w:tcPr>
            <w:tcW w:w="2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00A1DF"/>
              </w:rPr>
              <w:t>5.2</w:t>
            </w:r>
          </w:p>
        </w:tc>
      </w:tr>
      <w:tr>
        <w:trPr>
          <w:trHeight w:val="237"/>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Net automotive cash used in operating activities – discontinued operations</w:t>
            </w:r>
          </w:p>
        </w:tc>
        <w:tc>
          <w:tcPr>
            <w:tcW w:w="2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r>
      <w:tr>
        <w:trPr>
          <w:trHeight w:val="237"/>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Less: capital expenditures – discontinued operations</w:t>
            </w:r>
          </w:p>
        </w:tc>
        <w:tc>
          <w:tcPr>
            <w:tcW w:w="2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(0.7)</w:t>
            </w:r>
          </w:p>
        </w:tc>
      </w:tr>
      <w:tr>
        <w:trPr>
          <w:trHeight w:val="233"/>
        </w:trPr>
        <w:tc>
          <w:tcPr>
            <w:tcW w:w="8160" w:type="dxa"/>
            <w:vAlign w:val="bottom"/>
          </w:tcPr>
          <w:p>
            <w:pPr>
              <w:ind w:left="60"/>
              <w:spacing w:after="0"/>
              <w:rPr>
                <w:sz w:val="20"/>
                <w:szCs w:val="20"/>
                <w:color w:val="auto"/>
              </w:rPr>
            </w:pPr>
            <w:r>
              <w:rPr>
                <w:rFonts w:ascii="Arial" w:cs="Arial" w:eastAsia="Arial" w:hAnsi="Arial"/>
                <w:sz w:val="15"/>
                <w:szCs w:val="15"/>
                <w:b w:val="1"/>
                <w:bCs w:val="1"/>
                <w:color w:val="00A1DF"/>
              </w:rPr>
              <w:t>Adjusted automotive free cash flow</w:t>
            </w:r>
          </w:p>
        </w:tc>
        <w:tc>
          <w:tcPr>
            <w:tcW w:w="2860" w:type="dxa"/>
            <w:vAlign w:val="bottom"/>
          </w:tcPr>
          <w:p>
            <w:pPr>
              <w:jc w:val="right"/>
              <w:ind w:right="43"/>
              <w:spacing w:after="0"/>
              <w:rPr>
                <w:sz w:val="20"/>
                <w:szCs w:val="20"/>
                <w:color w:val="auto"/>
              </w:rPr>
            </w:pPr>
            <w:r>
              <w:rPr>
                <w:rFonts w:ascii="Arial" w:cs="Arial" w:eastAsia="Arial" w:hAnsi="Arial"/>
                <w:sz w:val="15"/>
                <w:szCs w:val="15"/>
                <w:b w:val="1"/>
                <w:bCs w:val="1"/>
                <w:color w:val="00A1DF"/>
              </w:rPr>
              <w:t>4.5</w:t>
            </w:r>
          </w:p>
        </w:tc>
      </w:tr>
      <w:tr>
        <w:trPr>
          <w:trHeight w:val="35"/>
        </w:trPr>
        <w:tc>
          <w:tcPr>
            <w:tcW w:w="8160" w:type="dxa"/>
            <w:vAlign w:val="bottom"/>
            <w:tcBorders>
              <w:bottom w:val="single" w:sz="8" w:color="0033A0"/>
            </w:tcBorders>
          </w:tcPr>
          <w:p>
            <w:pPr>
              <w:spacing w:after="0"/>
              <w:rPr>
                <w:sz w:val="3"/>
                <w:szCs w:val="3"/>
                <w:color w:val="auto"/>
              </w:rPr>
            </w:pPr>
          </w:p>
        </w:tc>
        <w:tc>
          <w:tcPr>
            <w:tcW w:w="2860" w:type="dxa"/>
            <w:vAlign w:val="bottom"/>
            <w:tcBorders>
              <w:bottom w:val="single" w:sz="8" w:color="0033A0"/>
            </w:tcBorders>
          </w:tcPr>
          <w:p>
            <w:pPr>
              <w:spacing w:after="0"/>
              <w:rPr>
                <w:sz w:val="3"/>
                <w:szCs w:val="3"/>
                <w:color w:val="auto"/>
              </w:rPr>
            </w:pPr>
          </w:p>
        </w:tc>
      </w:tr>
    </w:tbl>
    <w:p>
      <w:pPr>
        <w:spacing w:after="0" w:line="23" w:lineRule="exact"/>
        <w:rPr>
          <w:sz w:val="20"/>
          <w:szCs w:val="20"/>
          <w:color w:val="auto"/>
        </w:rPr>
      </w:pPr>
    </w:p>
    <w:p>
      <w:pPr>
        <w:ind w:left="520" w:hanging="316"/>
        <w:spacing w:after="0"/>
        <w:tabs>
          <w:tab w:leader="none" w:pos="520" w:val="left"/>
        </w:tabs>
        <w:numPr>
          <w:ilvl w:val="0"/>
          <w:numId w:val="15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Additional information on adjustments available in our Annual Report on Form 10-K for the year ended December 31, 2017.</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color w:val="0033A0"/>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-95885</wp:posOffset>
            </wp:positionV>
            <wp:extent cx="6174740" cy="946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00A1DF"/>
        </w:rPr>
        <w:t xml:space="preserve">APPENDIX B: </w:t>
      </w:r>
      <w:r>
        <w:rPr>
          <w:rFonts w:ascii="Arial" w:cs="Arial" w:eastAsia="Arial" w:hAnsi="Arial"/>
          <w:sz w:val="38"/>
          <w:szCs w:val="38"/>
          <w:color w:val="0033A0"/>
        </w:rPr>
        <w:t>ADDITIONAL INFORMATION</w:t>
      </w:r>
    </w:p>
    <w:p>
      <w:pPr>
        <w:spacing w:after="0" w:line="38" w:lineRule="exact"/>
        <w:rPr>
          <w:sz w:val="20"/>
          <w:szCs w:val="20"/>
          <w:color w:val="auto"/>
        </w:rPr>
      </w:pPr>
    </w:p>
    <w:p>
      <w:pPr>
        <w:ind w:left="2840"/>
        <w:spacing w:after="0"/>
        <w:rPr>
          <w:sz w:val="20"/>
          <w:szCs w:val="20"/>
          <w:color w:val="auto"/>
        </w:rPr>
      </w:pPr>
      <w:r>
        <w:rPr>
          <w:rFonts w:ascii="Arial" w:cs="Arial" w:eastAsia="Arial" w:hAnsi="Arial"/>
          <w:sz w:val="38"/>
          <w:szCs w:val="38"/>
          <w:color w:val="0033A0"/>
        </w:rPr>
        <w:t>REGARDING CHANGE OF INDEPENDENT</w:t>
      </w:r>
    </w:p>
    <w:p>
      <w:pPr>
        <w:ind w:left="2840"/>
        <w:spacing w:after="0"/>
        <w:rPr>
          <w:sz w:val="20"/>
          <w:szCs w:val="20"/>
          <w:color w:val="auto"/>
        </w:rPr>
      </w:pPr>
      <w:r>
        <w:rPr>
          <w:rFonts w:ascii="Arial" w:cs="Arial" w:eastAsia="Arial" w:hAnsi="Arial"/>
          <w:sz w:val="38"/>
          <w:szCs w:val="38"/>
          <w:color w:val="0033A0"/>
        </w:rPr>
        <w:t>REGISTERED PUBLIC ACCOUNTING FIRMS</w:t>
      </w:r>
    </w:p>
    <w:p>
      <w:pPr>
        <w:spacing w:after="0" w:line="299" w:lineRule="exact"/>
        <w:rPr>
          <w:sz w:val="20"/>
          <w:szCs w:val="20"/>
          <w:color w:val="auto"/>
        </w:rPr>
      </w:pPr>
    </w:p>
    <w:p>
      <w:pPr>
        <w:jc w:val="both"/>
        <w:ind w:left="200" w:right="100"/>
        <w:spacing w:after="0" w:line="248" w:lineRule="auto"/>
        <w:rPr>
          <w:sz w:val="20"/>
          <w:szCs w:val="20"/>
          <w:color w:val="auto"/>
        </w:rPr>
      </w:pPr>
      <w:r>
        <w:rPr>
          <w:rFonts w:ascii="Arial" w:cs="Arial" w:eastAsia="Arial" w:hAnsi="Arial"/>
          <w:sz w:val="16"/>
          <w:szCs w:val="16"/>
          <w:color w:val="auto"/>
        </w:rPr>
        <w:t>As reported on the Company’s Current Report on Form 8-K, dated September 25, 2017, and amended on February 12, 2018, the Audit Committee approved the engagement of Ernst &amp; Young LLP (“EY”) as the Company’s independent registered public accounting firm for the Company’s fiscal year ending December 31, 2018. Deloitte &amp; Touche LLP (“Deloitte”) continued as the Company’s independent registered public accounting firm for the year ending December 31, 2017. On February 6, 2018, when the Company filed its Annual Report on Form 10-K for the fiscal year ended December 31, 2017, with the U.S. Securities and Exchange Commission, Deloitte completed its audit of the Company’s consolidated financial statements for such fiscal year, and the Company’s retention of Deloitte as our independent registered public accounting firm with respect to the audit of Company’s consolidated U.S. GAAP financial statements ended as of that date.</w:t>
      </w:r>
    </w:p>
    <w:p>
      <w:pPr>
        <w:spacing w:after="0" w:line="114" w:lineRule="exact"/>
        <w:rPr>
          <w:sz w:val="20"/>
          <w:szCs w:val="20"/>
          <w:color w:val="auto"/>
        </w:rPr>
      </w:pPr>
    </w:p>
    <w:p>
      <w:pPr>
        <w:ind w:left="420" w:right="100" w:hanging="216"/>
        <w:spacing w:after="0" w:line="260" w:lineRule="auto"/>
        <w:tabs>
          <w:tab w:leader="none" w:pos="420" w:val="left"/>
        </w:tabs>
        <w:numPr>
          <w:ilvl w:val="0"/>
          <w:numId w:val="154"/>
        </w:numPr>
        <w:rPr>
          <w:rFonts w:ascii="Arial" w:cs="Arial" w:eastAsia="Arial" w:hAnsi="Arial"/>
          <w:sz w:val="16"/>
          <w:szCs w:val="16"/>
          <w:color w:val="00A1DF"/>
        </w:rPr>
      </w:pPr>
      <w:r>
        <w:rPr>
          <w:rFonts w:ascii="Arial" w:cs="Arial" w:eastAsia="Arial" w:hAnsi="Arial"/>
          <w:sz w:val="16"/>
          <w:szCs w:val="16"/>
          <w:color w:val="auto"/>
        </w:rPr>
        <w:t>Deloitte’s reports on our consolidated financial statements as of and for the fiscal years ended December 31, 2016 and 2017, did not contain any adverse opinion or disclaimer of opinion, nor were they qualified or modified as to uncertainty, audit scope, or accounting principles.</w:t>
      </w:r>
    </w:p>
    <w:p>
      <w:pPr>
        <w:spacing w:after="0" w:line="101" w:lineRule="exact"/>
        <w:rPr>
          <w:rFonts w:ascii="Arial" w:cs="Arial" w:eastAsia="Arial" w:hAnsi="Arial"/>
          <w:sz w:val="16"/>
          <w:szCs w:val="16"/>
          <w:color w:val="00A1DF"/>
        </w:rPr>
      </w:pPr>
    </w:p>
    <w:p>
      <w:pPr>
        <w:jc w:val="both"/>
        <w:ind w:left="420" w:right="100" w:hanging="216"/>
        <w:spacing w:after="0" w:line="250" w:lineRule="auto"/>
        <w:tabs>
          <w:tab w:leader="none" w:pos="420" w:val="left"/>
        </w:tabs>
        <w:numPr>
          <w:ilvl w:val="0"/>
          <w:numId w:val="154"/>
        </w:numPr>
        <w:rPr>
          <w:rFonts w:ascii="Arial" w:cs="Arial" w:eastAsia="Arial" w:hAnsi="Arial"/>
          <w:sz w:val="16"/>
          <w:szCs w:val="16"/>
          <w:color w:val="00A1DF"/>
        </w:rPr>
      </w:pPr>
      <w:r>
        <w:rPr>
          <w:rFonts w:ascii="Arial" w:cs="Arial" w:eastAsia="Arial" w:hAnsi="Arial"/>
          <w:sz w:val="16"/>
          <w:szCs w:val="16"/>
          <w:color w:val="auto"/>
        </w:rPr>
        <w:t>During the fiscal years ended December 31, 2016 and 2017, and the subsequent interim period through February 6, 2018 (the effective date of Deloitte’s dismissal) there were: (i) no disagreements within the meaning of Item 304(a)(1)(iv) of Regulation S-K and the related instructions between the Company and Deloitte on any matters of accounting principles or practices, financial statement disclosure, or auditing scope or procedure which, if not resolved to Deloitte’s satisfaction, would have caused Deloitte to make reference thereto in their reports; and (ii) no “reportable events” within the meaning of Item 304(a)(1)(v) of Regulation S-K.</w:t>
      </w:r>
    </w:p>
    <w:p>
      <w:pPr>
        <w:spacing w:after="0" w:line="108" w:lineRule="exact"/>
        <w:rPr>
          <w:rFonts w:ascii="Arial" w:cs="Arial" w:eastAsia="Arial" w:hAnsi="Arial"/>
          <w:sz w:val="16"/>
          <w:szCs w:val="16"/>
          <w:color w:val="00A1DF"/>
        </w:rPr>
      </w:pPr>
    </w:p>
    <w:p>
      <w:pPr>
        <w:jc w:val="both"/>
        <w:ind w:left="420" w:right="100" w:hanging="216"/>
        <w:spacing w:after="0" w:line="249" w:lineRule="auto"/>
        <w:tabs>
          <w:tab w:leader="none" w:pos="420" w:val="left"/>
        </w:tabs>
        <w:numPr>
          <w:ilvl w:val="0"/>
          <w:numId w:val="154"/>
        </w:numPr>
        <w:rPr>
          <w:rFonts w:ascii="Arial" w:cs="Arial" w:eastAsia="Arial" w:hAnsi="Arial"/>
          <w:sz w:val="16"/>
          <w:szCs w:val="16"/>
          <w:color w:val="00A1DF"/>
        </w:rPr>
      </w:pPr>
      <w:r>
        <w:rPr>
          <w:rFonts w:ascii="Arial" w:cs="Arial" w:eastAsia="Arial" w:hAnsi="Arial"/>
          <w:sz w:val="16"/>
          <w:szCs w:val="16"/>
          <w:color w:val="auto"/>
        </w:rPr>
        <w:t>During the fiscal years ended December 31, 2016 and 2017 and the subsequent interim period through February 6, 2018 (the effective date of Deloitte’s dismissal),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99" w:lineRule="exact"/>
        <w:rPr>
          <w:rFonts w:ascii="Arial" w:cs="Arial" w:eastAsia="Arial" w:hAnsi="Arial"/>
          <w:sz w:val="16"/>
          <w:szCs w:val="16"/>
          <w:color w:val="00A1DF"/>
        </w:rPr>
      </w:pPr>
    </w:p>
    <w:p>
      <w:pPr>
        <w:jc w:val="both"/>
        <w:ind w:left="420" w:right="100" w:hanging="216"/>
        <w:spacing w:after="0" w:line="258" w:lineRule="auto"/>
        <w:tabs>
          <w:tab w:leader="none" w:pos="420" w:val="left"/>
        </w:tabs>
        <w:numPr>
          <w:ilvl w:val="0"/>
          <w:numId w:val="154"/>
        </w:numPr>
        <w:rPr>
          <w:rFonts w:ascii="Arial" w:cs="Arial" w:eastAsia="Arial" w:hAnsi="Arial"/>
          <w:sz w:val="16"/>
          <w:szCs w:val="16"/>
          <w:color w:val="00A1DF"/>
        </w:rPr>
      </w:pPr>
      <w:r>
        <w:rPr>
          <w:rFonts w:ascii="Arial" w:cs="Arial" w:eastAsia="Arial" w:hAnsi="Arial"/>
          <w:sz w:val="16"/>
          <w:szCs w:val="16"/>
          <w:color w:val="auto"/>
        </w:rPr>
        <w:t>GM has been advised by each of EY and Deloitte that they will each have a representative present at the Annual Meeting and that such representatives will have the opportunity to make a statement if they desire to do so and are expected to be available to respond to appropriate questions.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6860540" cy="1028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60540" cy="10287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534785" cy="84042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534785" cy="84042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 E N E R A L  M O T O 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-153035</wp:posOffset>
            </wp:positionV>
            <wp:extent cx="2178050" cy="540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78050" cy="5403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MOTORS COMPANY</w:t>
      </w:r>
    </w:p>
    <w:p>
      <w:pPr>
        <w:spacing w:after="0" w:line="4" w:lineRule="exact"/>
        <w:rPr>
          <w:sz w:val="20"/>
          <w:szCs w:val="20"/>
          <w:color w:val="auto"/>
        </w:rPr>
      </w:pPr>
    </w:p>
    <w:p>
      <w:pPr>
        <w:ind w:right="2160"/>
        <w:spacing w:after="0" w:line="221" w:lineRule="auto"/>
        <w:rPr>
          <w:sz w:val="20"/>
          <w:szCs w:val="20"/>
          <w:color w:val="auto"/>
        </w:rPr>
      </w:pPr>
      <w:r>
        <w:rPr>
          <w:rFonts w:ascii="Arial" w:cs="Arial" w:eastAsia="Arial" w:hAnsi="Arial"/>
          <w:sz w:val="14"/>
          <w:szCs w:val="14"/>
          <w:b w:val="1"/>
          <w:bCs w:val="1"/>
          <w:i w:val="1"/>
          <w:iCs w:val="1"/>
          <w:color w:val="auto"/>
        </w:rPr>
        <w:t>GENERAL MOTORS GLOBAL HEADQUARTERS MAIL CODE 482-C24-A68 300 RENAISSANCE CENTER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DETROIT, MI 48265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 BY TELEPHONE OR INTERNET OR MAIL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24 Hours a Day, 7 Days a Week</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 or scan the QR code above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Use the Internet to transmit your voting instructions up until 11:59 p.m. Eastern Time on Monday, June 11, 2018. Have this proxy card available when you access the website and follow the instructions to obtain your records and to create an electronic voting instruction form.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TELEPHONE - 1-800-690-6903</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Monday, June 11, 2018. Have this proxy card available when you call and then follow the instructions.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IN PERSON</w:t>
      </w:r>
    </w:p>
    <w:p>
      <w:pPr>
        <w:spacing w:after="0" w:line="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If you are a registered shareholder (that is, you hold these shares in your name), you must present valid identification to vote at the meeting. If you are a beneficial shareholder (that is, these shares are held in the name of a broker, bank or other holder of record), you will also need to obtain a “legal proxy” from the holder of record to vote at the meeting.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Internet or telephone or in person, do not mail this proxy card.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Mark, sign, and date this proxy card and promptly return it in the enclosed postage-paid envelope or return it to: Vote Processing, c/o Broadridge, 51 Mercedes Way, Edgewood, NY 11717.</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SHAREHOLDER COMMUNICATIONS</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 reduce our future postage and printing expenses, and the impact on the environment, you can consent to receiving all future proxy statements, proxy cards, and annual reports electronically via e-mail or the Internet. To enroll for electronic delivery, please follow the instructions above to vote using the Internet and, when prompted, indicate that you agree to receive or access shareholder communications electronically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4"/>
          <w:szCs w:val="14"/>
          <w:color w:val="auto"/>
        </w:rPr>
        <w:t>E44393-P05180</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jc w:val="center"/>
        <w:ind w:right="40"/>
        <w:spacing w:after="0" w:line="234" w:lineRule="auto"/>
        <w:rPr>
          <w:sz w:val="20"/>
          <w:szCs w:val="20"/>
          <w:color w:val="auto"/>
        </w:rPr>
      </w:pPr>
      <w:r>
        <w:rPr>
          <w:rFonts w:ascii="Arial" w:cs="Arial" w:eastAsia="Arial" w:hAnsi="Arial"/>
          <w:sz w:val="18"/>
          <w:szCs w:val="18"/>
          <w:color w:val="auto"/>
        </w:rPr>
        <w:t>— — — — — — — — — — — — — — — — — — — — — — — — — — — — — — — —</w:t>
      </w:r>
    </w:p>
    <w:p>
      <w:pPr>
        <w:jc w:val="center"/>
        <w:spacing w:after="0" w:line="231" w:lineRule="auto"/>
        <w:rPr>
          <w:sz w:val="20"/>
          <w:szCs w:val="20"/>
          <w:color w:val="auto"/>
        </w:rPr>
      </w:pPr>
      <w:r>
        <w:rPr>
          <w:rFonts w:ascii="Arial" w:cs="Arial" w:eastAsia="Arial" w:hAnsi="Arial"/>
          <w:sz w:val="18"/>
          <w:szCs w:val="18"/>
          <w:color w:val="auto"/>
        </w:rPr>
        <w:t>— — — — — — — — — — — — — — — — — — — — —</w:t>
      </w:r>
    </w:p>
    <w:p>
      <w:pPr>
        <w:jc w:val="right"/>
        <w:spacing w:after="0" w:line="221"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7272020" cy="385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3850640"/>
                    </a:xfrm>
                    <a:prstGeom prst="rect">
                      <a:avLst/>
                    </a:prstGeom>
                    <a:noFill/>
                  </pic:spPr>
                </pic:pic>
              </a:graphicData>
            </a:graphic>
          </wp:anchor>
        </w:drawing>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GENERAL MOTORS COMPANY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If you wish to vote in accordance with the Board of Directors’ recommendations, you need only sign, date, and return this proxy card.</w:t>
      </w:r>
    </w:p>
    <w:p>
      <w:pPr>
        <w:ind w:left="520"/>
        <w:spacing w:after="0" w:line="226"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 ALL</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Board nominees listed in Item 1.</w:t>
      </w:r>
    </w:p>
    <w:p>
      <w:pPr>
        <w:sectPr>
          <w:pgSz w:w="11900" w:h="16838" w:orient="portrait"/>
          <w:cols w:equalWidth="0" w:num="1">
            <w:col w:w="11420"/>
          </w:cols>
          <w:pgMar w:left="240" w:top="459" w:right="239" w:bottom="1440" w:gutter="0" w:footer="0" w:header="0"/>
          <w:type w:val="continuous"/>
        </w:sectPr>
      </w:pPr>
    </w:p>
    <w:p>
      <w:pPr>
        <w:spacing w:after="0" w:line="109"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960" w:type="dxa"/>
            <w:vAlign w:val="bottom"/>
            <w:vMerge w:val="restart"/>
          </w:tcPr>
          <w:p>
            <w:pPr>
              <w:jc w:val="center"/>
              <w:ind w:left="432"/>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vMerge w:val="restart"/>
          </w:tcPr>
          <w:p>
            <w:pPr>
              <w:jc w:val="center"/>
              <w:ind w:left="72"/>
              <w:spacing w:after="0"/>
              <w:rPr>
                <w:sz w:val="20"/>
                <w:szCs w:val="20"/>
                <w:color w:val="auto"/>
              </w:rPr>
            </w:pPr>
            <w:r>
              <w:rPr>
                <w:rFonts w:ascii="Arial" w:cs="Arial" w:eastAsia="Arial" w:hAnsi="Arial"/>
                <w:sz w:val="14"/>
                <w:szCs w:val="14"/>
                <w:b w:val="1"/>
                <w:bCs w:val="1"/>
                <w:color w:val="auto"/>
                <w:w w:val="97"/>
              </w:rPr>
              <w:t>Against</w:t>
            </w: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Nominees:</w:t>
            </w:r>
          </w:p>
        </w:tc>
        <w:tc>
          <w:tcPr>
            <w:tcW w:w="9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460" w:type="dxa"/>
            <w:vAlign w:val="bottom"/>
          </w:tcPr>
          <w:p>
            <w:pPr>
              <w:ind w:left="240"/>
              <w:spacing w:after="0"/>
              <w:rPr>
                <w:sz w:val="20"/>
                <w:szCs w:val="20"/>
                <w:color w:val="auto"/>
              </w:rPr>
            </w:pPr>
            <w:r>
              <w:rPr>
                <w:rFonts w:ascii="Arial" w:cs="Arial" w:eastAsia="Arial" w:hAnsi="Arial"/>
                <w:sz w:val="14"/>
                <w:szCs w:val="14"/>
                <w:color w:val="auto"/>
              </w:rPr>
              <w:t>1a.</w:t>
            </w:r>
          </w:p>
        </w:tc>
        <w:tc>
          <w:tcPr>
            <w:tcW w:w="1680" w:type="dxa"/>
            <w:vAlign w:val="bottom"/>
          </w:tcPr>
          <w:p>
            <w:pPr>
              <w:ind w:left="40"/>
              <w:spacing w:after="0"/>
              <w:rPr>
                <w:sz w:val="20"/>
                <w:szCs w:val="20"/>
                <w:color w:val="auto"/>
              </w:rPr>
            </w:pPr>
            <w:r>
              <w:rPr>
                <w:rFonts w:ascii="Arial" w:cs="Arial" w:eastAsia="Arial" w:hAnsi="Arial"/>
                <w:sz w:val="14"/>
                <w:szCs w:val="14"/>
                <w:color w:val="auto"/>
              </w:rPr>
              <w:t>Mary T. Barra</w:t>
            </w:r>
          </w:p>
        </w:tc>
        <w:tc>
          <w:tcPr>
            <w:tcW w:w="960" w:type="dxa"/>
            <w:vAlign w:val="bottom"/>
          </w:tcPr>
          <w:p>
            <w:pPr>
              <w:jc w:val="center"/>
              <w:ind w:left="4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70"/>
        </w:trPr>
        <w:tc>
          <w:tcPr>
            <w:tcW w:w="460" w:type="dxa"/>
            <w:vAlign w:val="bottom"/>
          </w:tcPr>
          <w:p>
            <w:pPr>
              <w:ind w:left="240"/>
              <w:spacing w:after="0"/>
              <w:rPr>
                <w:sz w:val="20"/>
                <w:szCs w:val="20"/>
                <w:color w:val="auto"/>
              </w:rPr>
            </w:pPr>
            <w:r>
              <w:rPr>
                <w:rFonts w:ascii="Arial" w:cs="Arial" w:eastAsia="Arial" w:hAnsi="Arial"/>
                <w:sz w:val="14"/>
                <w:szCs w:val="14"/>
                <w:color w:val="auto"/>
              </w:rPr>
              <w:t>1b.</w:t>
            </w:r>
          </w:p>
        </w:tc>
        <w:tc>
          <w:tcPr>
            <w:tcW w:w="1680" w:type="dxa"/>
            <w:vAlign w:val="bottom"/>
          </w:tcPr>
          <w:p>
            <w:pPr>
              <w:ind w:left="40"/>
              <w:spacing w:after="0"/>
              <w:rPr>
                <w:sz w:val="20"/>
                <w:szCs w:val="20"/>
                <w:color w:val="auto"/>
              </w:rPr>
            </w:pPr>
            <w:r>
              <w:rPr>
                <w:rFonts w:ascii="Arial" w:cs="Arial" w:eastAsia="Arial" w:hAnsi="Arial"/>
                <w:sz w:val="14"/>
                <w:szCs w:val="14"/>
                <w:color w:val="auto"/>
              </w:rPr>
              <w:t>Linda R. Gooden</w:t>
            </w:r>
          </w:p>
        </w:tc>
        <w:tc>
          <w:tcPr>
            <w:tcW w:w="960" w:type="dxa"/>
            <w:vAlign w:val="bottom"/>
          </w:tcPr>
          <w:p>
            <w:pPr>
              <w:jc w:val="center"/>
              <w:ind w:left="4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70"/>
        </w:trPr>
        <w:tc>
          <w:tcPr>
            <w:tcW w:w="2140" w:type="dxa"/>
            <w:vAlign w:val="bottom"/>
            <w:gridSpan w:val="2"/>
          </w:tcPr>
          <w:p>
            <w:pPr>
              <w:ind w:left="240"/>
              <w:spacing w:after="0"/>
              <w:rPr>
                <w:sz w:val="20"/>
                <w:szCs w:val="20"/>
                <w:color w:val="auto"/>
              </w:rPr>
            </w:pPr>
            <w:r>
              <w:rPr>
                <w:rFonts w:ascii="Arial" w:cs="Arial" w:eastAsia="Arial" w:hAnsi="Arial"/>
                <w:sz w:val="14"/>
                <w:szCs w:val="14"/>
                <w:color w:val="auto"/>
              </w:rPr>
              <w:t>1c. Joseph Jimenez</w:t>
            </w:r>
          </w:p>
        </w:tc>
        <w:tc>
          <w:tcPr>
            <w:tcW w:w="960" w:type="dxa"/>
            <w:vAlign w:val="bottom"/>
          </w:tcPr>
          <w:p>
            <w:pPr>
              <w:jc w:val="center"/>
              <w:ind w:left="4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70"/>
        </w:trPr>
        <w:tc>
          <w:tcPr>
            <w:tcW w:w="460" w:type="dxa"/>
            <w:vAlign w:val="bottom"/>
          </w:tcPr>
          <w:p>
            <w:pPr>
              <w:ind w:left="240"/>
              <w:spacing w:after="0"/>
              <w:rPr>
                <w:sz w:val="20"/>
                <w:szCs w:val="20"/>
                <w:color w:val="auto"/>
              </w:rPr>
            </w:pPr>
            <w:r>
              <w:rPr>
                <w:rFonts w:ascii="Arial" w:cs="Arial" w:eastAsia="Arial" w:hAnsi="Arial"/>
                <w:sz w:val="14"/>
                <w:szCs w:val="14"/>
                <w:color w:val="auto"/>
              </w:rPr>
              <w:t>1d.</w:t>
            </w:r>
          </w:p>
        </w:tc>
        <w:tc>
          <w:tcPr>
            <w:tcW w:w="1680" w:type="dxa"/>
            <w:vAlign w:val="bottom"/>
          </w:tcPr>
          <w:p>
            <w:pPr>
              <w:ind w:left="40"/>
              <w:spacing w:after="0"/>
              <w:rPr>
                <w:sz w:val="20"/>
                <w:szCs w:val="20"/>
                <w:color w:val="auto"/>
              </w:rPr>
            </w:pPr>
            <w:r>
              <w:rPr>
                <w:rFonts w:ascii="Arial" w:cs="Arial" w:eastAsia="Arial" w:hAnsi="Arial"/>
                <w:sz w:val="14"/>
                <w:szCs w:val="14"/>
                <w:color w:val="auto"/>
              </w:rPr>
              <w:t>Jane L. Mendillo</w:t>
            </w:r>
          </w:p>
        </w:tc>
        <w:tc>
          <w:tcPr>
            <w:tcW w:w="960" w:type="dxa"/>
            <w:vAlign w:val="bottom"/>
          </w:tcPr>
          <w:p>
            <w:pPr>
              <w:jc w:val="center"/>
              <w:ind w:left="41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Abstain</w:t>
      </w:r>
    </w:p>
    <w:p>
      <w:pPr>
        <w:spacing w:after="0" w:line="298" w:lineRule="exact"/>
        <w:rPr>
          <w:sz w:val="20"/>
          <w:szCs w:val="20"/>
          <w:color w:val="auto"/>
        </w:rPr>
      </w:pPr>
    </w:p>
    <w:p>
      <w:pPr>
        <w:ind w:left="680" w:hanging="488"/>
        <w:spacing w:after="0"/>
        <w:tabs>
          <w:tab w:leader="none" w:pos="680" w:val="left"/>
        </w:tabs>
        <w:numPr>
          <w:ilvl w:val="0"/>
          <w:numId w:val="155"/>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Board Items 2</w:t>
      </w:r>
    </w:p>
    <w:p>
      <w:pPr>
        <w:ind w:left="680"/>
        <w:spacing w:after="0" w:line="181" w:lineRule="auto"/>
        <w:rPr>
          <w:sz w:val="20"/>
          <w:szCs w:val="20"/>
          <w:color w:val="auto"/>
        </w:rPr>
      </w:pPr>
      <w:r>
        <w:rPr>
          <w:rFonts w:ascii="Arial" w:cs="Arial" w:eastAsia="Arial" w:hAnsi="Arial"/>
          <w:sz w:val="14"/>
          <w:szCs w:val="14"/>
          <w:b w:val="1"/>
          <w:bCs w:val="1"/>
          <w:color w:val="auto"/>
        </w:rPr>
        <w:t>and 3.</w:t>
      </w:r>
    </w:p>
    <w:p>
      <w:pPr>
        <w:spacing w:after="0" w:line="1" w:lineRule="exact"/>
        <w:rPr>
          <w:sz w:val="20"/>
          <w:szCs w:val="20"/>
          <w:color w:val="auto"/>
        </w:rPr>
      </w:pPr>
    </w:p>
    <w:p>
      <w:pP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26" w:lineRule="exact"/>
        <w:rPr>
          <w:sz w:val="20"/>
          <w:szCs w:val="20"/>
          <w:color w:val="auto"/>
        </w:rPr>
      </w:pPr>
    </w:p>
    <w:p>
      <w:pPr>
        <w:ind w:left="1000" w:hanging="329"/>
        <w:spacing w:after="0"/>
        <w:tabs>
          <w:tab w:leader="none" w:pos="100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Approval of, on an Advisory Basis, Named Executive Officer</w:t>
      </w:r>
    </w:p>
    <w:p>
      <w:pPr>
        <w:ind w:left="920" w:hanging="728"/>
        <w:spacing w:after="0" w:line="185" w:lineRule="auto"/>
        <w:tabs>
          <w:tab w:leader="none" w:pos="920" w:val="left"/>
        </w:tabs>
        <w:numPr>
          <w:ilvl w:val="0"/>
          <w:numId w:val="156"/>
        </w:numPr>
        <w:rPr>
          <w:rFonts w:ascii="MS PGothic" w:cs="MS PGothic" w:eastAsia="MS PGothic" w:hAnsi="MS PGothic"/>
          <w:sz w:val="21"/>
          <w:szCs w:val="21"/>
          <w:color w:val="auto"/>
          <w:vertAlign w:val="superscript"/>
        </w:rPr>
      </w:pPr>
      <w:r>
        <w:rPr>
          <w:rFonts w:ascii="Arial" w:cs="Arial" w:eastAsia="Arial" w:hAnsi="Arial"/>
          <w:sz w:val="11"/>
          <w:szCs w:val="11"/>
          <w:color w:val="auto"/>
        </w:rPr>
        <w:t>Compensation</w:t>
      </w:r>
    </w:p>
    <w:p>
      <w:pPr>
        <w:spacing w:after="0" w:line="135" w:lineRule="exact"/>
        <w:rPr>
          <w:rFonts w:ascii="MS PGothic" w:cs="MS PGothic" w:eastAsia="MS PGothic" w:hAnsi="MS PGothic"/>
          <w:sz w:val="21"/>
          <w:szCs w:val="21"/>
          <w:color w:val="auto"/>
          <w:vertAlign w:val="superscript"/>
        </w:rPr>
      </w:pPr>
    </w:p>
    <w:p>
      <w:pPr>
        <w:ind w:left="920" w:hanging="728"/>
        <w:spacing w:after="0" w:line="180" w:lineRule="auto"/>
        <w:tabs>
          <w:tab w:leader="none" w:pos="674" w:val="left"/>
        </w:tabs>
        <w:numPr>
          <w:ilvl w:val="0"/>
          <w:numId w:val="156"/>
        </w:numPr>
        <w:rPr>
          <w:rFonts w:ascii="MS PGothic" w:cs="MS PGothic" w:eastAsia="MS PGothic" w:hAnsi="MS PGothic"/>
          <w:sz w:val="26"/>
          <w:szCs w:val="26"/>
          <w:color w:val="auto"/>
          <w:vertAlign w:val="superscript"/>
        </w:rPr>
      </w:pPr>
      <w:r>
        <w:rPr>
          <w:rFonts w:ascii="Arial" w:cs="Arial" w:eastAsia="Arial" w:hAnsi="Arial"/>
          <w:sz w:val="13"/>
          <w:szCs w:val="13"/>
          <w:color w:val="auto"/>
        </w:rPr>
        <w:t>3. Ratification of the Selection of Ernst &amp; Young LLP as GM’s Independent Registered Public Accounting Firm for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hanging="47"/>
        <w:spacing w:after="0" w:line="211" w:lineRule="exact"/>
        <w:rPr>
          <w:sz w:val="20"/>
          <w:szCs w:val="20"/>
          <w:color w:val="auto"/>
        </w:rPr>
      </w:pPr>
      <w:r>
        <w:rPr>
          <w:rFonts w:ascii="Arial" w:cs="Arial" w:eastAsia="Arial" w:hAnsi="Arial"/>
          <w:sz w:val="14"/>
          <w:szCs w:val="14"/>
          <w:b w:val="1"/>
          <w:bCs w:val="1"/>
          <w:color w:val="auto"/>
        </w:rPr>
        <w:t>For</w:t>
      </w:r>
      <w:r>
        <w:rPr>
          <w:sz w:val="20"/>
          <w:szCs w:val="20"/>
          <w:color w:val="auto"/>
        </w:rPr>
        <w:t xml:space="preserve"> </w:t>
      </w:r>
      <w:r>
        <w:rPr>
          <w:rFonts w:ascii="Arial" w:cs="Arial" w:eastAsia="Arial" w:hAnsi="Arial"/>
          <w:sz w:val="14"/>
          <w:szCs w:val="14"/>
          <w:b w:val="1"/>
          <w:bCs w:val="1"/>
          <w:color w:val="auto"/>
        </w:rPr>
        <w:t xml:space="preserve">Against </w:t>
      </w:r>
      <w:r>
        <w:rPr>
          <w:rFonts w:ascii="MS PGothic" w:cs="MS PGothic" w:eastAsia="MS PGothic" w:hAnsi="MS PGothic"/>
          <w:sz w:val="14"/>
          <w:szCs w:val="14"/>
          <w:color w:val="auto"/>
        </w:rPr>
        <w:t>☐ ☐</w:t>
      </w:r>
    </w:p>
    <w:p>
      <w:pPr>
        <w:spacing w:after="0" w:line="235" w:lineRule="exact"/>
        <w:rPr>
          <w:sz w:val="20"/>
          <w:szCs w:val="20"/>
          <w:color w:val="auto"/>
        </w:rPr>
      </w:pPr>
    </w:p>
    <w:p>
      <w:pPr>
        <w:spacing w:after="0" w:line="141" w:lineRule="exact"/>
        <w:tabs>
          <w:tab w:leader="none" w:pos="4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Abstain</w:t>
      </w:r>
    </w:p>
    <w:p>
      <w:pPr>
        <w:spacing w:after="0" w:line="72" w:lineRule="exact"/>
        <w:rPr>
          <w:sz w:val="20"/>
          <w:szCs w:val="20"/>
          <w:color w:val="auto"/>
        </w:rPr>
      </w:pPr>
    </w:p>
    <w:p>
      <w:pPr>
        <w:jc w:val="center"/>
        <w:ind w:right="420"/>
        <w:spacing w:after="0" w:line="141" w:lineRule="exact"/>
        <w:rPr>
          <w:sz w:val="20"/>
          <w:szCs w:val="20"/>
          <w:color w:val="auto"/>
        </w:rPr>
      </w:pPr>
      <w:r>
        <w:rPr>
          <w:rFonts w:ascii="MS PGothic" w:cs="MS PGothic" w:eastAsia="MS PGothic" w:hAnsi="MS PGothic"/>
          <w:sz w:val="14"/>
          <w:szCs w:val="14"/>
          <w:color w:val="auto"/>
        </w:rPr>
        <w:t>☐</w:t>
      </w:r>
    </w:p>
    <w:p>
      <w:pPr>
        <w:spacing w:after="0" w:line="306" w:lineRule="exact"/>
        <w:rPr>
          <w:sz w:val="20"/>
          <w:szCs w:val="20"/>
          <w:color w:val="auto"/>
        </w:rPr>
      </w:pPr>
    </w:p>
    <w:p>
      <w:pP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419" w:lineRule="exact"/>
        <w:rPr>
          <w:sz w:val="20"/>
          <w:szCs w:val="20"/>
          <w:color w:val="auto"/>
        </w:rPr>
      </w:pPr>
    </w:p>
    <w:p>
      <w:pPr>
        <w:sectPr>
          <w:pgSz w:w="11900" w:h="16838" w:orient="portrait"/>
          <w:cols w:equalWidth="0" w:num="4">
            <w:col w:w="4160" w:space="160"/>
            <w:col w:w="4900" w:space="300"/>
            <w:col w:w="800" w:space="180"/>
            <w:col w:w="920"/>
          </w:cols>
          <w:pgMar w:left="240" w:top="459" w:right="239" w:bottom="1440" w:gutter="0" w:footer="0" w:header="0"/>
          <w:type w:val="continuous"/>
        </w:sectPr>
      </w:pPr>
    </w:p>
    <w:tbl>
      <w:tblPr>
        <w:tblLayout w:type="fixed"/>
        <w:tblInd w:w="660"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Arial" w:cs="Arial" w:eastAsia="Arial" w:hAnsi="Arial"/>
                <w:sz w:val="14"/>
                <w:szCs w:val="14"/>
                <w:color w:val="auto"/>
              </w:rPr>
              <w:t>1e.</w:t>
            </w:r>
          </w:p>
        </w:tc>
        <w:tc>
          <w:tcPr>
            <w:tcW w:w="1820" w:type="dxa"/>
            <w:vAlign w:val="bottom"/>
          </w:tcPr>
          <w:p>
            <w:pPr>
              <w:ind w:left="40"/>
              <w:spacing w:after="0"/>
              <w:rPr>
                <w:sz w:val="20"/>
                <w:szCs w:val="20"/>
                <w:color w:val="auto"/>
              </w:rPr>
            </w:pPr>
            <w:r>
              <w:rPr>
                <w:rFonts w:ascii="Arial" w:cs="Arial" w:eastAsia="Arial" w:hAnsi="Arial"/>
                <w:sz w:val="14"/>
                <w:szCs w:val="14"/>
                <w:color w:val="auto"/>
              </w:rPr>
              <w:t>Michael G. Mullen</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5"/>
        </w:trPr>
        <w:tc>
          <w:tcPr>
            <w:tcW w:w="220" w:type="dxa"/>
            <w:vAlign w:val="bottom"/>
          </w:tcPr>
          <w:p>
            <w:pPr>
              <w:spacing w:after="0"/>
              <w:rPr>
                <w:sz w:val="20"/>
                <w:szCs w:val="20"/>
                <w:color w:val="auto"/>
              </w:rPr>
            </w:pPr>
            <w:r>
              <w:rPr>
                <w:rFonts w:ascii="Arial" w:cs="Arial" w:eastAsia="Arial" w:hAnsi="Arial"/>
                <w:sz w:val="14"/>
                <w:szCs w:val="14"/>
                <w:color w:val="auto"/>
              </w:rPr>
              <w:t>1f.</w:t>
            </w:r>
          </w:p>
        </w:tc>
        <w:tc>
          <w:tcPr>
            <w:tcW w:w="1820" w:type="dxa"/>
            <w:vAlign w:val="bottom"/>
          </w:tcPr>
          <w:p>
            <w:pPr>
              <w:ind w:left="20"/>
              <w:spacing w:after="0"/>
              <w:rPr>
                <w:sz w:val="20"/>
                <w:szCs w:val="20"/>
                <w:color w:val="auto"/>
              </w:rPr>
            </w:pPr>
            <w:r>
              <w:rPr>
                <w:rFonts w:ascii="Arial" w:cs="Arial" w:eastAsia="Arial" w:hAnsi="Arial"/>
                <w:sz w:val="14"/>
                <w:szCs w:val="14"/>
                <w:color w:val="auto"/>
              </w:rPr>
              <w:t>James J. Mulva</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1g.</w:t>
            </w:r>
          </w:p>
        </w:tc>
        <w:tc>
          <w:tcPr>
            <w:tcW w:w="1820" w:type="dxa"/>
            <w:vAlign w:val="bottom"/>
          </w:tcPr>
          <w:p>
            <w:pPr>
              <w:ind w:left="40"/>
              <w:spacing w:after="0"/>
              <w:rPr>
                <w:sz w:val="20"/>
                <w:szCs w:val="20"/>
                <w:color w:val="auto"/>
              </w:rPr>
            </w:pPr>
            <w:r>
              <w:rPr>
                <w:rFonts w:ascii="Arial" w:cs="Arial" w:eastAsia="Arial" w:hAnsi="Arial"/>
                <w:sz w:val="14"/>
                <w:szCs w:val="14"/>
                <w:color w:val="auto"/>
              </w:rPr>
              <w:t>Patricia F. Russo</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40" w:type="dxa"/>
            <w:vAlign w:val="bottom"/>
            <w:gridSpan w:val="2"/>
          </w:tcPr>
          <w:p>
            <w:pPr>
              <w:spacing w:after="0"/>
              <w:rPr>
                <w:sz w:val="20"/>
                <w:szCs w:val="20"/>
                <w:color w:val="auto"/>
              </w:rPr>
            </w:pPr>
            <w:r>
              <w:rPr>
                <w:rFonts w:ascii="Arial" w:cs="Arial" w:eastAsia="Arial" w:hAnsi="Arial"/>
                <w:sz w:val="14"/>
                <w:szCs w:val="14"/>
                <w:color w:val="auto"/>
              </w:rPr>
              <w:t>1h. Thomas M. Schoewe</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1i.</w:t>
            </w:r>
          </w:p>
        </w:tc>
        <w:tc>
          <w:tcPr>
            <w:tcW w:w="1820" w:type="dxa"/>
            <w:vAlign w:val="bottom"/>
          </w:tcPr>
          <w:p>
            <w:pPr>
              <w:ind w:left="40"/>
              <w:spacing w:after="0"/>
              <w:rPr>
                <w:sz w:val="20"/>
                <w:szCs w:val="20"/>
                <w:color w:val="auto"/>
              </w:rPr>
            </w:pPr>
            <w:r>
              <w:rPr>
                <w:rFonts w:ascii="Arial" w:cs="Arial" w:eastAsia="Arial" w:hAnsi="Arial"/>
                <w:sz w:val="14"/>
                <w:szCs w:val="14"/>
                <w:color w:val="auto"/>
              </w:rPr>
              <w:t>Theodore M. Solso</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1j.</w:t>
            </w:r>
          </w:p>
        </w:tc>
        <w:tc>
          <w:tcPr>
            <w:tcW w:w="1820" w:type="dxa"/>
            <w:vAlign w:val="bottom"/>
          </w:tcPr>
          <w:p>
            <w:pPr>
              <w:ind w:left="40"/>
              <w:spacing w:after="0"/>
              <w:rPr>
                <w:sz w:val="20"/>
                <w:szCs w:val="20"/>
                <w:color w:val="auto"/>
              </w:rPr>
            </w:pPr>
            <w:r>
              <w:rPr>
                <w:rFonts w:ascii="Arial" w:cs="Arial" w:eastAsia="Arial" w:hAnsi="Arial"/>
                <w:sz w:val="14"/>
                <w:szCs w:val="14"/>
                <w:color w:val="auto"/>
              </w:rPr>
              <w:t>Carol M. Stephenson</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40" w:type="dxa"/>
            <w:vAlign w:val="bottom"/>
            <w:gridSpan w:val="2"/>
          </w:tcPr>
          <w:p>
            <w:pPr>
              <w:spacing w:after="0"/>
              <w:rPr>
                <w:sz w:val="20"/>
                <w:szCs w:val="20"/>
                <w:color w:val="auto"/>
              </w:rPr>
            </w:pPr>
            <w:r>
              <w:rPr>
                <w:rFonts w:ascii="Arial" w:cs="Arial" w:eastAsia="Arial" w:hAnsi="Arial"/>
                <w:sz w:val="14"/>
                <w:szCs w:val="14"/>
                <w:color w:val="auto"/>
              </w:rPr>
              <w:t>1k. Devin N. Wenig</w:t>
            </w:r>
          </w:p>
        </w:tc>
        <w:tc>
          <w:tcPr>
            <w:tcW w:w="9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0"/>
          <w:szCs w:val="20"/>
          <w:color w:val="auto"/>
        </w:rPr>
      </w:pPr>
      <w:r>
        <w:rPr>
          <w:sz w:val="20"/>
          <w:szCs w:val="20"/>
          <w:color w:val="auto"/>
        </w:rPr>
        <w:br w:type="column"/>
      </w:r>
    </w:p>
    <w:p>
      <w:pPr>
        <w:ind w:left="488" w:hanging="488"/>
        <w:spacing w:after="0" w:line="207" w:lineRule="auto"/>
        <w:tabs>
          <w:tab w:leader="none" w:pos="488" w:val="left"/>
        </w:tabs>
        <w:numPr>
          <w:ilvl w:val="0"/>
          <w:numId w:val="157"/>
        </w:numPr>
        <w:rPr>
          <w:rFonts w:ascii="MS PGothic" w:cs="MS PGothic" w:eastAsia="MS PGothic" w:hAnsi="MS PGothic"/>
          <w:sz w:val="14"/>
          <w:szCs w:val="14"/>
          <w:color w:val="auto"/>
        </w:rPr>
      </w:pPr>
      <w:r>
        <w:rPr>
          <w:rFonts w:ascii="Arial" w:cs="Arial" w:eastAsia="Arial" w:hAnsi="Arial"/>
          <w:sz w:val="14"/>
          <w:szCs w:val="14"/>
          <w:b w:val="1"/>
          <w:bCs w:val="1"/>
          <w:color w:val="auto"/>
        </w:rPr>
        <w:t>The Board of Directors recommends a vote AGAINST shareholder  For  Against</w:t>
      </w:r>
    </w:p>
    <w:tbl>
      <w:tblPr>
        <w:tblLayout w:type="fixed"/>
        <w:tblInd w:w="8" w:type="dxa"/>
        <w:tblCellMar>
          <w:top w:w="0" w:type="dxa"/>
          <w:left w:w="0" w:type="dxa"/>
          <w:bottom w:w="0" w:type="dxa"/>
          <w:right w:w="0" w:type="dxa"/>
        </w:tblCellMar>
      </w:tblPr>
      <w:tr>
        <w:trPr>
          <w:trHeight w:val="198"/>
        </w:trPr>
        <w:tc>
          <w:tcPr>
            <w:tcW w:w="3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gridSpan w:val="2"/>
          </w:tcPr>
          <w:p>
            <w:pPr>
              <w:ind w:left="180"/>
              <w:spacing w:after="0"/>
              <w:rPr>
                <w:sz w:val="20"/>
                <w:szCs w:val="20"/>
                <w:color w:val="auto"/>
              </w:rPr>
            </w:pPr>
            <w:r>
              <w:rPr>
                <w:rFonts w:ascii="Arial" w:cs="Arial" w:eastAsia="Arial" w:hAnsi="Arial"/>
                <w:sz w:val="14"/>
                <w:szCs w:val="14"/>
                <w:b w:val="1"/>
                <w:bCs w:val="1"/>
                <w:color w:val="auto"/>
              </w:rPr>
              <w:t>Items 4 through 6.</w:t>
            </w:r>
          </w:p>
        </w:tc>
        <w:tc>
          <w:tcPr>
            <w:tcW w:w="60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92"/>
        </w:trPr>
        <w:tc>
          <w:tcPr>
            <w:tcW w:w="300" w:type="dxa"/>
            <w:vAlign w:val="bottom"/>
            <w:vMerge w:val="continue"/>
          </w:tcPr>
          <w:p>
            <w:pPr>
              <w:spacing w:after="0"/>
              <w:rPr>
                <w:sz w:val="8"/>
                <w:szCs w:val="8"/>
                <w:color w:val="auto"/>
              </w:rPr>
            </w:pPr>
          </w:p>
        </w:tc>
        <w:tc>
          <w:tcPr>
            <w:tcW w:w="4620" w:type="dxa"/>
            <w:vAlign w:val="bottom"/>
            <w:gridSpan w:val="4"/>
            <w:vMerge w:val="restart"/>
          </w:tcPr>
          <w:p>
            <w:pPr>
              <w:ind w:left="180"/>
              <w:spacing w:after="0"/>
              <w:rPr>
                <w:sz w:val="20"/>
                <w:szCs w:val="20"/>
                <w:color w:val="auto"/>
              </w:rPr>
            </w:pPr>
            <w:r>
              <w:rPr>
                <w:rFonts w:ascii="Arial" w:cs="Arial" w:eastAsia="Arial" w:hAnsi="Arial"/>
                <w:sz w:val="14"/>
                <w:szCs w:val="14"/>
                <w:color w:val="auto"/>
              </w:rPr>
              <w:t>4.  Shareholder Proposal Regarding Independent Board Chairman</w:t>
            </w:r>
          </w:p>
        </w:tc>
        <w:tc>
          <w:tcPr>
            <w:tcW w:w="3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gridSpan w:val="4"/>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00" w:type="dxa"/>
            <w:vAlign w:val="bottom"/>
            <w:vMerge w:val="continue"/>
          </w:tcPr>
          <w:p>
            <w:pPr>
              <w:spacing w:after="0"/>
              <w:rPr>
                <w:sz w:val="4"/>
                <w:szCs w:val="4"/>
                <w:color w:val="auto"/>
              </w:rPr>
            </w:pPr>
          </w:p>
        </w:tc>
        <w:tc>
          <w:tcPr>
            <w:tcW w:w="462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5.</w:t>
            </w:r>
          </w:p>
        </w:tc>
        <w:tc>
          <w:tcPr>
            <w:tcW w:w="4280" w:type="dxa"/>
            <w:vAlign w:val="bottom"/>
            <w:gridSpan w:val="3"/>
          </w:tcPr>
          <w:p>
            <w:pPr>
              <w:ind w:left="60"/>
              <w:spacing w:after="0" w:line="149" w:lineRule="exact"/>
              <w:rPr>
                <w:sz w:val="20"/>
                <w:szCs w:val="20"/>
                <w:color w:val="auto"/>
              </w:rPr>
            </w:pPr>
            <w:r>
              <w:rPr>
                <w:rFonts w:ascii="Arial" w:cs="Arial" w:eastAsia="Arial" w:hAnsi="Arial"/>
                <w:sz w:val="14"/>
                <w:szCs w:val="14"/>
                <w:color w:val="auto"/>
                <w:w w:val="98"/>
              </w:rPr>
              <w:t>Shareholder Proposal Regarding Shareholder Right to Act by Written</w:t>
            </w:r>
          </w:p>
        </w:tc>
        <w:tc>
          <w:tcPr>
            <w:tcW w:w="3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80" w:type="dxa"/>
            <w:vAlign w:val="bottom"/>
            <w:gridSpan w:val="3"/>
            <w:vMerge w:val="restart"/>
          </w:tcPr>
          <w:p>
            <w:pPr>
              <w:ind w:left="80"/>
              <w:spacing w:after="0"/>
              <w:rPr>
                <w:sz w:val="20"/>
                <w:szCs w:val="20"/>
                <w:color w:val="auto"/>
              </w:rPr>
            </w:pPr>
            <w:r>
              <w:rPr>
                <w:rFonts w:ascii="Arial" w:cs="Arial" w:eastAsia="Arial" w:hAnsi="Arial"/>
                <w:sz w:val="14"/>
                <w:szCs w:val="14"/>
                <w:color w:val="auto"/>
              </w:rPr>
              <w:t>Consent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90"/>
        </w:trPr>
        <w:tc>
          <w:tcPr>
            <w:tcW w:w="3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7"/>
                <w:szCs w:val="7"/>
                <w:color w:val="auto"/>
              </w:rPr>
            </w:pPr>
          </w:p>
        </w:tc>
        <w:tc>
          <w:tcPr>
            <w:tcW w:w="428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rPr>
              <w:t>6.</w:t>
            </w:r>
          </w:p>
        </w:tc>
        <w:tc>
          <w:tcPr>
            <w:tcW w:w="4280" w:type="dxa"/>
            <w:vAlign w:val="bottom"/>
            <w:gridSpan w:val="3"/>
            <w:vMerge w:val="restart"/>
          </w:tcPr>
          <w:p>
            <w:pPr>
              <w:ind w:left="220"/>
              <w:spacing w:after="0"/>
              <w:rPr>
                <w:sz w:val="20"/>
                <w:szCs w:val="20"/>
                <w:color w:val="auto"/>
              </w:rPr>
            </w:pPr>
            <w:r>
              <w:rPr>
                <w:rFonts w:ascii="Arial" w:cs="Arial" w:eastAsia="Arial" w:hAnsi="Arial"/>
                <w:sz w:val="14"/>
                <w:szCs w:val="14"/>
                <w:color w:val="auto"/>
              </w:rPr>
              <w:t>Shareholder  Proposal  Regarding  Report  on  Greenhouse  Gas</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vMerge w:val="continue"/>
          </w:tcPr>
          <w:p>
            <w:pPr>
              <w:spacing w:after="0"/>
              <w:rPr>
                <w:sz w:val="6"/>
                <w:szCs w:val="6"/>
                <w:color w:val="auto"/>
              </w:rPr>
            </w:pPr>
          </w:p>
        </w:tc>
        <w:tc>
          <w:tcPr>
            <w:tcW w:w="42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3"/>
          </w:tcPr>
          <w:p>
            <w:pPr>
              <w:ind w:left="80"/>
              <w:spacing w:after="0"/>
              <w:rPr>
                <w:sz w:val="20"/>
                <w:szCs w:val="20"/>
                <w:color w:val="auto"/>
              </w:rPr>
            </w:pPr>
            <w:r>
              <w:rPr>
                <w:rFonts w:ascii="Arial" w:cs="Arial" w:eastAsia="Arial" w:hAnsi="Arial"/>
                <w:sz w:val="14"/>
                <w:szCs w:val="14"/>
                <w:color w:val="auto"/>
              </w:rPr>
              <w:t>Emissions and CAFE Standards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8"/>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Abstain</w:t>
      </w:r>
    </w:p>
    <w:p>
      <w:pPr>
        <w:spacing w:after="0" w:line="208" w:lineRule="exact"/>
        <w:rPr>
          <w:sz w:val="20"/>
          <w:szCs w:val="20"/>
          <w:color w:val="auto"/>
        </w:rPr>
      </w:pPr>
    </w:p>
    <w:p>
      <w:pP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0"/>
          <w:szCs w:val="20"/>
          <w:color w:val="auto"/>
        </w:rPr>
      </w:pPr>
    </w:p>
    <w:p>
      <w:pP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0"/>
          <w:szCs w:val="20"/>
          <w:color w:val="auto"/>
        </w:rPr>
      </w:pPr>
    </w:p>
    <w:p>
      <w:pP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959" w:lineRule="exact"/>
        <w:rPr>
          <w:sz w:val="20"/>
          <w:szCs w:val="20"/>
          <w:color w:val="auto"/>
        </w:rPr>
      </w:pPr>
    </w:p>
    <w:p>
      <w:pPr>
        <w:sectPr>
          <w:pgSz w:w="11900" w:h="16838" w:orient="portrait"/>
          <w:cols w:equalWidth="0" w:num="3">
            <w:col w:w="3960" w:space="552"/>
            <w:col w:w="5808" w:space="180"/>
            <w:col w:w="920"/>
          </w:cols>
          <w:pgMar w:left="240" w:top="459" w:right="239" w:bottom="1440" w:gutter="0" w:footer="0" w:header="0"/>
          <w:type w:val="continuous"/>
        </w:sectPr>
      </w:pPr>
    </w:p>
    <w:p>
      <w:pPr>
        <w:jc w:val="both"/>
        <w:ind w:left="260" w:right="420"/>
        <w:spacing w:after="0" w:line="23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name(s) appear(s) hereon. When shares are held jointly, each holder should sign. When signing as attorney, executor, administrator, guardian,</w:t>
      </w:r>
      <w:r>
        <w:rPr>
          <w:rFonts w:ascii="Arial" w:cs="Arial" w:eastAsia="Arial" w:hAnsi="Arial"/>
          <w:sz w:val="14"/>
          <w:szCs w:val="14"/>
          <w:b w:val="1"/>
          <w:bCs w:val="1"/>
          <w:color w:val="auto"/>
        </w:rPr>
        <w:t xml:space="preserve"> </w:t>
      </w:r>
      <w:r>
        <w:rPr>
          <w:rFonts w:ascii="Arial" w:cs="Arial" w:eastAsia="Arial" w:hAnsi="Arial"/>
          <w:sz w:val="14"/>
          <w:szCs w:val="14"/>
          <w:color w:val="auto"/>
        </w:rPr>
        <w:t>trustee, custodian, or in any other representative capacity, give full title as such. Corporations should provide the full name of corporation and name and title of the authorized officer signing the proxy card.</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460"/>
        <w:spacing w:after="0"/>
        <w:tabs>
          <w:tab w:leader="none" w:pos="3640" w:val="left"/>
          <w:tab w:leader="none" w:pos="6520" w:val="left"/>
          <w:tab w:leader="none" w:pos="98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60" w:right="212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Proxy Statement, Notice of 2018 Annual Meeting of Shareholders and Annual Report are available at </w:t>
      </w:r>
      <w:r>
        <w:rPr>
          <w:rFonts w:ascii="Arial" w:cs="Arial" w:eastAsia="Arial" w:hAnsi="Arial"/>
          <w:sz w:val="18"/>
          <w:szCs w:val="18"/>
          <w:i w:val="1"/>
          <w:iCs w:val="1"/>
          <w:color w:val="auto"/>
        </w:rPr>
        <w:t>www.proxyvote</w:t>
      </w:r>
      <w:r>
        <w:rPr>
          <w:rFonts w:ascii="Arial" w:cs="Arial" w:eastAsia="Arial" w:hAnsi="Arial"/>
          <w:sz w:val="18"/>
          <w:szCs w:val="18"/>
          <w:color w:val="auto"/>
        </w:rPr>
        <w:t>.</w:t>
      </w:r>
      <w:r>
        <w:rPr>
          <w:rFonts w:ascii="Arial" w:cs="Arial" w:eastAsia="Arial" w:hAnsi="Arial"/>
          <w:sz w:val="18"/>
          <w:szCs w:val="18"/>
          <w:i w:val="1"/>
          <w:iCs w:val="1"/>
          <w:color w:val="auto"/>
        </w:rPr>
        <w: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VOTE TODAY!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REVERSE SIDE FOR THREE EASY WAYS TO VOTE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 — — — — — — — — — — — — — — — — — — — — — — — — — — —</w:t>
      </w:r>
    </w:p>
    <w:p>
      <w:pPr>
        <w:jc w:val="center"/>
        <w:spacing w:after="0"/>
        <w:rPr>
          <w:sz w:val="20"/>
          <w:szCs w:val="20"/>
          <w:color w:val="auto"/>
        </w:rPr>
      </w:pPr>
      <w:r>
        <w:rPr>
          <w:rFonts w:ascii="Arial" w:cs="Arial" w:eastAsia="Arial" w:hAnsi="Arial"/>
          <w:sz w:val="18"/>
          <w:szCs w:val="18"/>
          <w:color w:val="auto"/>
        </w:rPr>
        <w:t>— — — — — — — — — — — — — — — — — — — — —</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E44394-P05180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93345</wp:posOffset>
            </wp:positionV>
            <wp:extent cx="7233285" cy="30657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33285"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 E N E R A L M O T O R 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61" w:lineRule="exact"/>
        <w:rPr>
          <w:sz w:val="20"/>
          <w:szCs w:val="20"/>
          <w:color w:val="auto"/>
        </w:rPr>
      </w:pPr>
    </w:p>
    <w:p>
      <w:pPr>
        <w:jc w:val="both"/>
        <w:ind w:left="280" w:right="260"/>
        <w:spacing w:after="0" w:line="236" w:lineRule="auto"/>
        <w:rPr>
          <w:sz w:val="20"/>
          <w:szCs w:val="20"/>
          <w:color w:val="auto"/>
        </w:rPr>
      </w:pPr>
      <w:r>
        <w:rPr>
          <w:rFonts w:ascii="Arial" w:cs="Arial" w:eastAsia="Arial" w:hAnsi="Arial"/>
          <w:sz w:val="18"/>
          <w:szCs w:val="18"/>
          <w:color w:val="auto"/>
        </w:rPr>
        <w:t>The undersigned shareholder(s) of General Motors Company authorize(s) Mary T. Barra, Daniel Ammann, and Charles K. Stevens, III, and each of them as proxies with full power of substitution, to vote the common stock of the undersigned in the manner specified on this proxy card and in their discretion upon all other matters that may come before the 2018 Annual Meeting of Shareholders of General Motors Company, to be held at 9:30 a.m. Eastern Time on June 12, 2018 or any adjournment or postponement thereof. The undersigned hereby revokes all proxies previously given.</w:t>
      </w:r>
    </w:p>
    <w:p>
      <w:pPr>
        <w:spacing w:after="0" w:line="135" w:lineRule="exact"/>
        <w:rPr>
          <w:sz w:val="20"/>
          <w:szCs w:val="20"/>
          <w:color w:val="auto"/>
        </w:rPr>
      </w:pPr>
    </w:p>
    <w:p>
      <w:pPr>
        <w:jc w:val="both"/>
        <w:ind w:left="280" w:right="260"/>
        <w:spacing w:after="0" w:line="249" w:lineRule="auto"/>
        <w:rPr>
          <w:sz w:val="20"/>
          <w:szCs w:val="20"/>
          <w:color w:val="auto"/>
        </w:rPr>
      </w:pPr>
      <w:r>
        <w:rPr>
          <w:rFonts w:ascii="Arial" w:cs="Arial" w:eastAsia="Arial" w:hAnsi="Arial"/>
          <w:sz w:val="18"/>
          <w:szCs w:val="18"/>
          <w:b w:val="1"/>
          <w:bCs w:val="1"/>
          <w:color w:val="auto"/>
        </w:rPr>
        <w:t xml:space="preserve">On matters for which you do not specify a choice, the shares will be voted in accordance with the recommendation of the Board of Directors; therefore, if no direction is made, this proxy will be voted FOR </w:t>
      </w:r>
      <w:r>
        <w:rPr>
          <w:rFonts w:ascii="Arial" w:cs="Arial" w:eastAsia="Arial" w:hAnsi="Arial"/>
          <w:sz w:val="18"/>
          <w:szCs w:val="18"/>
          <w:b w:val="1"/>
          <w:bCs w:val="1"/>
          <w:u w:val="single" w:color="auto"/>
          <w:color w:val="auto"/>
        </w:rPr>
        <w:t>ALL</w:t>
      </w:r>
      <w:r>
        <w:rPr>
          <w:rFonts w:ascii="Arial" w:cs="Arial" w:eastAsia="Arial" w:hAnsi="Arial"/>
          <w:sz w:val="18"/>
          <w:szCs w:val="18"/>
          <w:b w:val="1"/>
          <w:bCs w:val="1"/>
          <w:color w:val="auto"/>
        </w:rPr>
        <w:t xml:space="preserve"> of General Motors Company’s director nominees in Item 1; FOR Items 2 and 3; and AGAINST Items 4 through 6.</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YOUR VOTE IS VERY IMPORTANT - PLEASE VOTE TODAY</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see the reverse side for Internet, telephone and in person voting instructions.</w:t>
      </w:r>
    </w:p>
    <w:p>
      <w:pPr>
        <w:spacing w:after="0" w:line="138" w:lineRule="exact"/>
        <w:rPr>
          <w:sz w:val="20"/>
          <w:szCs w:val="20"/>
          <w:color w:val="auto"/>
        </w:rPr>
      </w:pPr>
    </w:p>
    <w:p>
      <w:pPr>
        <w:ind w:left="2860"/>
        <w:spacing w:after="0"/>
        <w:rPr>
          <w:sz w:val="20"/>
          <w:szCs w:val="20"/>
          <w:color w:val="auto"/>
        </w:rPr>
      </w:pPr>
      <w:r>
        <w:rPr>
          <w:rFonts w:ascii="Arial" w:cs="Arial" w:eastAsia="Arial" w:hAnsi="Arial"/>
          <w:sz w:val="18"/>
          <w:szCs w:val="18"/>
          <w:b w:val="1"/>
          <w:bCs w:val="1"/>
          <w:i w:val="1"/>
          <w:iCs w:val="1"/>
          <w:color w:val="auto"/>
        </w:rPr>
        <w:t>(Continued and to be marked, signed, and dated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lvl w:ilvl="1">
      <w:lvlJc w:val="left"/>
      <w:lvlText w:val="(%2)"/>
      <w:numFmt w:val="decimal"/>
      <w:start w:val="1"/>
    </w:lvl>
  </w:abstractNum>
  <w:abstractNum w:abstractNumId="5">
    <w:nsid w:val="6A5EE64"/>
    <w:multiLevelType w:val="hybridMultilevel"/>
    <w:lvl w:ilvl="0">
      <w:lvlJc w:val="left"/>
      <w:lvlText w:val="u"/>
      <w:numFmt w:val="bullet"/>
      <w:start w:val="1"/>
    </w:lvl>
  </w:abstractNum>
  <w:abstractNum w:abstractNumId="6">
    <w:nsid w:val="14330624"/>
    <w:multiLevelType w:val="hybridMultilevel"/>
    <w:lvl w:ilvl="0">
      <w:lvlJc w:val="left"/>
      <w:lvlText w:val="\endash "/>
      <w:numFmt w:val="bullet"/>
      <w:start w:val="1"/>
    </w:lvl>
  </w:abstractNum>
  <w:abstractNum w:abstractNumId="7">
    <w:nsid w:val="7FFFCA11"/>
    <w:multiLevelType w:val="hybridMultilevel"/>
    <w:lvl w:ilvl="0">
      <w:lvlJc w:val="left"/>
      <w:lvlText w:val="u"/>
      <w:numFmt w:val="bullet"/>
      <w:start w:val="1"/>
    </w:lvl>
  </w:abstractNum>
  <w:abstractNum w:abstractNumId="8">
    <w:nsid w:val="1A27709E"/>
    <w:multiLevelType w:val="hybridMultilevel"/>
    <w:lvl w:ilvl="0">
      <w:lvlJc w:val="left"/>
      <w:lvlText w:val="u"/>
      <w:numFmt w:val="bullet"/>
      <w:start w:val="1"/>
    </w:lvl>
  </w:abstractNum>
  <w:abstractNum w:abstractNumId="9">
    <w:nsid w:val="71EA1109"/>
    <w:multiLevelType w:val="hybridMultilevel"/>
    <w:lvl w:ilvl="0">
      <w:lvlJc w:val="left"/>
      <w:lvlText w:val="u"/>
      <w:numFmt w:val="bullet"/>
      <w:start w:val="1"/>
    </w:lvl>
  </w:abstractNum>
  <w:abstractNum w:abstractNumId="10">
    <w:nsid w:val="100F59DC"/>
    <w:multiLevelType w:val="hybridMultilevel"/>
    <w:lvl w:ilvl="0">
      <w:lvlJc w:val="left"/>
      <w:lvlText w:val="u"/>
      <w:numFmt w:val="bullet"/>
      <w:start w:val="1"/>
    </w:lvl>
  </w:abstractNum>
  <w:abstractNum w:abstractNumId="11">
    <w:nsid w:val="7FB7E0AA"/>
    <w:multiLevelType w:val="hybridMultilevel"/>
    <w:lvl w:ilvl="0">
      <w:lvlJc w:val="left"/>
      <w:lvlText w:val="u"/>
      <w:numFmt w:val="bullet"/>
      <w:start w:val="1"/>
    </w:lvl>
  </w:abstractNum>
  <w:abstractNum w:abstractNumId="12">
    <w:nsid w:val="6EB5BD4"/>
    <w:multiLevelType w:val="hybridMultilevel"/>
    <w:lvl w:ilvl="0">
      <w:lvlJc w:val="left"/>
      <w:lvlText w:val="u"/>
      <w:numFmt w:val="bullet"/>
      <w:start w:val="1"/>
    </w:lvl>
  </w:abstractNum>
  <w:abstractNum w:abstractNumId="13">
    <w:nsid w:val="6F6DD9AC"/>
    <w:multiLevelType w:val="hybridMultilevel"/>
    <w:lvl w:ilvl="0">
      <w:lvlJc w:val="left"/>
      <w:lvlText w:val="u"/>
      <w:numFmt w:val="bullet"/>
      <w:start w:val="1"/>
    </w:lvl>
  </w:abstractNum>
  <w:abstractNum w:abstractNumId="14">
    <w:nsid w:val="94211F2"/>
    <w:multiLevelType w:val="hybridMultilevel"/>
    <w:lvl w:ilvl="0">
      <w:lvlJc w:val="left"/>
      <w:lvlText w:val="u"/>
      <w:numFmt w:val="bullet"/>
      <w:start w:val="1"/>
    </w:lvl>
  </w:abstractNum>
  <w:abstractNum w:abstractNumId="15">
    <w:nsid w:val="885E1B"/>
    <w:multiLevelType w:val="hybridMultilevel"/>
    <w:lvl w:ilvl="0">
      <w:lvlJc w:val="left"/>
      <w:lvlText w:val="u"/>
      <w:numFmt w:val="bullet"/>
      <w:start w:val="1"/>
    </w:lvl>
  </w:abstractNum>
  <w:abstractNum w:abstractNumId="16">
    <w:nsid w:val="76272110"/>
    <w:multiLevelType w:val="hybridMultilevel"/>
    <w:lvl w:ilvl="0">
      <w:lvlJc w:val="left"/>
      <w:lvlText w:val="u"/>
      <w:numFmt w:val="bullet"/>
      <w:start w:val="1"/>
    </w:lvl>
  </w:abstractNum>
  <w:abstractNum w:abstractNumId="17">
    <w:nsid w:val="4C04A8AF"/>
    <w:multiLevelType w:val="hybridMultilevel"/>
    <w:lvl w:ilvl="0">
      <w:lvlJc w:val="left"/>
      <w:lvlText w:val="u"/>
      <w:numFmt w:val="bullet"/>
      <w:start w:val="1"/>
    </w:lvl>
  </w:abstractNum>
  <w:abstractNum w:abstractNumId="18">
    <w:nsid w:val="1716703B"/>
    <w:multiLevelType w:val="hybridMultilevel"/>
    <w:lvl w:ilvl="0">
      <w:lvlJc w:val="left"/>
      <w:lvlText w:val="u"/>
      <w:numFmt w:val="bullet"/>
      <w:start w:val="1"/>
    </w:lvl>
  </w:abstractNum>
  <w:abstractNum w:abstractNumId="19">
    <w:nsid w:val="14E17E33"/>
    <w:multiLevelType w:val="hybridMultilevel"/>
    <w:lvl w:ilvl="0">
      <w:lvlJc w:val="left"/>
      <w:lvlText w:val="u"/>
      <w:numFmt w:val="bullet"/>
      <w:start w:val="1"/>
    </w:lvl>
  </w:abstractNum>
  <w:abstractNum w:abstractNumId="20">
    <w:nsid w:val="3222E7CD"/>
    <w:multiLevelType w:val="hybridMultilevel"/>
    <w:lvl w:ilvl="0">
      <w:lvlJc w:val="left"/>
      <w:lvlText w:val="u"/>
      <w:numFmt w:val="bullet"/>
      <w:start w:val="1"/>
    </w:lvl>
  </w:abstractNum>
  <w:abstractNum w:abstractNumId="21">
    <w:nsid w:val="74DE0EE3"/>
    <w:multiLevelType w:val="hybridMultilevel"/>
    <w:lvl w:ilvl="0">
      <w:lvlJc w:val="left"/>
      <w:lvlText w:val="u"/>
      <w:numFmt w:val="bullet"/>
      <w:start w:val="1"/>
    </w:lvl>
  </w:abstractNum>
  <w:abstractNum w:abstractNumId="22">
    <w:nsid w:val="68EBC550"/>
    <w:multiLevelType w:val="hybridMultilevel"/>
    <w:lvl w:ilvl="0">
      <w:lvlJc w:val="left"/>
      <w:lvlText w:val="u"/>
      <w:numFmt w:val="bullet"/>
      <w:start w:val="1"/>
    </w:lvl>
  </w:abstractNum>
  <w:abstractNum w:abstractNumId="23">
    <w:nsid w:val="2DF6D648"/>
    <w:multiLevelType w:val="hybridMultilevel"/>
    <w:lvl w:ilvl="0">
      <w:lvlJc w:val="left"/>
      <w:lvlText w:val="u"/>
      <w:numFmt w:val="bullet"/>
      <w:start w:val="1"/>
    </w:lvl>
  </w:abstractNum>
  <w:abstractNum w:abstractNumId="24">
    <w:nsid w:val="46B7D447"/>
    <w:multiLevelType w:val="hybridMultilevel"/>
    <w:lvl w:ilvl="0">
      <w:lvlJc w:val="left"/>
      <w:lvlText w:val="u"/>
      <w:numFmt w:val="bullet"/>
      <w:start w:val="1"/>
    </w:lvl>
  </w:abstractNum>
  <w:abstractNum w:abstractNumId="25">
    <w:nsid w:val="4A2AC315"/>
    <w:multiLevelType w:val="hybridMultilevel"/>
    <w:lvl w:ilvl="0">
      <w:lvlJc w:val="left"/>
      <w:lvlText w:val="u"/>
      <w:numFmt w:val="bullet"/>
      <w:start w:val="1"/>
    </w:lvl>
  </w:abstractNum>
  <w:abstractNum w:abstractNumId="26">
    <w:nsid w:val="39EE015C"/>
    <w:multiLevelType w:val="hybridMultilevel"/>
    <w:lvl w:ilvl="0">
      <w:lvlJc w:val="left"/>
      <w:lvlText w:val="u"/>
      <w:numFmt w:val="bullet"/>
      <w:start w:val="1"/>
    </w:lvl>
  </w:abstractNum>
  <w:abstractNum w:abstractNumId="27">
    <w:nsid w:val="57FC4FBB"/>
    <w:multiLevelType w:val="hybridMultilevel"/>
    <w:lvl w:ilvl="0">
      <w:lvlJc w:val="left"/>
      <w:lvlText w:val="u"/>
      <w:numFmt w:val="bullet"/>
      <w:start w:val="1"/>
    </w:lvl>
  </w:abstractNum>
  <w:abstractNum w:abstractNumId="28">
    <w:nsid w:val="CC1016F"/>
    <w:multiLevelType w:val="hybridMultilevel"/>
    <w:lvl w:ilvl="0">
      <w:lvlJc w:val="left"/>
      <w:lvlText w:val="u"/>
      <w:numFmt w:val="bullet"/>
      <w:start w:val="1"/>
    </w:lvl>
  </w:abstractNum>
  <w:abstractNum w:abstractNumId="29">
    <w:nsid w:val="43F18422"/>
    <w:multiLevelType w:val="hybridMultilevel"/>
    <w:lvl w:ilvl="0">
      <w:lvlJc w:val="left"/>
      <w:lvlText w:val="u"/>
      <w:numFmt w:val="bullet"/>
      <w:start w:val="1"/>
    </w:lvl>
  </w:abstractNum>
  <w:abstractNum w:abstractNumId="30">
    <w:nsid w:val="60EF0119"/>
    <w:multiLevelType w:val="hybridMultilevel"/>
    <w:lvl w:ilvl="0">
      <w:lvlJc w:val="left"/>
      <w:lvlText w:val="u"/>
      <w:numFmt w:val="bullet"/>
      <w:start w:val="1"/>
    </w:lvl>
  </w:abstractNum>
  <w:abstractNum w:abstractNumId="31">
    <w:nsid w:val="26F324BA"/>
    <w:multiLevelType w:val="hybridMultilevel"/>
    <w:lvl w:ilvl="0">
      <w:lvlJc w:val="left"/>
      <w:lvlText w:val="u"/>
      <w:numFmt w:val="bullet"/>
      <w:start w:val="1"/>
    </w:lvl>
  </w:abstractNum>
  <w:abstractNum w:abstractNumId="32">
    <w:nsid w:val="7F01579B"/>
    <w:multiLevelType w:val="hybridMultilevel"/>
    <w:lvl w:ilvl="0">
      <w:lvlJc w:val="left"/>
      <w:lvlText w:val="(%1)"/>
      <w:numFmt w:val="decimal"/>
      <w:start w:val="1"/>
    </w:lvl>
  </w:abstractNum>
  <w:abstractNum w:abstractNumId="33">
    <w:nsid w:val="49DA307D"/>
    <w:multiLevelType w:val="hybridMultilevel"/>
    <w:lvl w:ilvl="0">
      <w:lvlJc w:val="left"/>
      <w:lvlText w:val="u"/>
      <w:numFmt w:val="bullet"/>
      <w:start w:val="1"/>
    </w:lvl>
  </w:abstractNum>
  <w:abstractNum w:abstractNumId="34">
    <w:nsid w:val="7055A5F5"/>
    <w:multiLevelType w:val="hybridMultilevel"/>
    <w:lvl w:ilvl="0">
      <w:lvlJc w:val="left"/>
      <w:lvlText w:val="(%1)"/>
      <w:numFmt w:val="decimal"/>
      <w:start w:val="1"/>
    </w:lvl>
  </w:abstractNum>
  <w:abstractNum w:abstractNumId="35">
    <w:nsid w:val="5FB8370B"/>
    <w:multiLevelType w:val="hybridMultilevel"/>
    <w:lvl w:ilvl="0">
      <w:lvlJc w:val="left"/>
      <w:lvlText w:val="%1"/>
      <w:numFmt w:val="decimal"/>
      <w:start w:val="1"/>
    </w:lvl>
    <w:lvl w:ilvl="1">
      <w:lvlJc w:val="left"/>
      <w:lvlText w:val="(%2)"/>
      <w:numFmt w:val="lowerLetter"/>
      <w:start w:val="1"/>
    </w:lvl>
  </w:abstractNum>
  <w:abstractNum w:abstractNumId="36">
    <w:nsid w:val="50801EE1"/>
    <w:multiLevelType w:val="hybridMultilevel"/>
    <w:lvl w:ilvl="0">
      <w:lvlJc w:val="left"/>
      <w:lvlText w:val="(%1)"/>
      <w:numFmt w:val="decimal"/>
      <w:start w:val="4"/>
    </w:lvl>
    <w:lvl w:ilvl="1">
      <w:lvlJc w:val="left"/>
      <w:lvlText w:val="%2"/>
      <w:numFmt w:val="lowerLetter"/>
      <w:start w:val="1"/>
    </w:lvl>
  </w:abstractNum>
  <w:abstractNum w:abstractNumId="37">
    <w:nsid w:val="488AC1A"/>
    <w:multiLevelType w:val="hybridMultilevel"/>
    <w:lvl w:ilvl="0">
      <w:lvlJc w:val="left"/>
      <w:lvlText w:val="u"/>
      <w:numFmt w:val="bullet"/>
      <w:start w:val="1"/>
    </w:lvl>
  </w:abstractNum>
  <w:abstractNum w:abstractNumId="38">
    <w:nsid w:val="5FB8011C"/>
    <w:multiLevelType w:val="hybridMultilevel"/>
    <w:lvl w:ilvl="0">
      <w:lvlJc w:val="left"/>
      <w:lvlText w:val="u"/>
      <w:numFmt w:val="bullet"/>
      <w:start w:val="1"/>
    </w:lvl>
  </w:abstractNum>
  <w:abstractNum w:abstractNumId="39">
    <w:nsid w:val="6AA78F7F"/>
    <w:multiLevelType w:val="hybridMultilevel"/>
    <w:lvl w:ilvl="0">
      <w:lvlJc w:val="left"/>
      <w:lvlText w:val="u"/>
      <w:numFmt w:val="bullet"/>
      <w:start w:val="1"/>
    </w:lvl>
  </w:abstractNum>
  <w:abstractNum w:abstractNumId="40">
    <w:nsid w:val="7672BD23"/>
    <w:multiLevelType w:val="hybridMultilevel"/>
    <w:lvl w:ilvl="0">
      <w:lvlJc w:val="left"/>
      <w:lvlText w:val="u"/>
      <w:numFmt w:val="bullet"/>
      <w:start w:val="1"/>
    </w:lvl>
  </w:abstractNum>
  <w:abstractNum w:abstractNumId="41">
    <w:nsid w:val="6FC75AF8"/>
    <w:multiLevelType w:val="hybridMultilevel"/>
    <w:lvl w:ilvl="0">
      <w:lvlJc w:val="left"/>
      <w:lvlText w:val="u"/>
      <w:numFmt w:val="bullet"/>
      <w:start w:val="1"/>
    </w:lvl>
  </w:abstractNum>
  <w:abstractNum w:abstractNumId="42">
    <w:nsid w:val="6A5F7029"/>
    <w:multiLevelType w:val="hybridMultilevel"/>
    <w:lvl w:ilvl="0">
      <w:lvlJc w:val="left"/>
      <w:lvlText w:val="u"/>
      <w:numFmt w:val="bullet"/>
      <w:start w:val="1"/>
    </w:lvl>
  </w:abstractNum>
  <w:abstractNum w:abstractNumId="43">
    <w:nsid w:val="7D5E18F8"/>
    <w:multiLevelType w:val="hybridMultilevel"/>
    <w:lvl w:ilvl="0">
      <w:lvlJc w:val="left"/>
      <w:lvlText w:val="u"/>
      <w:numFmt w:val="bullet"/>
      <w:start w:val="1"/>
    </w:lvl>
  </w:abstractNum>
  <w:abstractNum w:abstractNumId="44">
    <w:nsid w:val="5F3534A4"/>
    <w:multiLevelType w:val="hybridMultilevel"/>
    <w:lvl w:ilvl="0">
      <w:lvlJc w:val="left"/>
      <w:lvlText w:val="u"/>
      <w:numFmt w:val="bullet"/>
      <w:start w:val="1"/>
    </w:lvl>
  </w:abstractNum>
  <w:abstractNum w:abstractNumId="45">
    <w:nsid w:val="73A1821B"/>
    <w:multiLevelType w:val="hybridMultilevel"/>
    <w:lvl w:ilvl="0">
      <w:lvlJc w:val="left"/>
      <w:lvlText w:val="u"/>
      <w:numFmt w:val="bullet"/>
      <w:start w:val="1"/>
    </w:lvl>
  </w:abstractNum>
  <w:abstractNum w:abstractNumId="46">
    <w:nsid w:val="7DE67713"/>
    <w:multiLevelType w:val="hybridMultilevel"/>
    <w:lvl w:ilvl="0">
      <w:lvlJc w:val="left"/>
      <w:lvlText w:val="u"/>
      <w:numFmt w:val="bullet"/>
      <w:start w:val="1"/>
    </w:lvl>
  </w:abstractNum>
  <w:abstractNum w:abstractNumId="47">
    <w:nsid w:val="555C55B5"/>
    <w:multiLevelType w:val="hybridMultilevel"/>
    <w:lvl w:ilvl="0">
      <w:lvlJc w:val="left"/>
      <w:lvlText w:val="(%1)"/>
      <w:numFmt w:val="decimal"/>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lowerLetter"/>
      <w:start w:val="1"/>
    </w:lvl>
  </w:abstractNum>
  <w:abstractNum w:abstractNumId="51">
    <w:nsid w:val="71C91298"/>
    <w:multiLevelType w:val="hybridMultilevel"/>
    <w:lvl w:ilvl="0">
      <w:lvlJc w:val="left"/>
      <w:lvlText w:val="u"/>
      <w:numFmt w:val="bullet"/>
      <w:start w:val="1"/>
    </w:lvl>
  </w:abstractNum>
  <w:abstractNum w:abstractNumId="52">
    <w:nsid w:val="9DAF632"/>
    <w:multiLevelType w:val="hybridMultilevel"/>
    <w:lvl w:ilvl="0">
      <w:lvlJc w:val="left"/>
      <w:lvlText w:val="u"/>
      <w:numFmt w:val="bullet"/>
      <w:start w:val="1"/>
    </w:lvl>
  </w:abstractNum>
  <w:abstractNum w:abstractNumId="53">
    <w:nsid w:val="53299938"/>
    <w:multiLevelType w:val="hybridMultilevel"/>
    <w:lvl w:ilvl="0">
      <w:lvlJc w:val="left"/>
      <w:lvlText w:val="u"/>
      <w:numFmt w:val="bullet"/>
      <w:start w:val="1"/>
    </w:lvl>
  </w:abstractNum>
  <w:abstractNum w:abstractNumId="54">
    <w:nsid w:val="1FBFE8E0"/>
    <w:multiLevelType w:val="hybridMultilevel"/>
    <w:lvl w:ilvl="0">
      <w:lvlJc w:val="left"/>
      <w:lvlText w:val="u"/>
      <w:numFmt w:val="bullet"/>
      <w:start w:val="1"/>
    </w:lvl>
  </w:abstractNum>
  <w:abstractNum w:abstractNumId="55">
    <w:nsid w:val="5092CA79"/>
    <w:multiLevelType w:val="hybridMultilevel"/>
    <w:lvl w:ilvl="0">
      <w:lvlJc w:val="left"/>
      <w:lvlText w:val="u"/>
      <w:numFmt w:val="bullet"/>
      <w:start w:val="1"/>
    </w:lvl>
  </w:abstractNum>
  <w:abstractNum w:abstractNumId="56">
    <w:nsid w:val="1D545C4D"/>
    <w:multiLevelType w:val="hybridMultilevel"/>
    <w:lvl w:ilvl="0">
      <w:lvlJc w:val="left"/>
      <w:lvlText w:val="(%1)"/>
      <w:numFmt w:val="decimal"/>
      <w:start w:val="1"/>
    </w:lvl>
  </w:abstractNum>
  <w:abstractNum w:abstractNumId="57">
    <w:nsid w:val="59ADEA3D"/>
    <w:multiLevelType w:val="hybridMultilevel"/>
    <w:lvl w:ilvl="0">
      <w:lvlJc w:val="left"/>
      <w:lvlText w:val="u"/>
      <w:numFmt w:val="bullet"/>
      <w:start w:val="1"/>
    </w:lvl>
  </w:abstractNum>
  <w:abstractNum w:abstractNumId="58">
    <w:nsid w:val="288F1A34"/>
    <w:multiLevelType w:val="hybridMultilevel"/>
    <w:lvl w:ilvl="0">
      <w:lvlJc w:val="left"/>
      <w:lvlText w:val="ü"/>
      <w:numFmt w:val="bullet"/>
      <w:start w:val="1"/>
    </w:lvl>
  </w:abstractNum>
  <w:abstractNum w:abstractNumId="59">
    <w:nsid w:val="2A155DBC"/>
    <w:multiLevelType w:val="hybridMultilevel"/>
    <w:lvl w:ilvl="0">
      <w:lvlJc w:val="left"/>
      <w:lvlText w:val="û"/>
      <w:numFmt w:val="bullet"/>
      <w:start w:val="1"/>
    </w:lvl>
  </w:abstractNum>
  <w:abstractNum w:abstractNumId="60">
    <w:nsid w:val="1D9F6E5F"/>
    <w:multiLevelType w:val="hybridMultilevel"/>
    <w:lvl w:ilvl="0">
      <w:lvlJc w:val="left"/>
      <w:lvlText w:val="u"/>
      <w:numFmt w:val="bullet"/>
      <w:start w:val="1"/>
    </w:lvl>
  </w:abstractNum>
  <w:abstractNum w:abstractNumId="61">
    <w:nsid w:val="97E1B4E"/>
    <w:multiLevelType w:val="hybridMultilevel"/>
    <w:lvl w:ilvl="0">
      <w:lvlJc w:val="left"/>
      <w:lvlText w:val="u"/>
      <w:numFmt w:val="bullet"/>
      <w:start w:val="1"/>
    </w:lvl>
  </w:abstractNum>
  <w:abstractNum w:abstractNumId="62">
    <w:nsid w:val="51088277"/>
    <w:multiLevelType w:val="hybridMultilevel"/>
    <w:lvl w:ilvl="0">
      <w:lvlJc w:val="left"/>
      <w:lvlText w:val="u"/>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
      <w:numFmt w:val="bullet"/>
      <w:start w:val="1"/>
    </w:lvl>
  </w:abstractNum>
  <w:abstractNum w:abstractNumId="65">
    <w:nsid w:val="415E286C"/>
    <w:multiLevelType w:val="hybridMultilevel"/>
    <w:lvl w:ilvl="0">
      <w:lvlJc w:val="left"/>
      <w:lvlText w:val="(%1)"/>
      <w:numFmt w:val="decimal"/>
      <w:start w:val="1"/>
    </w:lvl>
  </w:abstractNum>
  <w:abstractNum w:abstractNumId="66">
    <w:nsid w:val="7C58FD05"/>
    <w:multiLevelType w:val="hybridMultilevel"/>
    <w:lvl w:ilvl="0">
      <w:lvlJc w:val="left"/>
      <w:lvlText w:val="u"/>
      <w:numFmt w:val="bullet"/>
      <w:start w:val="1"/>
    </w:lvl>
  </w:abstractNum>
  <w:abstractNum w:abstractNumId="67">
    <w:nsid w:val="23D86AAC"/>
    <w:multiLevelType w:val="hybridMultilevel"/>
    <w:lvl w:ilvl="0">
      <w:lvlJc w:val="left"/>
      <w:lvlText w:val="u"/>
      <w:numFmt w:val="bullet"/>
      <w:start w:val="1"/>
    </w:lvl>
  </w:abstractNum>
  <w:abstractNum w:abstractNumId="68">
    <w:nsid w:val="45E6D486"/>
    <w:multiLevelType w:val="hybridMultilevel"/>
    <w:lvl w:ilvl="0">
      <w:lvlJc w:val="left"/>
      <w:lvlText w:val="u"/>
      <w:numFmt w:val="bullet"/>
      <w:start w:val="1"/>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u"/>
      <w:numFmt w:val="bullet"/>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u"/>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u"/>
      <w:numFmt w:val="bullet"/>
      <w:start w:val="1"/>
    </w:lvl>
  </w:abstractNum>
  <w:abstractNum w:abstractNumId="77">
    <w:nsid w:val="379E21B5"/>
    <w:multiLevelType w:val="hybridMultilevel"/>
    <w:lvl w:ilvl="0">
      <w:lvlJc w:val="left"/>
      <w:lvlText w:val="(%1)"/>
      <w:numFmt w:val="decimal"/>
      <w:start w:val="1"/>
    </w:lvl>
  </w:abstractNum>
  <w:abstractNum w:abstractNumId="78">
    <w:nsid w:val="69E373"/>
    <w:multiLevelType w:val="hybridMultilevel"/>
    <w:lvl w:ilvl="0">
      <w:lvlJc w:val="left"/>
      <w:lvlText w:val="u"/>
      <w:numFmt w:val="bullet"/>
      <w:start w:val="1"/>
    </w:lvl>
  </w:abstractNum>
  <w:abstractNum w:abstractNumId="79">
    <w:nsid w:val="2C27173B"/>
    <w:multiLevelType w:val="hybridMultilevel"/>
    <w:lvl w:ilvl="0">
      <w:lvlJc w:val="left"/>
      <w:lvlText w:val="u"/>
      <w:numFmt w:val="bullet"/>
      <w:start w:val="1"/>
    </w:lvl>
  </w:abstractNum>
  <w:abstractNum w:abstractNumId="80">
    <w:nsid w:val="4C9B0904"/>
    <w:multiLevelType w:val="hybridMultilevel"/>
    <w:lvl w:ilvl="0">
      <w:lvlJc w:val="left"/>
      <w:lvlText w:val="(%1)"/>
      <w:numFmt w:val="decimal"/>
      <w:start w:val="1"/>
    </w:lvl>
  </w:abstractNum>
  <w:abstractNum w:abstractNumId="81">
    <w:nsid w:val="6AA7B75C"/>
    <w:multiLevelType w:val="hybridMultilevel"/>
    <w:lvl w:ilvl="0">
      <w:lvlJc w:val="left"/>
      <w:lvlText w:val="u"/>
      <w:numFmt w:val="bullet"/>
      <w:start w:val="1"/>
    </w:lvl>
  </w:abstractNum>
  <w:abstractNum w:abstractNumId="82">
    <w:nsid w:val="1DF029D3"/>
    <w:multiLevelType w:val="hybridMultilevel"/>
    <w:lvl w:ilvl="0">
      <w:lvlJc w:val="left"/>
      <w:lvlText w:val="(%1)"/>
      <w:numFmt w:val="decimal"/>
      <w:start w:val="1"/>
    </w:lvl>
  </w:abstractNum>
  <w:abstractNum w:abstractNumId="83">
    <w:nsid w:val="5675FF36"/>
    <w:multiLevelType w:val="hybridMultilevel"/>
    <w:lvl w:ilvl="0">
      <w:lvlJc w:val="left"/>
      <w:lvlText w:val="u"/>
      <w:numFmt w:val="bullet"/>
      <w:start w:val="1"/>
    </w:lvl>
  </w:abstractNum>
  <w:abstractNum w:abstractNumId="84">
    <w:nsid w:val="3DD15094"/>
    <w:multiLevelType w:val="hybridMultilevel"/>
    <w:lvl w:ilvl="0">
      <w:lvlJc w:val="left"/>
      <w:lvlText w:val="u"/>
      <w:numFmt w:val="bullet"/>
      <w:start w:val="1"/>
    </w:lvl>
  </w:abstractNum>
  <w:abstractNum w:abstractNumId="85">
    <w:nsid w:val="3DB012B3"/>
    <w:multiLevelType w:val="hybridMultilevel"/>
    <w:lvl w:ilvl="0">
      <w:lvlJc w:val="left"/>
      <w:lvlText w:val="(%1)"/>
      <w:numFmt w:val="decimal"/>
      <w:start w:val="1"/>
    </w:lvl>
  </w:abstractNum>
  <w:abstractNum w:abstractNumId="86">
    <w:nsid w:val="2708C9AF"/>
    <w:multiLevelType w:val="hybridMultilevel"/>
    <w:lvl w:ilvl="0">
      <w:lvlJc w:val="left"/>
      <w:lvlText w:val="u"/>
      <w:numFmt w:val="bullet"/>
      <w:start w:val="1"/>
    </w:lvl>
  </w:abstractNum>
  <w:abstractNum w:abstractNumId="87">
    <w:nsid w:val="5B25ACE2"/>
    <w:multiLevelType w:val="hybridMultilevel"/>
    <w:lvl w:ilvl="0">
      <w:lvlJc w:val="left"/>
      <w:lvlText w:val="(%1)"/>
      <w:numFmt w:val="decimal"/>
      <w:start w:val="1"/>
    </w:lvl>
  </w:abstractNum>
  <w:abstractNum w:abstractNumId="88">
    <w:nsid w:val="175DFCF0"/>
    <w:multiLevelType w:val="hybridMultilevel"/>
    <w:lvl w:ilvl="0">
      <w:lvlJc w:val="left"/>
      <w:lvlText w:val="u"/>
      <w:numFmt w:val="bullet"/>
      <w:start w:val="1"/>
    </w:lvl>
  </w:abstractNum>
  <w:abstractNum w:abstractNumId="89">
    <w:nsid w:val="4F97E3E4"/>
    <w:multiLevelType w:val="hybridMultilevel"/>
    <w:lvl w:ilvl="0">
      <w:lvlJc w:val="left"/>
      <w:lvlText w:val="u"/>
      <w:numFmt w:val="bullet"/>
      <w:start w:val="1"/>
    </w:lvl>
  </w:abstractNum>
  <w:abstractNum w:abstractNumId="90">
    <w:nsid w:val="53B0A9E"/>
    <w:multiLevelType w:val="hybridMultilevel"/>
    <w:lvl w:ilvl="0">
      <w:lvlJc w:val="left"/>
      <w:lvlText w:val="(%1)"/>
      <w:numFmt w:val="decimal"/>
      <w:start w:val="1"/>
    </w:lvl>
  </w:abstractNum>
  <w:abstractNum w:abstractNumId="91">
    <w:nsid w:val="34FD6B4F"/>
    <w:multiLevelType w:val="hybridMultilevel"/>
    <w:lvl w:ilvl="0">
      <w:lvlJc w:val="left"/>
      <w:lvlText w:val="u"/>
      <w:numFmt w:val="bullet"/>
      <w:start w:val="1"/>
    </w:lvl>
  </w:abstractNum>
  <w:abstractNum w:abstractNumId="92">
    <w:nsid w:val="5915FF32"/>
    <w:multiLevelType w:val="hybridMultilevel"/>
    <w:lvl w:ilvl="0">
      <w:lvlJc w:val="left"/>
      <w:lvlText w:val="u"/>
      <w:numFmt w:val="bullet"/>
      <w:start w:val="1"/>
    </w:lvl>
  </w:abstractNum>
  <w:abstractNum w:abstractNumId="93">
    <w:nsid w:val="56438D15"/>
    <w:multiLevelType w:val="hybridMultilevel"/>
    <w:lvl w:ilvl="0">
      <w:lvlJc w:val="left"/>
      <w:lvlText w:val="(%1)"/>
      <w:numFmt w:val="decimal"/>
      <w:start w:val="1"/>
    </w:lvl>
  </w:abstractNum>
  <w:abstractNum w:abstractNumId="94">
    <w:nsid w:val="519E3149"/>
    <w:multiLevelType w:val="hybridMultilevel"/>
    <w:lvl w:ilvl="0">
      <w:lvlJc w:val="left"/>
      <w:lvlText w:val="u"/>
      <w:numFmt w:val="bullet"/>
      <w:start w:val="1"/>
    </w:lvl>
  </w:abstractNum>
  <w:abstractNum w:abstractNumId="95">
    <w:nsid w:val="2C6E4AFD"/>
    <w:multiLevelType w:val="hybridMultilevel"/>
    <w:lvl w:ilvl="0">
      <w:lvlJc w:val="left"/>
      <w:lvlText w:val="u"/>
      <w:numFmt w:val="bullet"/>
      <w:start w:val="1"/>
    </w:lvl>
  </w:abstractNum>
  <w:abstractNum w:abstractNumId="96">
    <w:nsid w:val="17A1B582"/>
    <w:multiLevelType w:val="hybridMultilevel"/>
    <w:lvl w:ilvl="0">
      <w:lvlJc w:val="left"/>
      <w:lvlText w:val="(%1)"/>
      <w:numFmt w:val="decimal"/>
      <w:start w:val="1"/>
    </w:lvl>
  </w:abstractNum>
  <w:abstractNum w:abstractNumId="97">
    <w:nsid w:val="4DF72E4E"/>
    <w:multiLevelType w:val="hybridMultilevel"/>
    <w:lvl w:ilvl="0">
      <w:lvlJc w:val="left"/>
      <w:lvlText w:val="u"/>
      <w:numFmt w:val="bullet"/>
      <w:start w:val="1"/>
    </w:lvl>
  </w:abstractNum>
  <w:abstractNum w:abstractNumId="98">
    <w:nsid w:val="5046B5A9"/>
    <w:multiLevelType w:val="hybridMultilevel"/>
    <w:lvl w:ilvl="0">
      <w:lvlJc w:val="left"/>
      <w:lvlText w:val="u"/>
      <w:numFmt w:val="bullet"/>
      <w:start w:val="1"/>
    </w:lvl>
  </w:abstractNum>
  <w:abstractNum w:abstractNumId="99">
    <w:nsid w:val="5D888A08"/>
    <w:multiLevelType w:val="hybridMultilevel"/>
    <w:lvl w:ilvl="0">
      <w:lvlJc w:val="left"/>
      <w:lvlText w:val="(%1)"/>
      <w:numFmt w:val="decimal"/>
      <w:start w:val="1"/>
    </w:lvl>
  </w:abstractNum>
  <w:abstractNum w:abstractNumId="100">
    <w:nsid w:val="2A082C70"/>
    <w:multiLevelType w:val="hybridMultilevel"/>
    <w:lvl w:ilvl="0">
      <w:lvlJc w:val="left"/>
      <w:lvlText w:val="u"/>
      <w:numFmt w:val="bullet"/>
      <w:start w:val="1"/>
    </w:lvl>
  </w:abstractNum>
  <w:abstractNum w:abstractNumId="101">
    <w:nsid w:val="5EC6AFD4"/>
    <w:multiLevelType w:val="hybridMultilevel"/>
    <w:lvl w:ilvl="0">
      <w:lvlJc w:val="left"/>
      <w:lvlText w:val="u"/>
      <w:numFmt w:val="bullet"/>
      <w:start w:val="1"/>
    </w:lvl>
  </w:abstractNum>
  <w:abstractNum w:abstractNumId="102">
    <w:nsid w:val="19E21BB2"/>
    <w:multiLevelType w:val="hybridMultilevel"/>
    <w:lvl w:ilvl="0">
      <w:lvlJc w:val="left"/>
      <w:lvlText w:val="(%1)"/>
      <w:numFmt w:val="decimal"/>
      <w:start w:val="1"/>
    </w:lvl>
  </w:abstractNum>
  <w:abstractNum w:abstractNumId="103">
    <w:nsid w:val="75E0858A"/>
    <w:multiLevelType w:val="hybridMultilevel"/>
    <w:lvl w:ilvl="0">
      <w:lvlJc w:val="left"/>
      <w:lvlText w:val="u"/>
      <w:numFmt w:val="bullet"/>
      <w:start w:val="1"/>
    </w:lvl>
  </w:abstractNum>
  <w:abstractNum w:abstractNumId="104">
    <w:nsid w:val="57A61A29"/>
    <w:multiLevelType w:val="hybridMultilevel"/>
    <w:lvl w:ilvl="0">
      <w:lvlJc w:val="left"/>
      <w:lvlText w:val="(%1)"/>
      <w:numFmt w:val="decimal"/>
      <w:start w:val="1"/>
    </w:lvl>
  </w:abstractNum>
  <w:abstractNum w:abstractNumId="105">
    <w:nsid w:val="5399C654"/>
    <w:multiLevelType w:val="hybridMultilevel"/>
    <w:lvl w:ilvl="0">
      <w:lvlJc w:val="left"/>
      <w:lvlText w:val="u"/>
      <w:numFmt w:val="bullet"/>
      <w:start w:val="1"/>
    </w:lvl>
  </w:abstractNum>
  <w:abstractNum w:abstractNumId="106">
    <w:nsid w:val="20EE1348"/>
    <w:multiLevelType w:val="hybridMultilevel"/>
    <w:lvl w:ilvl="0">
      <w:lvlJc w:val="left"/>
      <w:lvlText w:val="•"/>
      <w:numFmt w:val="bullet"/>
      <w:start w:val="1"/>
    </w:lvl>
  </w:abstractNum>
  <w:abstractNum w:abstractNumId="107">
    <w:nsid w:val="4427069A"/>
    <w:multiLevelType w:val="hybridMultilevel"/>
    <w:lvl w:ilvl="0">
      <w:lvlJc w:val="left"/>
      <w:lvlText w:val="u"/>
      <w:numFmt w:val="bullet"/>
      <w:start w:val="1"/>
    </w:lvl>
  </w:abstractNum>
  <w:abstractNum w:abstractNumId="108">
    <w:nsid w:val="B37E80A"/>
    <w:multiLevelType w:val="hybridMultilevel"/>
    <w:lvl w:ilvl="0">
      <w:lvlJc w:val="left"/>
      <w:lvlText w:val="u"/>
      <w:numFmt w:val="bullet"/>
      <w:start w:val="1"/>
    </w:lvl>
  </w:abstractNum>
  <w:abstractNum w:abstractNumId="109">
    <w:nsid w:val="2157F6BC"/>
    <w:multiLevelType w:val="hybridMultilevel"/>
    <w:lvl w:ilvl="0">
      <w:lvlJc w:val="left"/>
      <w:lvlText w:val="u"/>
      <w:numFmt w:val="bullet"/>
      <w:start w:val="1"/>
    </w:lvl>
  </w:abstractNum>
  <w:abstractNum w:abstractNumId="110">
    <w:nsid w:val="704E1DD5"/>
    <w:multiLevelType w:val="hybridMultilevel"/>
    <w:lvl w:ilvl="0">
      <w:lvlJc w:val="left"/>
      <w:lvlText w:val="u"/>
      <w:numFmt w:val="bullet"/>
      <w:start w:val="1"/>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u"/>
      <w:numFmt w:val="bullet"/>
      <w:start w:val="1"/>
    </w:lvl>
  </w:abstractNum>
  <w:abstractNum w:abstractNumId="113">
    <w:nsid w:val="E3E47A8"/>
    <w:multiLevelType w:val="hybridMultilevel"/>
    <w:lvl w:ilvl="0">
      <w:lvlJc w:val="left"/>
      <w:lvlText w:val="u"/>
      <w:numFmt w:val="bullet"/>
      <w:start w:val="1"/>
    </w:lvl>
  </w:abstractNum>
  <w:abstractNum w:abstractNumId="114">
    <w:nsid w:val="2E48F044"/>
    <w:multiLevelType w:val="hybridMultilevel"/>
    <w:lvl w:ilvl="0">
      <w:lvlJc w:val="left"/>
      <w:lvlText w:val="u"/>
      <w:numFmt w:val="bullet"/>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decimal"/>
      <w:start w:val="5"/>
    </w:lvl>
  </w:abstractNum>
  <w:abstractNum w:abstractNumId="117">
    <w:nsid w:val="5551B9F3"/>
    <w:multiLevelType w:val="hybridMultilevel"/>
    <w:lvl w:ilvl="0">
      <w:lvlJc w:val="left"/>
      <w:lvlText w:val="(%1)"/>
      <w:numFmt w:val="decimal"/>
      <w:start w:val="1"/>
    </w:lvl>
  </w:abstractNum>
  <w:abstractNum w:abstractNumId="118">
    <w:nsid w:val="24F6AB8E"/>
    <w:multiLevelType w:val="hybridMultilevel"/>
    <w:lvl w:ilvl="0">
      <w:lvlJc w:val="left"/>
      <w:lvlText w:val="(%1)"/>
      <w:numFmt w:val="decimal"/>
      <w:start w:val="1"/>
    </w:lvl>
  </w:abstractNum>
  <w:abstractNum w:abstractNumId="119">
    <w:nsid w:val="634C574C"/>
    <w:multiLevelType w:val="hybridMultilevel"/>
    <w:lvl w:ilvl="0">
      <w:lvlJc w:val="left"/>
      <w:lvlText w:val="u"/>
      <w:numFmt w:val="bullet"/>
      <w:start w:val="1"/>
    </w:lvl>
  </w:abstractNum>
  <w:abstractNum w:abstractNumId="120">
    <w:nsid w:val="24E99DD7"/>
    <w:multiLevelType w:val="hybridMultilevel"/>
    <w:lvl w:ilvl="0">
      <w:lvlJc w:val="left"/>
      <w:lvlText w:val="(%1)"/>
      <w:numFmt w:val="decimal"/>
      <w:start w:val="1"/>
    </w:lvl>
  </w:abstractNum>
  <w:abstractNum w:abstractNumId="121">
    <w:nsid w:val="2A31B62D"/>
    <w:multiLevelType w:val="hybridMultilevel"/>
    <w:lvl w:ilvl="0">
      <w:lvlJc w:val="left"/>
      <w:lvlText w:val="u"/>
      <w:numFmt w:val="bullet"/>
      <w:start w:val="1"/>
    </w:lvl>
  </w:abstractNum>
  <w:abstractNum w:abstractNumId="122">
    <w:nsid w:val="1849C29B"/>
    <w:multiLevelType w:val="hybridMultilevel"/>
    <w:lvl w:ilvl="0">
      <w:lvlJc w:val="left"/>
      <w:lvlText w:val="(%1)"/>
      <w:numFmt w:val="decimal"/>
      <w:start w:val="1"/>
    </w:lvl>
  </w:abstractNum>
  <w:abstractNum w:abstractNumId="123">
    <w:nsid w:val="7DFF9D09"/>
    <w:multiLevelType w:val="hybridMultilevel"/>
    <w:lvl w:ilvl="0">
      <w:lvlJc w:val="left"/>
      <w:lvlText w:val="(%1)"/>
      <w:numFmt w:val="decimal"/>
      <w:start w:val="6"/>
    </w:lvl>
  </w:abstractNum>
  <w:abstractNum w:abstractNumId="124">
    <w:nsid w:val="754342"/>
    <w:multiLevelType w:val="hybridMultilevel"/>
    <w:lvl w:ilvl="0">
      <w:lvlJc w:val="left"/>
      <w:lvlText w:val="u"/>
      <w:numFmt w:val="bullet"/>
      <w:start w:val="1"/>
    </w:lvl>
  </w:abstractNum>
  <w:abstractNum w:abstractNumId="125">
    <w:nsid w:val="69E7F3E5"/>
    <w:multiLevelType w:val="hybridMultilevel"/>
    <w:lvl w:ilvl="0">
      <w:lvlJc w:val="left"/>
      <w:lvlText w:val="(%1)"/>
      <w:numFmt w:val="decimal"/>
      <w:start w:val="1"/>
    </w:lvl>
  </w:abstractNum>
  <w:abstractNum w:abstractNumId="126">
    <w:nsid w:val="2A6DE806"/>
    <w:multiLevelType w:val="hybridMultilevel"/>
    <w:lvl w:ilvl="0">
      <w:lvlJc w:val="left"/>
      <w:lvlText w:val="u"/>
      <w:numFmt w:val="bullet"/>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u"/>
      <w:numFmt w:val="bullet"/>
      <w:start w:val="1"/>
    </w:lvl>
  </w:abstractNum>
  <w:abstractNum w:abstractNumId="129">
    <w:nsid w:val="7AB49DAF"/>
    <w:multiLevelType w:val="hybridMultilevel"/>
    <w:lvl w:ilvl="0">
      <w:lvlJc w:val="left"/>
      <w:lvlText w:val="(%1)"/>
      <w:numFmt w:val="decimal"/>
      <w:start w:val="1"/>
    </w:lvl>
  </w:abstractNum>
  <w:abstractNum w:abstractNumId="130">
    <w:nsid w:val="759F82CD"/>
    <w:multiLevelType w:val="hybridMultilevel"/>
    <w:lvl w:ilvl="0">
      <w:lvlJc w:val="left"/>
      <w:lvlText w:val="u"/>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1)"/>
      <w:numFmt w:val="decimal"/>
      <w:start w:val="1"/>
    </w:lvl>
  </w:abstractNum>
  <w:abstractNum w:abstractNumId="134">
    <w:nsid w:val="57C7D42D"/>
    <w:multiLevelType w:val="hybridMultilevel"/>
    <w:lvl w:ilvl="0">
      <w:lvlJc w:val="left"/>
      <w:lvlText w:val="u"/>
      <w:numFmt w:val="bullet"/>
      <w:start w:val="1"/>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1)"/>
      <w:numFmt w:val="decimal"/>
      <w:start w:val="1"/>
    </w:lvl>
    <w:lvl w:ilvl="1">
      <w:lvlJc w:val="left"/>
      <w:lvlText w:val="%2."/>
      <w:numFmt w:val="lowerLetter"/>
      <w:start w:val="1"/>
    </w:lvl>
  </w:abstractNum>
  <w:abstractNum w:abstractNumId="137">
    <w:nsid w:val="78B5E776"/>
    <w:multiLevelType w:val="hybridMultilevel"/>
    <w:lvl w:ilvl="0">
      <w:lvlJc w:val="left"/>
      <w:lvlText w:val="(%1)"/>
      <w:numFmt w:val="decimal"/>
      <w:start w:val="1"/>
    </w:lvl>
  </w:abstractNum>
  <w:abstractNum w:abstractNumId="138">
    <w:nsid w:val="75486E47"/>
    <w:multiLevelType w:val="hybridMultilevel"/>
    <w:lvl w:ilvl="0">
      <w:lvlJc w:val="left"/>
      <w:lvlText w:val="u"/>
      <w:numFmt w:val="bullet"/>
      <w:start w:val="1"/>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1"/>
      <w:numFmt w:val="bullet"/>
      <w:start w:val="1"/>
    </w:lvl>
  </w:abstractNum>
  <w:abstractNum w:abstractNumId="142">
    <w:nsid w:val="46263DEC"/>
    <w:multiLevelType w:val="hybridMultilevel"/>
    <w:lvl w:ilvl="0">
      <w:lvlJc w:val="left"/>
      <w:lvlText w:val="2"/>
      <w:numFmt w:val="bullet"/>
      <w:start w:val="1"/>
    </w:lvl>
  </w:abstractNum>
  <w:abstractNum w:abstractNumId="143">
    <w:nsid w:val="260D8C4A"/>
    <w:multiLevelType w:val="hybridMultilevel"/>
    <w:lvl w:ilvl="0">
      <w:lvlJc w:val="left"/>
      <w:lvlText w:val="3"/>
      <w:numFmt w:val="bullet"/>
      <w:start w:val="1"/>
    </w:lvl>
  </w:abstractNum>
  <w:abstractNum w:abstractNumId="144">
    <w:nsid w:val="73D4D3C4"/>
    <w:multiLevelType w:val="hybridMultilevel"/>
    <w:lvl w:ilvl="0">
      <w:lvlJc w:val="left"/>
      <w:lvlText w:val="u"/>
      <w:numFmt w:val="bullet"/>
      <w:start w:val="1"/>
    </w:lvl>
  </w:abstractNum>
  <w:abstractNum w:abstractNumId="145">
    <w:nsid w:val="746F2E30"/>
    <w:multiLevelType w:val="hybridMultilevel"/>
    <w:lvl w:ilvl="0">
      <w:lvlJc w:val="left"/>
      <w:lvlText w:val="\endash "/>
      <w:numFmt w:val="bullet"/>
      <w:start w:val="1"/>
    </w:lvl>
  </w:abstractNum>
  <w:abstractNum w:abstractNumId="146">
    <w:nsid w:val="6FDE8AF6"/>
    <w:multiLevelType w:val="hybridMultilevel"/>
    <w:lvl w:ilvl="0">
      <w:lvlJc w:val="left"/>
      <w:lvlText w:val="u"/>
      <w:numFmt w:val="bullet"/>
      <w:start w:val="1"/>
    </w:lvl>
  </w:abstractNum>
  <w:abstractNum w:abstractNumId="147">
    <w:nsid w:val="3FC32E20"/>
    <w:multiLevelType w:val="hybridMultilevel"/>
    <w:lvl w:ilvl="0">
      <w:lvlJc w:val="left"/>
      <w:lvlText w:val="(%1)"/>
      <w:numFmt w:val="decimal"/>
      <w:start w:val="1"/>
    </w:lvl>
  </w:abstractNum>
  <w:abstractNum w:abstractNumId="148">
    <w:nsid w:val="49C0E823"/>
    <w:multiLevelType w:val="hybridMultilevel"/>
    <w:lvl w:ilvl="0">
      <w:lvlJc w:val="left"/>
      <w:lvlText w:val="u"/>
      <w:numFmt w:val="bullet"/>
      <w:start w:val="1"/>
    </w:lvl>
  </w:abstractNum>
  <w:abstractNum w:abstractNumId="149">
    <w:nsid w:val="14D53685"/>
    <w:multiLevelType w:val="hybridMultilevel"/>
    <w:lvl w:ilvl="0">
      <w:lvlJc w:val="left"/>
      <w:lvlText w:val="u"/>
      <w:numFmt w:val="bullet"/>
      <w:start w:val="1"/>
    </w:lvl>
  </w:abstractNum>
  <w:abstractNum w:abstractNumId="150">
    <w:nsid w:val="230F856C"/>
    <w:multiLevelType w:val="hybridMultilevel"/>
    <w:lvl w:ilvl="0">
      <w:lvlJc w:val="left"/>
      <w:lvlText w:val="u"/>
      <w:numFmt w:val="bullet"/>
      <w:start w:val="1"/>
    </w:lvl>
  </w:abstractNum>
  <w:abstractNum w:abstractNumId="151">
    <w:nsid w:val="6EAA85FB"/>
    <w:multiLevelType w:val="hybridMultilevel"/>
    <w:lvl w:ilvl="0">
      <w:lvlJc w:val="left"/>
      <w:lvlText w:val="(%1)"/>
      <w:numFmt w:val="lowerLetter"/>
      <w:start w:val="1"/>
    </w:lvl>
  </w:abstractNum>
  <w:abstractNum w:abstractNumId="152">
    <w:nsid w:val="3F06ECB2"/>
    <w:multiLevelType w:val="hybridMultilevel"/>
    <w:lvl w:ilvl="0">
      <w:lvlJc w:val="left"/>
      <w:lvlText w:val="1"/>
      <w:numFmt w:val="bullet"/>
      <w:start w:val="1"/>
    </w:lvl>
  </w:abstractNum>
  <w:abstractNum w:abstractNumId="153">
    <w:nsid w:val="3B594807"/>
    <w:multiLevelType w:val="hybridMultilevel"/>
    <w:lvl w:ilvl="0">
      <w:lvlJc w:val="left"/>
      <w:lvlText w:val="u"/>
      <w:numFmt w:val="bullet"/>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
      <w:numFmt w:val="bullet"/>
      <w:start w:val="1"/>
    </w:lvl>
    <w:lvl w:ilvl="1">
      <w:lvlJc w:val="left"/>
      <w:lvlText w:val="%2."/>
      <w:numFmt w:val="decimal"/>
      <w:start w:val="2"/>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2019-12-07T16:57:04Z</dcterms:created>
  <dcterms:modified xsi:type="dcterms:W3CDTF">2019-12-07T16:57:04Z</dcterms:modified>
</cp:coreProperties>
</file>