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720" w:right="2080" w:hanging="685"/>
        <w:spacing w:after="0" w:line="282" w:lineRule="auto"/>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4"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61" w:lineRule="exact"/>
        <w:rPr>
          <w:sz w:val="24"/>
          <w:szCs w:val="24"/>
          <w:color w:val="auto"/>
        </w:rPr>
      </w:pPr>
    </w:p>
    <w:p>
      <w:pPr>
        <w:ind w:left="720" w:right="2080" w:hanging="685"/>
        <w:spacing w:after="0" w:line="282"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240"/>
          </w:cols>
          <w:pgMar w:left="320" w:top="432" w:right="339" w:bottom="1440" w:gutter="0" w:footer="0" w:header="0"/>
        </w:sectPr>
      </w:pPr>
    </w:p>
    <w:p>
      <w:pPr>
        <w:spacing w:after="0" w:line="135" w:lineRule="exact"/>
        <w:rPr>
          <w:sz w:val="24"/>
          <w:szCs w:val="24"/>
          <w:color w:val="auto"/>
        </w:rPr>
      </w:pPr>
    </w:p>
    <w:p>
      <w:pPr>
        <w:ind w:left="4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188" w:lineRule="exact"/>
        <w:rPr>
          <w:sz w:val="24"/>
          <w:szCs w:val="24"/>
          <w:color w:val="auto"/>
        </w:rPr>
      </w:pPr>
    </w:p>
    <w:p>
      <w:pPr>
        <w:sectPr>
          <w:pgSz w:w="11900" w:h="16838" w:orient="portrait"/>
          <w:cols w:equalWidth="0" w:num="2">
            <w:col w:w="2760" w:space="640"/>
            <w:col w:w="7840"/>
          </w:cols>
          <w:pgMar w:left="320" w:top="432"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1256665</wp:posOffset>
            </wp:positionH>
            <wp:positionV relativeFrom="paragraph">
              <wp:posOffset>168910</wp:posOffset>
            </wp:positionV>
            <wp:extent cx="4637405" cy="283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37405" cy="2832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GENERAL MOTORS COMPANY</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4500" w:type="dxa"/>
            <w:vAlign w:val="bottom"/>
          </w:tcPr>
          <w:p>
            <w:pPr>
              <w:jc w:val="center"/>
              <w:ind w:right="1070"/>
              <w:spacing w:after="0"/>
              <w:rPr>
                <w:sz w:val="20"/>
                <w:szCs w:val="20"/>
                <w:color w:val="auto"/>
              </w:rPr>
            </w:pPr>
            <w:r>
              <w:rPr>
                <w:rFonts w:ascii="Arial" w:cs="Arial" w:eastAsia="Arial" w:hAnsi="Arial"/>
                <w:sz w:val="18"/>
                <w:szCs w:val="18"/>
                <w:b w:val="1"/>
                <w:bCs w:val="1"/>
                <w:color w:val="auto"/>
                <w:w w:val="93"/>
              </w:rPr>
              <w:t>Delaware</w:t>
            </w:r>
          </w:p>
        </w:tc>
        <w:tc>
          <w:tcPr>
            <w:tcW w:w="2500" w:type="dxa"/>
            <w:vAlign w:val="bottom"/>
          </w:tcPr>
          <w:p>
            <w:pPr>
              <w:jc w:val="right"/>
              <w:ind w:right="150"/>
              <w:spacing w:after="0"/>
              <w:rPr>
                <w:sz w:val="20"/>
                <w:szCs w:val="20"/>
                <w:color w:val="auto"/>
              </w:rPr>
            </w:pPr>
            <w:r>
              <w:rPr>
                <w:rFonts w:ascii="Arial" w:cs="Arial" w:eastAsia="Arial" w:hAnsi="Arial"/>
                <w:sz w:val="18"/>
                <w:szCs w:val="18"/>
                <w:b w:val="1"/>
                <w:bCs w:val="1"/>
                <w:color w:val="auto"/>
              </w:rPr>
              <w:t>27-0756180</w:t>
            </w:r>
          </w:p>
        </w:tc>
      </w:tr>
      <w:tr>
        <w:trPr>
          <w:trHeight w:val="256"/>
        </w:trPr>
        <w:tc>
          <w:tcPr>
            <w:tcW w:w="4500" w:type="dxa"/>
            <w:vAlign w:val="bottom"/>
          </w:tcPr>
          <w:p>
            <w:pPr>
              <w:jc w:val="center"/>
              <w:ind w:right="1070"/>
              <w:spacing w:after="0"/>
              <w:rPr>
                <w:sz w:val="20"/>
                <w:szCs w:val="20"/>
                <w:color w:val="auto"/>
              </w:rPr>
            </w:pPr>
            <w:r>
              <w:rPr>
                <w:rFonts w:ascii="Arial" w:cs="Arial" w:eastAsia="Arial" w:hAnsi="Arial"/>
                <w:sz w:val="18"/>
                <w:szCs w:val="18"/>
                <w:i w:val="1"/>
                <w:iCs w:val="1"/>
                <w:color w:val="auto"/>
                <w:w w:val="93"/>
              </w:rPr>
              <w:t>(State or other jurisdiction of</w:t>
            </w:r>
          </w:p>
        </w:tc>
        <w:tc>
          <w:tcPr>
            <w:tcW w:w="2500" w:type="dxa"/>
            <w:vAlign w:val="bottom"/>
          </w:tcPr>
          <w:p>
            <w:pPr>
              <w:jc w:val="center"/>
              <w:ind w:left="10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500" w:type="dxa"/>
            <w:vAlign w:val="bottom"/>
          </w:tcPr>
          <w:p>
            <w:pPr>
              <w:jc w:val="center"/>
              <w:ind w:right="1070"/>
              <w:spacing w:after="0"/>
              <w:rPr>
                <w:sz w:val="20"/>
                <w:szCs w:val="20"/>
                <w:color w:val="auto"/>
              </w:rPr>
            </w:pPr>
            <w:r>
              <w:rPr>
                <w:rFonts w:ascii="Arial" w:cs="Arial" w:eastAsia="Arial" w:hAnsi="Arial"/>
                <w:sz w:val="18"/>
                <w:szCs w:val="18"/>
                <w:i w:val="1"/>
                <w:iCs w:val="1"/>
                <w:color w:val="auto"/>
                <w:w w:val="94"/>
              </w:rPr>
              <w:t>incorporation or organization)</w:t>
            </w:r>
          </w:p>
        </w:tc>
        <w:tc>
          <w:tcPr>
            <w:tcW w:w="2500" w:type="dxa"/>
            <w:vAlign w:val="bottom"/>
          </w:tcPr>
          <w:p>
            <w:pPr>
              <w:jc w:val="center"/>
              <w:ind w:left="107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4500" w:type="dxa"/>
            <w:vAlign w:val="bottom"/>
          </w:tcPr>
          <w:p>
            <w:pPr>
              <w:jc w:val="center"/>
              <w:ind w:right="1070"/>
              <w:spacing w:after="0"/>
              <w:rPr>
                <w:sz w:val="20"/>
                <w:szCs w:val="20"/>
                <w:color w:val="auto"/>
              </w:rPr>
            </w:pPr>
            <w:r>
              <w:rPr>
                <w:rFonts w:ascii="Arial" w:cs="Arial" w:eastAsia="Arial" w:hAnsi="Arial"/>
                <w:sz w:val="18"/>
                <w:szCs w:val="18"/>
                <w:b w:val="1"/>
                <w:bCs w:val="1"/>
                <w:color w:val="auto"/>
                <w:w w:val="91"/>
              </w:rPr>
              <w:t>300 Renaissance Center, Detroit, Michigan</w:t>
            </w:r>
          </w:p>
        </w:tc>
        <w:tc>
          <w:tcPr>
            <w:tcW w:w="2500" w:type="dxa"/>
            <w:vAlign w:val="bottom"/>
          </w:tcPr>
          <w:p>
            <w:pPr>
              <w:jc w:val="right"/>
              <w:ind w:right="150"/>
              <w:spacing w:after="0"/>
              <w:rPr>
                <w:sz w:val="20"/>
                <w:szCs w:val="20"/>
                <w:color w:val="auto"/>
              </w:rPr>
            </w:pPr>
            <w:r>
              <w:rPr>
                <w:rFonts w:ascii="Arial" w:cs="Arial" w:eastAsia="Arial" w:hAnsi="Arial"/>
                <w:sz w:val="18"/>
                <w:szCs w:val="18"/>
                <w:b w:val="1"/>
                <w:bCs w:val="1"/>
                <w:color w:val="auto"/>
              </w:rPr>
              <w:t>48265 -3000</w:t>
            </w:r>
          </w:p>
        </w:tc>
      </w:tr>
      <w:tr>
        <w:trPr>
          <w:trHeight w:val="270"/>
        </w:trPr>
        <w:tc>
          <w:tcPr>
            <w:tcW w:w="4500" w:type="dxa"/>
            <w:vAlign w:val="bottom"/>
          </w:tcPr>
          <w:p>
            <w:pPr>
              <w:jc w:val="center"/>
              <w:ind w:right="10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500" w:type="dxa"/>
            <w:vAlign w:val="bottom"/>
          </w:tcPr>
          <w:p>
            <w:pPr>
              <w:jc w:val="center"/>
              <w:ind w:left="1070"/>
              <w:spacing w:after="0"/>
              <w:rPr>
                <w:sz w:val="20"/>
                <w:szCs w:val="20"/>
                <w:color w:val="auto"/>
              </w:rPr>
            </w:pPr>
            <w:r>
              <w:rPr>
                <w:rFonts w:ascii="Arial" w:cs="Arial" w:eastAsia="Arial" w:hAnsi="Arial"/>
                <w:sz w:val="18"/>
                <w:szCs w:val="18"/>
                <w:i w:val="1"/>
                <w:iCs w:val="1"/>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 667-1500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6" w:lineRule="exact"/>
        <w:rPr>
          <w:sz w:val="24"/>
          <w:szCs w:val="24"/>
          <w:color w:val="auto"/>
        </w:rPr>
      </w:pPr>
    </w:p>
    <w:tbl>
      <w:tblPr>
        <w:tblLayout w:type="fixed"/>
        <w:tblInd w:w="136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3120" w:type="dxa"/>
            <w:vAlign w:val="bottom"/>
            <w:gridSpan w:val="2"/>
          </w:tcPr>
          <w:p>
            <w:pPr>
              <w:jc w:val="center"/>
              <w:ind w:right="1880"/>
              <w:spacing w:after="0"/>
              <w:rPr>
                <w:sz w:val="20"/>
                <w:szCs w:val="20"/>
                <w:color w:val="auto"/>
              </w:rPr>
            </w:pPr>
            <w:r>
              <w:rPr>
                <w:rFonts w:ascii="Arial" w:cs="Arial" w:eastAsia="Arial" w:hAnsi="Arial"/>
                <w:sz w:val="17"/>
                <w:szCs w:val="17"/>
                <w:color w:val="auto"/>
                <w:w w:val="91"/>
              </w:rPr>
              <w:t>Title of each class</w:t>
            </w:r>
          </w:p>
        </w:tc>
        <w:tc>
          <w:tcPr>
            <w:tcW w:w="2260" w:type="dxa"/>
            <w:vAlign w:val="bottom"/>
            <w:gridSpan w:val="2"/>
          </w:tcPr>
          <w:p>
            <w:pPr>
              <w:jc w:val="center"/>
              <w:ind w:right="960"/>
              <w:spacing w:after="0"/>
              <w:rPr>
                <w:sz w:val="20"/>
                <w:szCs w:val="20"/>
                <w:color w:val="auto"/>
              </w:rPr>
            </w:pPr>
            <w:r>
              <w:rPr>
                <w:rFonts w:ascii="Arial" w:cs="Arial" w:eastAsia="Arial" w:hAnsi="Arial"/>
                <w:sz w:val="17"/>
                <w:szCs w:val="17"/>
                <w:color w:val="auto"/>
                <w:w w:val="93"/>
              </w:rPr>
              <w:t>Trading Symbol(s)</w:t>
            </w:r>
          </w:p>
        </w:tc>
        <w:tc>
          <w:tcPr>
            <w:tcW w:w="3060" w:type="dxa"/>
            <w:vAlign w:val="bottom"/>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r>
      <w:tr>
        <w:trPr>
          <w:trHeight w:val="275"/>
        </w:trPr>
        <w:tc>
          <w:tcPr>
            <w:tcW w:w="3620" w:type="dxa"/>
            <w:vAlign w:val="bottom"/>
            <w:gridSpan w:val="3"/>
          </w:tcPr>
          <w:p>
            <w:pPr>
              <w:jc w:val="center"/>
              <w:ind w:right="1380"/>
              <w:spacing w:after="0"/>
              <w:rPr>
                <w:sz w:val="20"/>
                <w:szCs w:val="20"/>
                <w:color w:val="auto"/>
              </w:rPr>
            </w:pPr>
            <w:r>
              <w:rPr>
                <w:rFonts w:ascii="Arial" w:cs="Arial" w:eastAsia="Arial" w:hAnsi="Arial"/>
                <w:sz w:val="17"/>
                <w:szCs w:val="17"/>
                <w:color w:val="auto"/>
                <w:w w:val="92"/>
              </w:rPr>
              <w:t>Common Stock, $0.01 par value</w:t>
            </w:r>
          </w:p>
        </w:tc>
        <w:tc>
          <w:tcPr>
            <w:tcW w:w="2260" w:type="dxa"/>
            <w:vAlign w:val="bottom"/>
            <w:gridSpan w:val="2"/>
          </w:tcPr>
          <w:p>
            <w:pPr>
              <w:jc w:val="center"/>
              <w:ind w:right="940"/>
              <w:spacing w:after="0"/>
              <w:rPr>
                <w:sz w:val="20"/>
                <w:szCs w:val="20"/>
                <w:color w:val="auto"/>
              </w:rPr>
            </w:pPr>
            <w:r>
              <w:rPr>
                <w:rFonts w:ascii="Arial" w:cs="Arial" w:eastAsia="Arial" w:hAnsi="Arial"/>
                <w:sz w:val="17"/>
                <w:szCs w:val="17"/>
                <w:color w:val="auto"/>
              </w:rPr>
              <w:t>GM</w:t>
            </w:r>
          </w:p>
        </w:tc>
        <w:tc>
          <w:tcPr>
            <w:tcW w:w="3060" w:type="dxa"/>
            <w:vAlign w:val="bottom"/>
          </w:tcPr>
          <w:p>
            <w:pPr>
              <w:jc w:val="center"/>
              <w:spacing w:after="0"/>
              <w:rPr>
                <w:sz w:val="20"/>
                <w:szCs w:val="20"/>
                <w:color w:val="auto"/>
              </w:rPr>
            </w:pPr>
            <w:r>
              <w:rPr>
                <w:rFonts w:ascii="Arial" w:cs="Arial" w:eastAsia="Arial" w:hAnsi="Arial"/>
                <w:sz w:val="17"/>
                <w:szCs w:val="17"/>
                <w:color w:val="auto"/>
                <w:w w:val="92"/>
              </w:rPr>
              <w:t>New York Stock Exchange</w:t>
            </w:r>
          </w:p>
        </w:tc>
      </w:tr>
    </w:tbl>
    <w:p>
      <w:pPr>
        <w:spacing w:after="0" w:line="172" w:lineRule="exact"/>
        <w:rPr>
          <w:sz w:val="24"/>
          <w:szCs w:val="24"/>
          <w:color w:val="auto"/>
        </w:rPr>
      </w:pPr>
    </w:p>
    <w:p>
      <w:pPr>
        <w:jc w:val="both"/>
        <w:ind w:firstLine="108"/>
        <w:spacing w:after="0" w:line="21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jc w:val="both"/>
        <w:ind w:firstLine="108"/>
        <w:spacing w:after="0" w:line="215"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jc w:val="both"/>
        <w:ind w:firstLine="81"/>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p>
      <w:pPr>
        <w:ind w:left="120"/>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Non-accelerated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147" w:lineRule="exact"/>
        <w:rPr>
          <w:sz w:val="24"/>
          <w:szCs w:val="24"/>
          <w:color w:val="auto"/>
        </w:rPr>
      </w:pPr>
    </w:p>
    <w:p>
      <w:pPr>
        <w:jc w:val="both"/>
        <w:ind w:firstLine="81"/>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ind w:left="80" w:right="2180"/>
        <w:spacing w:after="0" w:line="28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20, 2020 there were 1,431,076,476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21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Page</w:t>
            </w:r>
          </w:p>
        </w:tc>
      </w:tr>
      <w:tr>
        <w:trPr>
          <w:trHeight w:val="290"/>
        </w:trPr>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00" w:type="dxa"/>
            <w:vAlign w:val="bottom"/>
          </w:tcPr>
          <w:p>
            <w:pPr>
              <w:ind w:left="3320"/>
              <w:spacing w:after="0"/>
              <w:rPr>
                <w:sz w:val="20"/>
                <w:szCs w:val="20"/>
                <w:color w:val="auto"/>
              </w:rPr>
            </w:pPr>
            <w:r>
              <w:rPr>
                <w:rFonts w:ascii="Arial" w:cs="Arial" w:eastAsia="Arial" w:hAnsi="Arial"/>
                <w:sz w:val="18"/>
                <w:szCs w:val="18"/>
                <w:b w:val="1"/>
                <w:bCs w:val="1"/>
                <w:color w:val="auto"/>
              </w:rPr>
              <w:t>PART I</w:t>
            </w:r>
          </w:p>
        </w:tc>
        <w:tc>
          <w:tcPr>
            <w:tcW w:w="16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7"/>
        </w:trPr>
        <w:tc>
          <w:tcPr>
            <w:tcW w:w="880" w:type="dxa"/>
            <w:vAlign w:val="bottom"/>
          </w:tcPr>
          <w:p>
            <w:pPr>
              <w:spacing w:after="0"/>
              <w:rPr>
                <w:sz w:val="2"/>
                <w:szCs w:val="2"/>
                <w:color w:val="auto"/>
              </w:rPr>
            </w:pPr>
          </w:p>
        </w:tc>
        <w:tc>
          <w:tcPr>
            <w:tcW w:w="82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8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Condensed Consolidated Financial Statements</w:t>
            </w:r>
          </w:p>
        </w:tc>
        <w:tc>
          <w:tcPr>
            <w:tcW w:w="2120" w:type="dxa"/>
            <w:vAlign w:val="bottom"/>
            <w:tcBorders>
              <w:bottom w:val="single" w:sz="8" w:color="CCEEFF"/>
            </w:tcBorders>
            <w:gridSpan w:val="3"/>
            <w:shd w:val="clear" w:color="auto" w:fill="CCEEFF"/>
          </w:tcPr>
          <w:p>
            <w:pPr>
              <w:jc w:val="right"/>
              <w:ind w:righ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243"/>
        </w:trPr>
        <w:tc>
          <w:tcPr>
            <w:tcW w:w="880" w:type="dxa"/>
            <w:vAlign w:val="bottom"/>
          </w:tcPr>
          <w:p>
            <w:pPr>
              <w:spacing w:after="0"/>
              <w:rPr>
                <w:sz w:val="21"/>
                <w:szCs w:val="21"/>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Condensed Consolidated Income Statements (Unaudited)</w:t>
            </w: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27"/>
        </w:trPr>
        <w:tc>
          <w:tcPr>
            <w:tcW w:w="880" w:type="dxa"/>
            <w:vAlign w:val="bottom"/>
          </w:tcPr>
          <w:p>
            <w:pPr>
              <w:spacing w:after="0"/>
              <w:rPr>
                <w:sz w:val="2"/>
                <w:szCs w:val="2"/>
                <w:color w:val="auto"/>
              </w:rPr>
            </w:pPr>
          </w:p>
        </w:tc>
        <w:tc>
          <w:tcPr>
            <w:tcW w:w="82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Condensed Consolidated Statements of Comprehensive Income (Unaudited)</w:t>
            </w:r>
          </w:p>
        </w:tc>
        <w:tc>
          <w:tcPr>
            <w:tcW w:w="2120" w:type="dxa"/>
            <w:vAlign w:val="bottom"/>
            <w:tcBorders>
              <w:bottom w:val="single" w:sz="8" w:color="CCEEFF"/>
            </w:tcBorders>
            <w:gridSpan w:val="3"/>
            <w:shd w:val="clear" w:color="auto" w:fill="CCEEFF"/>
          </w:tcPr>
          <w:p>
            <w:pPr>
              <w:jc w:val="right"/>
              <w:ind w:righ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243"/>
        </w:trPr>
        <w:tc>
          <w:tcPr>
            <w:tcW w:w="880" w:type="dxa"/>
            <w:vAlign w:val="bottom"/>
          </w:tcPr>
          <w:p>
            <w:pPr>
              <w:spacing w:after="0"/>
              <w:rPr>
                <w:sz w:val="21"/>
                <w:szCs w:val="21"/>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Condensed Consolidated Balance Sheets (Unaudited)</w:t>
            </w: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r>
      <w:tr>
        <w:trPr>
          <w:trHeight w:val="27"/>
        </w:trPr>
        <w:tc>
          <w:tcPr>
            <w:tcW w:w="880" w:type="dxa"/>
            <w:vAlign w:val="bottom"/>
          </w:tcPr>
          <w:p>
            <w:pPr>
              <w:spacing w:after="0"/>
              <w:rPr>
                <w:sz w:val="2"/>
                <w:szCs w:val="2"/>
                <w:color w:val="auto"/>
              </w:rPr>
            </w:pPr>
          </w:p>
        </w:tc>
        <w:tc>
          <w:tcPr>
            <w:tcW w:w="82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Condensed Consolidated Statements of Cash Flows (Unaudited)</w:t>
            </w:r>
          </w:p>
        </w:tc>
        <w:tc>
          <w:tcPr>
            <w:tcW w:w="2120" w:type="dxa"/>
            <w:vAlign w:val="bottom"/>
            <w:tcBorders>
              <w:bottom w:val="single" w:sz="8" w:color="CCEEFF"/>
            </w:tcBorders>
            <w:gridSpan w:val="3"/>
            <w:shd w:val="clear" w:color="auto" w:fill="CCEEFF"/>
          </w:tcPr>
          <w:p>
            <w:pPr>
              <w:jc w:val="right"/>
              <w:ind w:righ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243"/>
        </w:trPr>
        <w:tc>
          <w:tcPr>
            <w:tcW w:w="880" w:type="dxa"/>
            <w:vAlign w:val="bottom"/>
          </w:tcPr>
          <w:p>
            <w:pPr>
              <w:spacing w:after="0"/>
              <w:rPr>
                <w:sz w:val="21"/>
                <w:szCs w:val="21"/>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Condensed Consolidated Statements of Equity (Unaudited)</w:t>
            </w: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27"/>
        </w:trPr>
        <w:tc>
          <w:tcPr>
            <w:tcW w:w="880" w:type="dxa"/>
            <w:vAlign w:val="bottom"/>
          </w:tcPr>
          <w:p>
            <w:pPr>
              <w:spacing w:after="0"/>
              <w:rPr>
                <w:sz w:val="2"/>
                <w:szCs w:val="2"/>
                <w:color w:val="auto"/>
              </w:rPr>
            </w:pPr>
          </w:p>
        </w:tc>
        <w:tc>
          <w:tcPr>
            <w:tcW w:w="82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Notes to Condensed Consolidated Financial Statements</w:t>
            </w:r>
          </w:p>
        </w:tc>
        <w:tc>
          <w:tcPr>
            <w:tcW w:w="2120" w:type="dxa"/>
            <w:vAlign w:val="bottom"/>
            <w:tcBorders>
              <w:bottom w:val="single" w:sz="8" w:color="CCEEFF"/>
            </w:tcBorders>
            <w:gridSpan w:val="3"/>
            <w:shd w:val="clear" w:color="auto" w:fill="CCEEFF"/>
          </w:tcPr>
          <w:p>
            <w:pPr>
              <w:jc w:val="right"/>
              <w:ind w:right="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43"/>
        </w:trPr>
        <w:tc>
          <w:tcPr>
            <w:tcW w:w="880" w:type="dxa"/>
            <w:vAlign w:val="bottom"/>
          </w:tcPr>
          <w:p>
            <w:pPr>
              <w:spacing w:after="0"/>
              <w:rPr>
                <w:sz w:val="21"/>
                <w:szCs w:val="21"/>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Note 1.</w:t>
            </w:r>
          </w:p>
        </w:tc>
        <w:tc>
          <w:tcPr>
            <w:tcW w:w="7100" w:type="dxa"/>
            <w:vAlign w:val="bottom"/>
          </w:tcPr>
          <w:p>
            <w:pPr>
              <w:ind w:left="60"/>
              <w:spacing w:after="0"/>
              <w:rPr>
                <w:sz w:val="20"/>
                <w:szCs w:val="20"/>
                <w:color w:val="auto"/>
              </w:rPr>
            </w:pPr>
            <w:r>
              <w:rPr>
                <w:rFonts w:ascii="Arial" w:cs="Arial" w:eastAsia="Arial" w:hAnsi="Arial"/>
                <w:sz w:val="18"/>
                <w:szCs w:val="18"/>
                <w:color w:val="auto"/>
              </w:rPr>
              <w:t>Nature of Operations and Basis of Presentation</w:t>
            </w: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7"/>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Note 2.</w:t>
            </w:r>
          </w:p>
        </w:tc>
        <w:tc>
          <w:tcPr>
            <w:tcW w:w="7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Significant Accounting Policies</w:t>
            </w:r>
          </w:p>
        </w:tc>
        <w:tc>
          <w:tcPr>
            <w:tcW w:w="2120" w:type="dxa"/>
            <w:vAlign w:val="bottom"/>
            <w:tcBorders>
              <w:bottom w:val="single" w:sz="8" w:color="CCEEFF"/>
            </w:tcBorders>
            <w:gridSpan w:val="3"/>
            <w:shd w:val="clear" w:color="auto" w:fill="CCEEFF"/>
          </w:tcPr>
          <w:p>
            <w:pPr>
              <w:jc w:val="right"/>
              <w:ind w:right="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43"/>
        </w:trPr>
        <w:tc>
          <w:tcPr>
            <w:tcW w:w="880" w:type="dxa"/>
            <w:vAlign w:val="bottom"/>
          </w:tcPr>
          <w:p>
            <w:pPr>
              <w:spacing w:after="0"/>
              <w:rPr>
                <w:sz w:val="21"/>
                <w:szCs w:val="21"/>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Note 3.</w:t>
            </w:r>
          </w:p>
        </w:tc>
        <w:tc>
          <w:tcPr>
            <w:tcW w:w="7100" w:type="dxa"/>
            <w:vAlign w:val="bottom"/>
          </w:tcPr>
          <w:p>
            <w:pPr>
              <w:ind w:left="60"/>
              <w:spacing w:after="0"/>
              <w:rPr>
                <w:sz w:val="20"/>
                <w:szCs w:val="20"/>
                <w:color w:val="auto"/>
              </w:rPr>
            </w:pPr>
            <w:r>
              <w:rPr>
                <w:rFonts w:ascii="Arial" w:cs="Arial" w:eastAsia="Arial" w:hAnsi="Arial"/>
                <w:sz w:val="18"/>
                <w:szCs w:val="18"/>
                <w:color w:val="auto"/>
              </w:rPr>
              <w:t>Revenue</w:t>
            </w: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6</w:t>
              </w:r>
            </w:hyperlink>
          </w:p>
        </w:tc>
      </w:tr>
      <w:tr>
        <w:trPr>
          <w:trHeight w:val="27"/>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Note 4.</w:t>
            </w:r>
          </w:p>
        </w:tc>
        <w:tc>
          <w:tcPr>
            <w:tcW w:w="7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Marketable and Other Securities</w:t>
            </w:r>
          </w:p>
        </w:tc>
        <w:tc>
          <w:tcPr>
            <w:tcW w:w="2120" w:type="dxa"/>
            <w:vAlign w:val="bottom"/>
            <w:tcBorders>
              <w:bottom w:val="single" w:sz="8" w:color="CCEEFF"/>
            </w:tcBorders>
            <w:gridSpan w:val="3"/>
            <w:shd w:val="clear" w:color="auto" w:fill="CCEEFF"/>
          </w:tcPr>
          <w:p>
            <w:pPr>
              <w:jc w:val="right"/>
              <w:ind w:right="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8</w:t>
              </w:r>
            </w:hyperlink>
          </w:p>
        </w:tc>
      </w:tr>
      <w:tr>
        <w:trPr>
          <w:trHeight w:val="243"/>
        </w:trPr>
        <w:tc>
          <w:tcPr>
            <w:tcW w:w="880" w:type="dxa"/>
            <w:vAlign w:val="bottom"/>
          </w:tcPr>
          <w:p>
            <w:pPr>
              <w:spacing w:after="0"/>
              <w:rPr>
                <w:sz w:val="21"/>
                <w:szCs w:val="21"/>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Note 5.</w:t>
            </w:r>
          </w:p>
        </w:tc>
        <w:tc>
          <w:tcPr>
            <w:tcW w:w="7100" w:type="dxa"/>
            <w:vAlign w:val="bottom"/>
          </w:tcPr>
          <w:p>
            <w:pPr>
              <w:ind w:left="60"/>
              <w:spacing w:after="0"/>
              <w:rPr>
                <w:sz w:val="20"/>
                <w:szCs w:val="20"/>
                <w:color w:val="auto"/>
              </w:rPr>
            </w:pPr>
            <w:r>
              <w:rPr>
                <w:rFonts w:ascii="Arial" w:cs="Arial" w:eastAsia="Arial" w:hAnsi="Arial"/>
                <w:sz w:val="18"/>
                <w:szCs w:val="18"/>
                <w:color w:val="auto"/>
              </w:rPr>
              <w:t>GM Financial Receivables and Transactions</w:t>
            </w: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tc>
      </w:tr>
      <w:tr>
        <w:trPr>
          <w:trHeight w:val="27"/>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Note 6.</w:t>
            </w:r>
          </w:p>
        </w:tc>
        <w:tc>
          <w:tcPr>
            <w:tcW w:w="7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Inventories</w:t>
            </w:r>
          </w:p>
        </w:tc>
        <w:tc>
          <w:tcPr>
            <w:tcW w:w="2120" w:type="dxa"/>
            <w:vAlign w:val="bottom"/>
            <w:tcBorders>
              <w:bottom w:val="single" w:sz="8" w:color="CCEEFF"/>
            </w:tcBorders>
            <w:gridSpan w:val="3"/>
            <w:shd w:val="clear" w:color="auto" w:fill="CCEEFF"/>
          </w:tcPr>
          <w:p>
            <w:pPr>
              <w:jc w:val="right"/>
              <w:ind w:right="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11</w:t>
              </w:r>
            </w:hyperlink>
          </w:p>
        </w:tc>
      </w:tr>
      <w:tr>
        <w:trPr>
          <w:trHeight w:val="243"/>
        </w:trPr>
        <w:tc>
          <w:tcPr>
            <w:tcW w:w="880" w:type="dxa"/>
            <w:vAlign w:val="bottom"/>
          </w:tcPr>
          <w:p>
            <w:pPr>
              <w:spacing w:after="0"/>
              <w:rPr>
                <w:sz w:val="21"/>
                <w:szCs w:val="21"/>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Note 7.</w:t>
            </w:r>
          </w:p>
        </w:tc>
        <w:tc>
          <w:tcPr>
            <w:tcW w:w="7100" w:type="dxa"/>
            <w:vAlign w:val="bottom"/>
          </w:tcPr>
          <w:p>
            <w:pPr>
              <w:ind w:left="60"/>
              <w:spacing w:after="0"/>
              <w:rPr>
                <w:sz w:val="20"/>
                <w:szCs w:val="20"/>
                <w:color w:val="auto"/>
              </w:rPr>
            </w:pPr>
            <w:r>
              <w:rPr>
                <w:rFonts w:ascii="Arial" w:cs="Arial" w:eastAsia="Arial" w:hAnsi="Arial"/>
                <w:sz w:val="18"/>
                <w:szCs w:val="18"/>
                <w:color w:val="auto"/>
              </w:rPr>
              <w:t>Equipment on Operating Leases</w:t>
            </w: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12</w:t>
              </w:r>
            </w:hyperlink>
          </w:p>
        </w:tc>
      </w:tr>
      <w:tr>
        <w:trPr>
          <w:trHeight w:val="27"/>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Note 8.</w:t>
            </w:r>
          </w:p>
        </w:tc>
        <w:tc>
          <w:tcPr>
            <w:tcW w:w="7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Equity in Net Assets of Nonconsolidated Affiliates</w:t>
            </w:r>
          </w:p>
        </w:tc>
        <w:tc>
          <w:tcPr>
            <w:tcW w:w="2120" w:type="dxa"/>
            <w:vAlign w:val="bottom"/>
            <w:tcBorders>
              <w:bottom w:val="single" w:sz="8" w:color="CCEEFF"/>
            </w:tcBorders>
            <w:gridSpan w:val="3"/>
            <w:shd w:val="clear" w:color="auto" w:fill="CCEEFF"/>
          </w:tcPr>
          <w:p>
            <w:pPr>
              <w:jc w:val="right"/>
              <w:ind w:right="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12</w:t>
              </w:r>
            </w:hyperlink>
          </w:p>
        </w:tc>
      </w:tr>
      <w:tr>
        <w:trPr>
          <w:trHeight w:val="243"/>
        </w:trPr>
        <w:tc>
          <w:tcPr>
            <w:tcW w:w="880" w:type="dxa"/>
            <w:vAlign w:val="bottom"/>
          </w:tcPr>
          <w:p>
            <w:pPr>
              <w:spacing w:after="0"/>
              <w:rPr>
                <w:sz w:val="21"/>
                <w:szCs w:val="21"/>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Note 9.</w:t>
            </w:r>
          </w:p>
        </w:tc>
        <w:tc>
          <w:tcPr>
            <w:tcW w:w="7100" w:type="dxa"/>
            <w:vAlign w:val="bottom"/>
          </w:tcPr>
          <w:p>
            <w:pPr>
              <w:ind w:left="60"/>
              <w:spacing w:after="0"/>
              <w:rPr>
                <w:sz w:val="20"/>
                <w:szCs w:val="20"/>
                <w:color w:val="auto"/>
              </w:rPr>
            </w:pPr>
            <w:r>
              <w:rPr>
                <w:rFonts w:ascii="Arial" w:cs="Arial" w:eastAsia="Arial" w:hAnsi="Arial"/>
                <w:sz w:val="18"/>
                <w:szCs w:val="18"/>
                <w:color w:val="auto"/>
              </w:rPr>
              <w:t>Goodwill</w:t>
            </w: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12</w:t>
              </w:r>
            </w:hyperlink>
          </w:p>
        </w:tc>
      </w:tr>
      <w:tr>
        <w:trPr>
          <w:trHeight w:val="27"/>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Note 10.</w:t>
            </w:r>
          </w:p>
        </w:tc>
        <w:tc>
          <w:tcPr>
            <w:tcW w:w="7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Variable Interest Entities</w:t>
            </w:r>
          </w:p>
        </w:tc>
        <w:tc>
          <w:tcPr>
            <w:tcW w:w="2120" w:type="dxa"/>
            <w:vAlign w:val="bottom"/>
            <w:tcBorders>
              <w:bottom w:val="single" w:sz="8" w:color="CCEEFF"/>
            </w:tcBorders>
            <w:gridSpan w:val="3"/>
            <w:shd w:val="clear" w:color="auto" w:fill="CCEEFF"/>
          </w:tcPr>
          <w:p>
            <w:pPr>
              <w:jc w:val="right"/>
              <w:ind w:right="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13</w:t>
              </w:r>
            </w:hyperlink>
          </w:p>
        </w:tc>
      </w:tr>
      <w:tr>
        <w:trPr>
          <w:trHeight w:val="243"/>
        </w:trPr>
        <w:tc>
          <w:tcPr>
            <w:tcW w:w="880" w:type="dxa"/>
            <w:vAlign w:val="bottom"/>
          </w:tcPr>
          <w:p>
            <w:pPr>
              <w:spacing w:after="0"/>
              <w:rPr>
                <w:sz w:val="21"/>
                <w:szCs w:val="21"/>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Note 11.</w:t>
            </w:r>
          </w:p>
        </w:tc>
        <w:tc>
          <w:tcPr>
            <w:tcW w:w="7100" w:type="dxa"/>
            <w:vAlign w:val="bottom"/>
          </w:tcPr>
          <w:p>
            <w:pPr>
              <w:ind w:left="60"/>
              <w:spacing w:after="0"/>
              <w:rPr>
                <w:sz w:val="20"/>
                <w:szCs w:val="20"/>
                <w:color w:val="auto"/>
              </w:rPr>
            </w:pPr>
            <w:r>
              <w:rPr>
                <w:rFonts w:ascii="Arial" w:cs="Arial" w:eastAsia="Arial" w:hAnsi="Arial"/>
                <w:sz w:val="18"/>
                <w:szCs w:val="18"/>
                <w:color w:val="auto"/>
              </w:rPr>
              <w:t>Debt</w:t>
            </w: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14</w:t>
              </w:r>
            </w:hyperlink>
          </w:p>
        </w:tc>
      </w:tr>
      <w:tr>
        <w:trPr>
          <w:trHeight w:val="27"/>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Note 12.</w:t>
            </w:r>
          </w:p>
        </w:tc>
        <w:tc>
          <w:tcPr>
            <w:tcW w:w="7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Derivative Financial Instruments</w:t>
            </w:r>
          </w:p>
        </w:tc>
        <w:tc>
          <w:tcPr>
            <w:tcW w:w="2120" w:type="dxa"/>
            <w:vAlign w:val="bottom"/>
            <w:tcBorders>
              <w:bottom w:val="single" w:sz="8" w:color="CCEEFF"/>
            </w:tcBorders>
            <w:gridSpan w:val="3"/>
            <w:shd w:val="clear" w:color="auto" w:fill="CCEEFF"/>
          </w:tcPr>
          <w:p>
            <w:pPr>
              <w:jc w:val="right"/>
              <w:ind w:right="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15</w:t>
              </w:r>
            </w:hyperlink>
          </w:p>
        </w:tc>
      </w:tr>
      <w:tr>
        <w:trPr>
          <w:trHeight w:val="243"/>
        </w:trPr>
        <w:tc>
          <w:tcPr>
            <w:tcW w:w="880" w:type="dxa"/>
            <w:vAlign w:val="bottom"/>
          </w:tcPr>
          <w:p>
            <w:pPr>
              <w:spacing w:after="0"/>
              <w:rPr>
                <w:sz w:val="21"/>
                <w:szCs w:val="21"/>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Note 13.</w:t>
            </w:r>
          </w:p>
        </w:tc>
        <w:tc>
          <w:tcPr>
            <w:tcW w:w="7100" w:type="dxa"/>
            <w:vAlign w:val="bottom"/>
          </w:tcPr>
          <w:p>
            <w:pPr>
              <w:ind w:left="60"/>
              <w:spacing w:after="0"/>
              <w:rPr>
                <w:sz w:val="20"/>
                <w:szCs w:val="20"/>
                <w:color w:val="auto"/>
              </w:rPr>
            </w:pPr>
            <w:r>
              <w:rPr>
                <w:rFonts w:ascii="Arial" w:cs="Arial" w:eastAsia="Arial" w:hAnsi="Arial"/>
                <w:sz w:val="18"/>
                <w:szCs w:val="18"/>
                <w:color w:val="auto"/>
              </w:rPr>
              <w:t>Product Warranty and Related Liabilities</w:t>
            </w: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17</w:t>
              </w:r>
            </w:hyperlink>
          </w:p>
        </w:tc>
      </w:tr>
      <w:tr>
        <w:trPr>
          <w:trHeight w:val="27"/>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Note 14.</w:t>
            </w:r>
          </w:p>
        </w:tc>
        <w:tc>
          <w:tcPr>
            <w:tcW w:w="7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Pensions and Other Postretirement Benefits</w:t>
            </w:r>
          </w:p>
        </w:tc>
        <w:tc>
          <w:tcPr>
            <w:tcW w:w="2120" w:type="dxa"/>
            <w:vAlign w:val="bottom"/>
            <w:tcBorders>
              <w:bottom w:val="single" w:sz="8" w:color="CCEEFF"/>
            </w:tcBorders>
            <w:gridSpan w:val="3"/>
            <w:shd w:val="clear" w:color="auto" w:fill="CCEEFF"/>
          </w:tcPr>
          <w:p>
            <w:pPr>
              <w:jc w:val="right"/>
              <w:ind w:right="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17</w:t>
              </w:r>
            </w:hyperlink>
          </w:p>
        </w:tc>
      </w:tr>
      <w:tr>
        <w:trPr>
          <w:trHeight w:val="243"/>
        </w:trPr>
        <w:tc>
          <w:tcPr>
            <w:tcW w:w="880" w:type="dxa"/>
            <w:vAlign w:val="bottom"/>
          </w:tcPr>
          <w:p>
            <w:pPr>
              <w:spacing w:after="0"/>
              <w:rPr>
                <w:sz w:val="21"/>
                <w:szCs w:val="21"/>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Note 15.</w:t>
            </w:r>
          </w:p>
        </w:tc>
        <w:tc>
          <w:tcPr>
            <w:tcW w:w="7100" w:type="dxa"/>
            <w:vAlign w:val="bottom"/>
          </w:tcPr>
          <w:p>
            <w:pPr>
              <w:ind w:left="60"/>
              <w:spacing w:after="0"/>
              <w:rPr>
                <w:sz w:val="20"/>
                <w:szCs w:val="20"/>
                <w:color w:val="auto"/>
              </w:rPr>
            </w:pPr>
            <w:r>
              <w:rPr>
                <w:rFonts w:ascii="Arial" w:cs="Arial" w:eastAsia="Arial" w:hAnsi="Arial"/>
                <w:sz w:val="18"/>
                <w:szCs w:val="18"/>
                <w:color w:val="auto"/>
              </w:rPr>
              <w:t>Commitments and Contingencies</w:t>
            </w: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17</w:t>
              </w:r>
            </w:hyperlink>
          </w:p>
        </w:tc>
      </w:tr>
      <w:tr>
        <w:trPr>
          <w:trHeight w:val="27"/>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Note 16.</w:t>
            </w:r>
          </w:p>
        </w:tc>
        <w:tc>
          <w:tcPr>
            <w:tcW w:w="7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Income Taxes</w:t>
            </w:r>
          </w:p>
        </w:tc>
        <w:tc>
          <w:tcPr>
            <w:tcW w:w="2120" w:type="dxa"/>
            <w:vAlign w:val="bottom"/>
            <w:tcBorders>
              <w:bottom w:val="single" w:sz="8" w:color="CCEEFF"/>
            </w:tcBorders>
            <w:gridSpan w:val="3"/>
            <w:shd w:val="clear" w:color="auto" w:fill="CCEEFF"/>
          </w:tcPr>
          <w:p>
            <w:pPr>
              <w:jc w:val="right"/>
              <w:ind w:right="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22</w:t>
              </w:r>
            </w:hyperlink>
          </w:p>
        </w:tc>
      </w:tr>
      <w:tr>
        <w:trPr>
          <w:trHeight w:val="243"/>
        </w:trPr>
        <w:tc>
          <w:tcPr>
            <w:tcW w:w="880" w:type="dxa"/>
            <w:vAlign w:val="bottom"/>
          </w:tcPr>
          <w:p>
            <w:pPr>
              <w:spacing w:after="0"/>
              <w:rPr>
                <w:sz w:val="21"/>
                <w:szCs w:val="21"/>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Note 17.</w:t>
            </w:r>
          </w:p>
        </w:tc>
        <w:tc>
          <w:tcPr>
            <w:tcW w:w="7100" w:type="dxa"/>
            <w:vAlign w:val="bottom"/>
          </w:tcPr>
          <w:p>
            <w:pPr>
              <w:ind w:left="60"/>
              <w:spacing w:after="0"/>
              <w:rPr>
                <w:sz w:val="20"/>
                <w:szCs w:val="20"/>
                <w:color w:val="auto"/>
              </w:rPr>
            </w:pPr>
            <w:r>
              <w:rPr>
                <w:rFonts w:ascii="Arial" w:cs="Arial" w:eastAsia="Arial" w:hAnsi="Arial"/>
                <w:sz w:val="18"/>
                <w:szCs w:val="18"/>
                <w:color w:val="auto"/>
              </w:rPr>
              <w:t>Restructuring and Other Initiatives</w:t>
            </w: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22</w:t>
              </w:r>
            </w:hyperlink>
          </w:p>
        </w:tc>
      </w:tr>
      <w:tr>
        <w:trPr>
          <w:trHeight w:val="27"/>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Note 18.</w:t>
            </w:r>
          </w:p>
        </w:tc>
        <w:tc>
          <w:tcPr>
            <w:tcW w:w="7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Stockholders' Equity and Noncontrolling Interests</w:t>
            </w:r>
          </w:p>
        </w:tc>
        <w:tc>
          <w:tcPr>
            <w:tcW w:w="2120" w:type="dxa"/>
            <w:vAlign w:val="bottom"/>
            <w:tcBorders>
              <w:bottom w:val="single" w:sz="8" w:color="CCEEFF"/>
            </w:tcBorders>
            <w:gridSpan w:val="3"/>
            <w:shd w:val="clear" w:color="auto" w:fill="CCEEFF"/>
          </w:tcPr>
          <w:p>
            <w:pPr>
              <w:jc w:val="right"/>
              <w:ind w:right="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23</w:t>
              </w:r>
            </w:hyperlink>
          </w:p>
        </w:tc>
      </w:tr>
      <w:tr>
        <w:trPr>
          <w:trHeight w:val="243"/>
        </w:trPr>
        <w:tc>
          <w:tcPr>
            <w:tcW w:w="880" w:type="dxa"/>
            <w:vAlign w:val="bottom"/>
          </w:tcPr>
          <w:p>
            <w:pPr>
              <w:spacing w:after="0"/>
              <w:rPr>
                <w:sz w:val="21"/>
                <w:szCs w:val="21"/>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Note 19.</w:t>
            </w:r>
          </w:p>
        </w:tc>
        <w:tc>
          <w:tcPr>
            <w:tcW w:w="7100" w:type="dxa"/>
            <w:vAlign w:val="bottom"/>
          </w:tcPr>
          <w:p>
            <w:pPr>
              <w:ind w:left="60"/>
              <w:spacing w:after="0"/>
              <w:rPr>
                <w:sz w:val="20"/>
                <w:szCs w:val="20"/>
                <w:color w:val="auto"/>
              </w:rPr>
            </w:pPr>
            <w:r>
              <w:rPr>
                <w:rFonts w:ascii="Arial" w:cs="Arial" w:eastAsia="Arial" w:hAnsi="Arial"/>
                <w:sz w:val="18"/>
                <w:szCs w:val="18"/>
                <w:color w:val="auto"/>
              </w:rPr>
              <w:t>Earnings Per Share</w:t>
            </w: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24</w:t>
              </w:r>
            </w:hyperlink>
          </w:p>
        </w:tc>
      </w:tr>
      <w:tr>
        <w:trPr>
          <w:trHeight w:val="27"/>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Note 20.</w:t>
            </w:r>
          </w:p>
        </w:tc>
        <w:tc>
          <w:tcPr>
            <w:tcW w:w="7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Segment Reporting</w:t>
            </w:r>
          </w:p>
        </w:tc>
        <w:tc>
          <w:tcPr>
            <w:tcW w:w="2120" w:type="dxa"/>
            <w:vAlign w:val="bottom"/>
            <w:tcBorders>
              <w:bottom w:val="single" w:sz="8" w:color="CCEEFF"/>
            </w:tcBorders>
            <w:gridSpan w:val="3"/>
            <w:shd w:val="clear" w:color="auto" w:fill="CCEEFF"/>
          </w:tcPr>
          <w:p>
            <w:pPr>
              <w:jc w:val="right"/>
              <w:ind w:right="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24</w:t>
              </w:r>
            </w:hyperlink>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color w:val="auto"/>
              </w:rPr>
              <w:t>Item 2.</w:t>
            </w: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26</w:t>
              </w:r>
            </w:hyperlink>
          </w:p>
        </w:tc>
      </w:tr>
      <w:tr>
        <w:trPr>
          <w:trHeight w:val="27"/>
        </w:trPr>
        <w:tc>
          <w:tcPr>
            <w:tcW w:w="880" w:type="dxa"/>
            <w:vAlign w:val="bottom"/>
          </w:tcPr>
          <w:p>
            <w:pPr>
              <w:spacing w:after="0"/>
              <w:rPr>
                <w:sz w:val="2"/>
                <w:szCs w:val="2"/>
                <w:color w:val="auto"/>
              </w:rPr>
            </w:pPr>
          </w:p>
        </w:tc>
        <w:tc>
          <w:tcPr>
            <w:tcW w:w="82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3.</w:t>
            </w:r>
          </w:p>
        </w:tc>
        <w:tc>
          <w:tcPr>
            <w:tcW w:w="8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2120" w:type="dxa"/>
            <w:vAlign w:val="bottom"/>
            <w:tcBorders>
              <w:bottom w:val="single" w:sz="8" w:color="CCEEFF"/>
            </w:tcBorders>
            <w:gridSpan w:val="3"/>
            <w:shd w:val="clear" w:color="auto" w:fill="CCEEFF"/>
          </w:tcPr>
          <w:p>
            <w:pPr>
              <w:jc w:val="right"/>
              <w:ind w:right="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45</w:t>
              </w:r>
            </w:hyperlink>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color w:val="auto"/>
              </w:rPr>
              <w:t>Item 4.</w:t>
            </w: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Controls and Procedures</w:t>
            </w: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45</w:t>
              </w:r>
            </w:hyperlink>
          </w:p>
        </w:tc>
      </w:tr>
      <w:tr>
        <w:trPr>
          <w:trHeight w:val="27"/>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ind w:left="3280"/>
              <w:spacing w:after="0"/>
              <w:rPr>
                <w:sz w:val="20"/>
                <w:szCs w:val="20"/>
                <w:color w:val="auto"/>
              </w:rPr>
            </w:pPr>
            <w:r>
              <w:rPr>
                <w:rFonts w:ascii="Arial" w:cs="Arial" w:eastAsia="Arial" w:hAnsi="Arial"/>
                <w:sz w:val="18"/>
                <w:szCs w:val="18"/>
                <w:b w:val="1"/>
                <w:bCs w:val="1"/>
                <w:color w:val="auto"/>
              </w:rPr>
              <w:t>PART II</w:t>
            </w:r>
          </w:p>
        </w:tc>
        <w:tc>
          <w:tcPr>
            <w:tcW w:w="16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color w:val="auto"/>
              </w:rPr>
              <w:t>Item 1.</w:t>
            </w: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Legal Proceedings</w:t>
            </w: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46</w:t>
              </w:r>
            </w:hyperlink>
          </w:p>
        </w:tc>
      </w:tr>
      <w:tr>
        <w:trPr>
          <w:trHeight w:val="27"/>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1A.</w:t>
            </w:r>
          </w:p>
        </w:tc>
        <w:tc>
          <w:tcPr>
            <w:tcW w:w="1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3"/>
              </w:rPr>
              <w:t>Risk Factors</w:t>
            </w:r>
          </w:p>
        </w:tc>
        <w:tc>
          <w:tcPr>
            <w:tcW w:w="7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3"/>
            <w:shd w:val="clear" w:color="auto" w:fill="CCEEFF"/>
          </w:tcPr>
          <w:p>
            <w:pPr>
              <w:jc w:val="right"/>
              <w:ind w:right="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46</w:t>
              </w:r>
            </w:hyperlink>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color w:val="auto"/>
              </w:rPr>
              <w:t>Item 2.</w:t>
            </w: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Unregistered Sales of Equity Securities and Use of Proceeds</w:t>
            </w: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47</w:t>
              </w:r>
            </w:hyperlink>
          </w:p>
        </w:tc>
      </w:tr>
      <w:tr>
        <w:trPr>
          <w:trHeight w:val="27"/>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6.</w:t>
            </w:r>
          </w:p>
        </w:tc>
        <w:tc>
          <w:tcPr>
            <w:tcW w:w="1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Exhibits</w:t>
            </w:r>
          </w:p>
        </w:tc>
        <w:tc>
          <w:tcPr>
            <w:tcW w:w="7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3"/>
            <w:shd w:val="clear" w:color="auto" w:fill="CCEEFF"/>
          </w:tcPr>
          <w:p>
            <w:pPr>
              <w:jc w:val="right"/>
              <w:ind w:right="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48</w:t>
              </w:r>
            </w:hyperlink>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color w:val="auto"/>
              </w:rPr>
              <w:t>Signature</w:t>
            </w:r>
          </w:p>
        </w:tc>
        <w:tc>
          <w:tcPr>
            <w:tcW w:w="112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2120" w:type="dxa"/>
            <w:vAlign w:val="bottom"/>
            <w:gridSpan w:val="3"/>
          </w:tcPr>
          <w:p>
            <w:pPr>
              <w:jc w:val="right"/>
              <w:ind w:right="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49</w:t>
              </w:r>
            </w:hyperlink>
          </w:p>
        </w:tc>
      </w:tr>
    </w:tbl>
    <w:p>
      <w:pPr>
        <w:sectPr>
          <w:pgSz w:w="11900" w:h="16838" w:orient="portrait"/>
          <w:cols w:equalWidth="0" w:num="1">
            <w:col w:w="11220"/>
          </w:cols>
          <w:pgMar w:left="320" w:top="337"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148"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23495</wp:posOffset>
            </wp:positionV>
            <wp:extent cx="22028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March 31, 2020</w:t>
            </w:r>
          </w:p>
        </w:tc>
        <w:tc>
          <w:tcPr>
            <w:tcW w:w="280" w:type="dxa"/>
            <w:vAlign w:val="bottom"/>
          </w:tcPr>
          <w:p>
            <w:pPr>
              <w:spacing w:after="0"/>
              <w:rPr>
                <w:sz w:val="15"/>
                <w:szCs w:val="15"/>
                <w:color w:val="auto"/>
              </w:rPr>
            </w:pPr>
          </w:p>
        </w:tc>
        <w:tc>
          <w:tcPr>
            <w:tcW w:w="1400" w:type="dxa"/>
            <w:vAlign w:val="bottom"/>
          </w:tcPr>
          <w:p>
            <w:pPr>
              <w:jc w:val="right"/>
              <w:ind w:right="340"/>
              <w:spacing w:after="0"/>
              <w:rPr>
                <w:sz w:val="20"/>
                <w:szCs w:val="20"/>
                <w:color w:val="auto"/>
              </w:rPr>
            </w:pPr>
            <w:r>
              <w:rPr>
                <w:rFonts w:ascii="Arial" w:cs="Arial" w:eastAsia="Arial" w:hAnsi="Arial"/>
                <w:sz w:val="13"/>
                <w:szCs w:val="13"/>
                <w:b w:val="1"/>
                <w:bCs w:val="1"/>
                <w:color w:val="auto"/>
              </w:rPr>
              <w:t>March 31, 2019</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sales and revenue</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31,261</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GM Financial</w:t>
            </w:r>
          </w:p>
        </w:tc>
        <w:tc>
          <w:tcPr>
            <w:tcW w:w="2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3,559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3,617</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net sales and revenue (Note 3)</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34,878</w:t>
            </w:r>
          </w:p>
        </w:tc>
      </w:tr>
      <w:tr>
        <w:trPr>
          <w:trHeight w:val="23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 and other cost of sales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28,229</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GM Financial interest, operating and other expenses</w:t>
            </w:r>
          </w:p>
        </w:tc>
        <w:tc>
          <w:tcPr>
            <w:tcW w:w="2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3,356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3,306</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 and other selling, general and administrative expense</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2,099</w:t>
            </w:r>
          </w:p>
        </w:tc>
      </w:tr>
      <w:tr>
        <w:trPr>
          <w:trHeight w:val="217"/>
        </w:trPr>
        <w:tc>
          <w:tcPr>
            <w:tcW w:w="7780" w:type="dxa"/>
            <w:vAlign w:val="bottom"/>
          </w:tcPr>
          <w:p>
            <w:pPr>
              <w:ind w:left="18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32,052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33,634</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1,244</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Automotive interest expense</w:t>
            </w:r>
          </w:p>
        </w:tc>
        <w:tc>
          <w:tcPr>
            <w:tcW w:w="2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181</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 and other non-operating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805</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Equity income (loss) (Note 8)</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414</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2,282</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Income tax expense (Note 16)</w:t>
            </w:r>
          </w:p>
        </w:tc>
        <w:tc>
          <w:tcPr>
            <w:tcW w:w="2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137</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2,145</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Net loss attributable to noncontrolling interests</w:t>
            </w:r>
          </w:p>
        </w:tc>
        <w:tc>
          <w:tcPr>
            <w:tcW w:w="260" w:type="dxa"/>
            <w:vAlign w:val="bottom"/>
          </w:tcPr>
          <w:p>
            <w:pPr>
              <w:spacing w:after="0"/>
              <w:rPr>
                <w:sz w:val="19"/>
                <w:szCs w:val="19"/>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stockholders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2,157</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09"/>
        </w:trPr>
        <w:tc>
          <w:tcPr>
            <w:tcW w:w="7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2,119</w:t>
            </w:r>
          </w:p>
        </w:tc>
      </w:tr>
      <w:tr>
        <w:trPr>
          <w:trHeight w:val="121"/>
        </w:trPr>
        <w:tc>
          <w:tcPr>
            <w:tcW w:w="7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 (Note 19)</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Basic earnings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1.50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Weighted-average common shares outstanding – basic</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1,417</w:t>
            </w:r>
          </w:p>
        </w:tc>
      </w:tr>
      <w:tr>
        <w:trPr>
          <w:trHeight w:val="122"/>
        </w:trPr>
        <w:tc>
          <w:tcPr>
            <w:tcW w:w="7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earnings per common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 – diluted</w:t>
            </w:r>
          </w:p>
        </w:tc>
        <w:tc>
          <w:tcPr>
            <w:tcW w:w="2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1,436</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2"/>
        </w:trPr>
        <w:tc>
          <w:tcPr>
            <w:tcW w:w="7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Dividends declared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0.38</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48"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23495</wp:posOffset>
            </wp:positionV>
            <wp:extent cx="22028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March 31, 2019</w:t>
            </w:r>
          </w:p>
        </w:tc>
      </w:tr>
      <w:tr>
        <w:trPr>
          <w:trHeight w:val="23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260" w:type="dxa"/>
            <w:vAlign w:val="bottom"/>
            <w:tcBorders>
              <w:bottom w:val="single" w:sz="8" w:color="CCEEFF"/>
            </w:tcBorders>
            <w:shd w:val="clear" w:color="auto" w:fill="CCEEFF"/>
          </w:tcPr>
          <w:p>
            <w:pPr>
              <w:jc w:val="right"/>
              <w:ind w:right="108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2,145</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 net of tax (Note 18)</w:t>
            </w: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 and other</w:t>
            </w:r>
          </w:p>
        </w:tc>
        <w:tc>
          <w:tcPr>
            <w:tcW w:w="12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(973)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149</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Defined benefit plans</w:t>
            </w:r>
          </w:p>
        </w:tc>
        <w:tc>
          <w:tcPr>
            <w:tcW w:w="126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36</w:t>
            </w:r>
          </w:p>
        </w:tc>
      </w:tr>
      <w:tr>
        <w:trPr>
          <w:trHeight w:val="33"/>
        </w:trPr>
        <w:tc>
          <w:tcPr>
            <w:tcW w:w="77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 net of tax</w:t>
            </w: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185</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1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(370)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2,330</w:t>
            </w:r>
          </w:p>
        </w:tc>
      </w:tr>
      <w:tr>
        <w:trPr>
          <w:trHeight w:val="33"/>
        </w:trPr>
        <w:tc>
          <w:tcPr>
            <w:tcW w:w="7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noncontrolling interests</w:t>
            </w:r>
          </w:p>
        </w:tc>
        <w:tc>
          <w:tcPr>
            <w:tcW w:w="12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r>
      <w:tr>
        <w:trPr>
          <w:trHeight w:val="24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(loss) attributable to stockholders</w:t>
            </w:r>
          </w:p>
        </w:tc>
        <w:tc>
          <w:tcPr>
            <w:tcW w:w="1260" w:type="dxa"/>
            <w:vAlign w:val="bottom"/>
            <w:tcBorders>
              <w:top w:val="single" w:sz="8" w:color="auto"/>
              <w:bottom w:val="single" w:sz="8" w:color="auto"/>
            </w:tcBorders>
          </w:tcPr>
          <w:p>
            <w:pPr>
              <w:jc w:val="right"/>
              <w:ind w:right="1085"/>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(350)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2,347</w:t>
            </w:r>
          </w:p>
        </w:tc>
      </w:tr>
      <w:tr>
        <w:trPr>
          <w:trHeight w:val="20"/>
        </w:trPr>
        <w:tc>
          <w:tcPr>
            <w:tcW w:w="7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10"/>
        </w:trPr>
        <w:tc>
          <w:tcPr>
            <w:tcW w:w="7780" w:type="dxa"/>
            <w:vAlign w:val="bottom"/>
          </w:tcPr>
          <w:p>
            <w:pPr>
              <w:ind w:left="358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19,069</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Marketable debt securities (Note 4)</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7,620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4,174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and notes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6,797</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GM Financial receivables, net (Note 5; Note 10 at VIEs)</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26,320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26,601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(Note 6)</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10,398</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Other current assets (Note 4; Note 10 at VIEs)</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6,918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7,953</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97,699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74,992</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Non-current Assets</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 (Note 5; Note 10 at VIEs)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26,355</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Equity in net assets of nonconsolidated affiliates (Note 8)</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7,521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8,562</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net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38,750</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Goodwill and intangible assets, net</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5,225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5,337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on operating leases, net (Note 7; Note 10 at VIEs)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42,055</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24,441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24,640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 (Note 4; Note 10 at VIEs)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7,346</w:t>
            </w:r>
          </w:p>
        </w:tc>
        <w:tc>
          <w:tcPr>
            <w:tcW w:w="0" w:type="dxa"/>
            <w:vAlign w:val="bottom"/>
          </w:tcPr>
          <w:p>
            <w:pPr>
              <w:spacing w:after="0"/>
              <w:rPr>
                <w:sz w:val="1"/>
                <w:szCs w:val="1"/>
                <w:color w:val="auto"/>
              </w:rPr>
            </w:pPr>
          </w:p>
        </w:tc>
      </w:tr>
      <w:tr>
        <w:trPr>
          <w:trHeight w:val="217"/>
        </w:trPr>
        <w:tc>
          <w:tcPr>
            <w:tcW w:w="7780" w:type="dxa"/>
            <w:vAlign w:val="bottom"/>
          </w:tcPr>
          <w:p>
            <w:pPr>
              <w:ind w:left="180"/>
              <w:spacing w:after="0"/>
              <w:rPr>
                <w:sz w:val="20"/>
                <w:szCs w:val="20"/>
                <w:color w:val="auto"/>
              </w:rPr>
            </w:pPr>
            <w:r>
              <w:rPr>
                <w:rFonts w:ascii="Arial" w:cs="Arial" w:eastAsia="Arial" w:hAnsi="Arial"/>
                <w:sz w:val="16"/>
                <w:szCs w:val="16"/>
                <w:color w:val="auto"/>
              </w:rPr>
              <w:t>Total non-current assets</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148,925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153,045</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246,624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228,037</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286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(principally trade)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21,018</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Short-term debt and current portion of long-term debt (Note 11)</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Automotive</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37"/>
        </w:trPr>
        <w:tc>
          <w:tcPr>
            <w:tcW w:w="7780" w:type="dxa"/>
            <w:vAlign w:val="bottom"/>
          </w:tcPr>
          <w:p>
            <w:pPr>
              <w:ind w:left="340"/>
              <w:spacing w:after="0"/>
              <w:rPr>
                <w:sz w:val="20"/>
                <w:szCs w:val="20"/>
                <w:color w:val="auto"/>
              </w:rPr>
            </w:pPr>
            <w:r>
              <w:rPr>
                <w:rFonts w:ascii="Arial" w:cs="Arial" w:eastAsia="Arial" w:hAnsi="Arial"/>
                <w:sz w:val="16"/>
                <w:szCs w:val="16"/>
                <w:color w:val="auto"/>
              </w:rPr>
              <w:t>GM Financial (Note 10 at VIEs)</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43,331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35,503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26,487</w:t>
            </w:r>
          </w:p>
        </w:tc>
        <w:tc>
          <w:tcPr>
            <w:tcW w:w="0" w:type="dxa"/>
            <w:vAlign w:val="bottom"/>
          </w:tcPr>
          <w:p>
            <w:pPr>
              <w:spacing w:after="0"/>
              <w:rPr>
                <w:sz w:val="1"/>
                <w:szCs w:val="1"/>
                <w:color w:val="auto"/>
              </w:rPr>
            </w:pPr>
          </w:p>
        </w:tc>
      </w:tr>
      <w:tr>
        <w:trPr>
          <w:trHeight w:val="217"/>
        </w:trPr>
        <w:tc>
          <w:tcPr>
            <w:tcW w:w="778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91,292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84,905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Long-term debt (Note 11)</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Automotive</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12,489</w:t>
            </w:r>
          </w:p>
        </w:tc>
        <w:tc>
          <w:tcPr>
            <w:tcW w:w="0" w:type="dxa"/>
            <w:vAlign w:val="bottom"/>
          </w:tcPr>
          <w:p>
            <w:pPr>
              <w:spacing w:after="0"/>
              <w:rPr>
                <w:sz w:val="1"/>
                <w:szCs w:val="1"/>
                <w:color w:val="auto"/>
              </w:rPr>
            </w:pPr>
          </w:p>
        </w:tc>
      </w:tr>
      <w:tr>
        <w:trPr>
          <w:trHeight w:val="237"/>
        </w:trPr>
        <w:tc>
          <w:tcPr>
            <w:tcW w:w="7780" w:type="dxa"/>
            <w:vAlign w:val="bottom"/>
          </w:tcPr>
          <w:p>
            <w:pPr>
              <w:ind w:left="340"/>
              <w:spacing w:after="0"/>
              <w:rPr>
                <w:sz w:val="20"/>
                <w:szCs w:val="20"/>
                <w:color w:val="auto"/>
              </w:rPr>
            </w:pPr>
            <w:r>
              <w:rPr>
                <w:rFonts w:ascii="Arial" w:cs="Arial" w:eastAsia="Arial" w:hAnsi="Arial"/>
                <w:sz w:val="16"/>
                <w:szCs w:val="16"/>
                <w:color w:val="auto"/>
              </w:rPr>
              <w:t>GM Financial (Note 10 at VIEs)</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52,858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53,435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Postretirement benefits other than pensions (Note 14)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5,935</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Pensions (Note 14)</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11,505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12,170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13,146</w:t>
            </w:r>
          </w:p>
        </w:tc>
        <w:tc>
          <w:tcPr>
            <w:tcW w:w="0" w:type="dxa"/>
            <w:vAlign w:val="bottom"/>
          </w:tcPr>
          <w:p>
            <w:pPr>
              <w:spacing w:after="0"/>
              <w:rPr>
                <w:sz w:val="1"/>
                <w:szCs w:val="1"/>
                <w:color w:val="auto"/>
              </w:rPr>
            </w:pPr>
          </w:p>
        </w:tc>
      </w:tr>
      <w:tr>
        <w:trPr>
          <w:trHeight w:val="217"/>
        </w:trPr>
        <w:tc>
          <w:tcPr>
            <w:tcW w:w="7780" w:type="dxa"/>
            <w:vAlign w:val="bottom"/>
          </w:tcPr>
          <w:p>
            <w:pPr>
              <w:ind w:left="180"/>
              <w:spacing w:after="0"/>
              <w:rPr>
                <w:sz w:val="20"/>
                <w:szCs w:val="20"/>
                <w:color w:val="auto"/>
              </w:rPr>
            </w:pPr>
            <w:r>
              <w:rPr>
                <w:rFonts w:ascii="Arial" w:cs="Arial" w:eastAsia="Arial" w:hAnsi="Arial"/>
                <w:sz w:val="16"/>
                <w:szCs w:val="16"/>
                <w:color w:val="auto"/>
              </w:rPr>
              <w:t>Total non-current liabilities</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111,015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97,175</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202,307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182,080</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Commitments and contingencies (Note 15)</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 (Note 18)</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120"/>
              <w:spacing w:after="0"/>
              <w:rPr>
                <w:sz w:val="20"/>
                <w:szCs w:val="20"/>
                <w:color w:val="auto"/>
              </w:rPr>
            </w:pPr>
            <w:r>
              <w:rPr>
                <w:rFonts w:ascii="Arial" w:cs="Arial" w:eastAsia="Arial" w:hAnsi="Arial"/>
                <w:sz w:val="16"/>
                <w:szCs w:val="16"/>
                <w:color w:val="auto"/>
              </w:rPr>
              <w:t>Common stock, $0.01 par value</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26,074</w:t>
            </w:r>
          </w:p>
        </w:tc>
        <w:tc>
          <w:tcPr>
            <w:tcW w:w="0" w:type="dxa"/>
            <w:vAlign w:val="bottom"/>
          </w:tcPr>
          <w:p>
            <w:pPr>
              <w:spacing w:after="0"/>
              <w:rPr>
                <w:sz w:val="1"/>
                <w:szCs w:val="1"/>
                <w:color w:val="auto"/>
              </w:rPr>
            </w:pPr>
          </w:p>
        </w:tc>
      </w:tr>
      <w:tr>
        <w:trPr>
          <w:trHeight w:val="237"/>
        </w:trPr>
        <w:tc>
          <w:tcPr>
            <w:tcW w:w="778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25,885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26,860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(11,156)</w:t>
            </w:r>
          </w:p>
        </w:tc>
        <w:tc>
          <w:tcPr>
            <w:tcW w:w="0" w:type="dxa"/>
            <w:vAlign w:val="bottom"/>
          </w:tcPr>
          <w:p>
            <w:pPr>
              <w:spacing w:after="0"/>
              <w:rPr>
                <w:sz w:val="1"/>
                <w:szCs w:val="1"/>
                <w:color w:val="auto"/>
              </w:rPr>
            </w:pPr>
          </w:p>
        </w:tc>
      </w:tr>
      <w:tr>
        <w:trPr>
          <w:trHeight w:val="217"/>
        </w:trPr>
        <w:tc>
          <w:tcPr>
            <w:tcW w:w="7780" w:type="dxa"/>
            <w:vAlign w:val="bottom"/>
          </w:tcPr>
          <w:p>
            <w:pPr>
              <w:ind w:left="12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40,113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41,792</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4,165</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Equity</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44,317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45,957</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246,624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228,037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22"/>
                <w:szCs w:val="22"/>
                <w:color w:val="auto"/>
              </w:rPr>
            </w:pPr>
          </w:p>
        </w:tc>
        <w:tc>
          <w:tcPr>
            <w:tcW w:w="1440" w:type="dxa"/>
            <w:vAlign w:val="bottom"/>
          </w:tcPr>
          <w:p>
            <w:pPr>
              <w:jc w:val="right"/>
              <w:ind w:right="279"/>
              <w:spacing w:after="0"/>
              <w:rPr>
                <w:sz w:val="20"/>
                <w:szCs w:val="20"/>
                <w:color w:val="auto"/>
              </w:rPr>
            </w:pPr>
            <w:r>
              <w:rPr>
                <w:rFonts w:ascii="Arial" w:cs="Arial" w:eastAsia="Arial" w:hAnsi="Arial"/>
                <w:sz w:val="14"/>
                <w:szCs w:val="14"/>
                <w:b w:val="1"/>
                <w:bCs w:val="1"/>
                <w:color w:val="auto"/>
              </w:rPr>
              <w:t>March 31, 2019</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2,145</w:t>
            </w:r>
          </w:p>
        </w:tc>
      </w:tr>
      <w:tr>
        <w:trPr>
          <w:trHeight w:val="223"/>
        </w:trPr>
        <w:tc>
          <w:tcPr>
            <w:tcW w:w="7780" w:type="dxa"/>
            <w:vAlign w:val="bottom"/>
          </w:tcPr>
          <w:p>
            <w:pPr>
              <w:ind w:left="180"/>
              <w:spacing w:after="0"/>
              <w:rPr>
                <w:sz w:val="20"/>
                <w:szCs w:val="20"/>
                <w:color w:val="auto"/>
              </w:rPr>
            </w:pPr>
            <w:r>
              <w:rPr>
                <w:rFonts w:ascii="Arial" w:cs="Arial" w:eastAsia="Arial" w:hAnsi="Arial"/>
                <w:sz w:val="16"/>
                <w:szCs w:val="16"/>
                <w:color w:val="auto"/>
              </w:rPr>
              <w:t>Depreciation and impairment of Equipment on operating leases, net</w:t>
            </w:r>
          </w:p>
        </w:tc>
        <w:tc>
          <w:tcPr>
            <w:tcW w:w="220" w:type="dxa"/>
            <w:vAlign w:val="bottom"/>
          </w:tcPr>
          <w:p>
            <w:pPr>
              <w:spacing w:after="0"/>
              <w:rPr>
                <w:sz w:val="19"/>
                <w:szCs w:val="19"/>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1,897</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amortization and impairment charges on Property, net</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2,219</w:t>
            </w:r>
          </w:p>
        </w:tc>
      </w:tr>
      <w:tr>
        <w:trPr>
          <w:trHeight w:val="224"/>
        </w:trPr>
        <w:tc>
          <w:tcPr>
            <w:tcW w:w="7780" w:type="dxa"/>
            <w:vAlign w:val="bottom"/>
          </w:tcPr>
          <w:p>
            <w:pPr>
              <w:ind w:left="180"/>
              <w:spacing w:after="0"/>
              <w:rPr>
                <w:sz w:val="20"/>
                <w:szCs w:val="20"/>
                <w:color w:val="auto"/>
              </w:rPr>
            </w:pPr>
            <w:r>
              <w:rPr>
                <w:rFonts w:ascii="Arial" w:cs="Arial" w:eastAsia="Arial" w:hAnsi="Arial"/>
                <w:sz w:val="16"/>
                <w:szCs w:val="16"/>
                <w:color w:val="auto"/>
              </w:rPr>
              <w:t>Foreign currency remeasurement and transaction (gains) losses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Undistributed earnings of nonconsolidated affiliates, net</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23"/>
        </w:trPr>
        <w:tc>
          <w:tcPr>
            <w:tcW w:w="7780" w:type="dxa"/>
            <w:vAlign w:val="bottom"/>
          </w:tcPr>
          <w:p>
            <w:pPr>
              <w:ind w:left="180"/>
              <w:spacing w:after="0"/>
              <w:rPr>
                <w:sz w:val="20"/>
                <w:szCs w:val="20"/>
                <w:color w:val="auto"/>
              </w:rPr>
            </w:pPr>
            <w:r>
              <w:rPr>
                <w:rFonts w:ascii="Arial" w:cs="Arial" w:eastAsia="Arial" w:hAnsi="Arial"/>
                <w:sz w:val="16"/>
                <w:szCs w:val="16"/>
                <w:color w:val="auto"/>
              </w:rPr>
              <w:t>Pension contributions and OPEB payments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and OPEB income, net</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24"/>
        </w:trPr>
        <w:tc>
          <w:tcPr>
            <w:tcW w:w="7780" w:type="dxa"/>
            <w:vAlign w:val="bottom"/>
          </w:tcPr>
          <w:p>
            <w:pPr>
              <w:ind w:left="180"/>
              <w:spacing w:after="0"/>
              <w:rPr>
                <w:sz w:val="20"/>
                <w:szCs w:val="20"/>
                <w:color w:val="auto"/>
              </w:rPr>
            </w:pPr>
            <w:r>
              <w:rPr>
                <w:rFonts w:ascii="Arial" w:cs="Arial" w:eastAsia="Arial" w:hAnsi="Arial"/>
                <w:sz w:val="16"/>
                <w:szCs w:val="16"/>
                <w:color w:val="auto"/>
              </w:rPr>
              <w:t>Provision (benefit) for deferred taxes</w:t>
            </w:r>
          </w:p>
        </w:tc>
        <w:tc>
          <w:tcPr>
            <w:tcW w:w="220" w:type="dxa"/>
            <w:vAlign w:val="bottom"/>
          </w:tcPr>
          <w:p>
            <w:pPr>
              <w:spacing w:after="0"/>
              <w:rPr>
                <w:sz w:val="19"/>
                <w:szCs w:val="19"/>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operating assets and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(5,316)</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1,561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23"/>
        </w:trPr>
        <w:tc>
          <w:tcPr>
            <w:tcW w:w="7780" w:type="dxa"/>
            <w:vAlign w:val="bottom"/>
          </w:tcPr>
          <w:p>
            <w:pPr>
              <w:ind w:left="180"/>
              <w:spacing w:after="0"/>
              <w:rPr>
                <w:sz w:val="20"/>
                <w:szCs w:val="20"/>
                <w:color w:val="auto"/>
              </w:rPr>
            </w:pPr>
            <w:r>
              <w:rPr>
                <w:rFonts w:ascii="Arial" w:cs="Arial" w:eastAsia="Arial" w:hAnsi="Arial"/>
                <w:sz w:val="16"/>
                <w:szCs w:val="16"/>
                <w:color w:val="auto"/>
              </w:rPr>
              <w:t>Expenditures for property</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(2,014)</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6"/>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Available-for-sale marketable securities, acquisitions</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r>
      <w:tr>
        <w:trPr>
          <w:trHeight w:val="224"/>
        </w:trPr>
        <w:tc>
          <w:tcPr>
            <w:tcW w:w="7780" w:type="dxa"/>
            <w:vAlign w:val="bottom"/>
          </w:tcPr>
          <w:p>
            <w:pPr>
              <w:ind w:left="180"/>
              <w:spacing w:after="0"/>
              <w:rPr>
                <w:sz w:val="20"/>
                <w:szCs w:val="20"/>
                <w:color w:val="auto"/>
              </w:rPr>
            </w:pPr>
            <w:r>
              <w:rPr>
                <w:rFonts w:ascii="Arial" w:cs="Arial" w:eastAsia="Arial" w:hAnsi="Arial"/>
                <w:sz w:val="16"/>
                <w:szCs w:val="16"/>
                <w:color w:val="auto"/>
              </w:rPr>
              <w:t>Available-for-sale marketable securities, liquidations</w:t>
            </w:r>
          </w:p>
        </w:tc>
        <w:tc>
          <w:tcPr>
            <w:tcW w:w="220" w:type="dxa"/>
            <w:vAlign w:val="bottom"/>
          </w:tcPr>
          <w:p>
            <w:pPr>
              <w:spacing w:after="0"/>
              <w:rPr>
                <w:sz w:val="19"/>
                <w:szCs w:val="19"/>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678</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finance receivables, net</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(7,215)</w:t>
            </w:r>
          </w:p>
        </w:tc>
      </w:tr>
      <w:tr>
        <w:trPr>
          <w:trHeight w:val="223"/>
        </w:trPr>
        <w:tc>
          <w:tcPr>
            <w:tcW w:w="7780" w:type="dxa"/>
            <w:vAlign w:val="bottom"/>
          </w:tcPr>
          <w:p>
            <w:pPr>
              <w:ind w:left="180"/>
              <w:spacing w:after="0"/>
              <w:rPr>
                <w:sz w:val="20"/>
                <w:szCs w:val="20"/>
                <w:color w:val="auto"/>
              </w:rPr>
            </w:pPr>
            <w:r>
              <w:rPr>
                <w:rFonts w:ascii="Arial" w:cs="Arial" w:eastAsia="Arial" w:hAnsi="Arial"/>
                <w:sz w:val="16"/>
                <w:szCs w:val="16"/>
                <w:color w:val="auto"/>
              </w:rPr>
              <w:t>Principal collections and recoveries on finance receivables</w:t>
            </w:r>
          </w:p>
        </w:tc>
        <w:tc>
          <w:tcPr>
            <w:tcW w:w="220" w:type="dxa"/>
            <w:vAlign w:val="bottom"/>
          </w:tcPr>
          <w:p>
            <w:pPr>
              <w:spacing w:after="0"/>
              <w:rPr>
                <w:sz w:val="19"/>
                <w:szCs w:val="19"/>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4,739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6,207</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6"/>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leased vehicles, net</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(3,747)</w:t>
            </w:r>
          </w:p>
        </w:tc>
      </w:tr>
      <w:tr>
        <w:trPr>
          <w:trHeight w:val="223"/>
        </w:trPr>
        <w:tc>
          <w:tcPr>
            <w:tcW w:w="7780" w:type="dxa"/>
            <w:vAlign w:val="bottom"/>
          </w:tcPr>
          <w:p>
            <w:pPr>
              <w:ind w:left="180"/>
              <w:spacing w:after="0"/>
              <w:rPr>
                <w:sz w:val="20"/>
                <w:szCs w:val="20"/>
                <w:color w:val="auto"/>
              </w:rPr>
            </w:pPr>
            <w:r>
              <w:rPr>
                <w:rFonts w:ascii="Arial" w:cs="Arial" w:eastAsia="Arial" w:hAnsi="Arial"/>
                <w:sz w:val="16"/>
                <w:szCs w:val="16"/>
                <w:color w:val="auto"/>
              </w:rPr>
              <w:t>Proceeds from termination of leased vehicles</w:t>
            </w:r>
          </w:p>
        </w:tc>
        <w:tc>
          <w:tcPr>
            <w:tcW w:w="220" w:type="dxa"/>
            <w:vAlign w:val="bottom"/>
          </w:tcPr>
          <w:p>
            <w:pPr>
              <w:spacing w:after="0"/>
              <w:rPr>
                <w:sz w:val="19"/>
                <w:szCs w:val="19"/>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3,088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3,059</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(6,570)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(3,711)</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23"/>
        </w:trPr>
        <w:tc>
          <w:tcPr>
            <w:tcW w:w="7780" w:type="dxa"/>
            <w:vAlign w:val="bottom"/>
          </w:tcPr>
          <w:p>
            <w:pPr>
              <w:ind w:left="180"/>
              <w:spacing w:after="0"/>
              <w:rPr>
                <w:sz w:val="20"/>
                <w:szCs w:val="20"/>
                <w:color w:val="auto"/>
              </w:rPr>
            </w:pPr>
            <w:r>
              <w:rPr>
                <w:rFonts w:ascii="Arial" w:cs="Arial" w:eastAsia="Arial" w:hAnsi="Arial"/>
                <w:sz w:val="16"/>
                <w:szCs w:val="16"/>
                <w:color w:val="auto"/>
              </w:rPr>
              <w:t>Net increase in short-term debt</w:t>
            </w:r>
          </w:p>
        </w:tc>
        <w:tc>
          <w:tcPr>
            <w:tcW w:w="220" w:type="dxa"/>
            <w:vAlign w:val="bottom"/>
          </w:tcPr>
          <w:p>
            <w:pPr>
              <w:spacing w:after="0"/>
              <w:rPr>
                <w:sz w:val="19"/>
                <w:szCs w:val="19"/>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959</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debt (original maturities greater than three months)</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11,757</w:t>
            </w:r>
          </w:p>
        </w:tc>
      </w:tr>
      <w:tr>
        <w:trPr>
          <w:trHeight w:val="223"/>
        </w:trPr>
        <w:tc>
          <w:tcPr>
            <w:tcW w:w="7780" w:type="dxa"/>
            <w:vAlign w:val="bottom"/>
          </w:tcPr>
          <w:p>
            <w:pPr>
              <w:ind w:left="180"/>
              <w:spacing w:after="0"/>
              <w:rPr>
                <w:sz w:val="20"/>
                <w:szCs w:val="20"/>
                <w:color w:val="auto"/>
              </w:rPr>
            </w:pPr>
            <w:r>
              <w:rPr>
                <w:rFonts w:ascii="Arial" w:cs="Arial" w:eastAsia="Arial" w:hAnsi="Arial"/>
                <w:sz w:val="16"/>
                <w:szCs w:val="16"/>
                <w:color w:val="auto"/>
              </w:rPr>
              <w:t>Payments on debt (original maturities greater than three months)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(11,339)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(10,777)</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6"/>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r>
      <w:tr>
        <w:trPr>
          <w:trHeight w:val="223"/>
        </w:trPr>
        <w:tc>
          <w:tcPr>
            <w:tcW w:w="7780" w:type="dxa"/>
            <w:vAlign w:val="bottom"/>
          </w:tcPr>
          <w:p>
            <w:pPr>
              <w:ind w:left="180"/>
              <w:spacing w:after="0"/>
              <w:rPr>
                <w:sz w:val="20"/>
                <w:szCs w:val="20"/>
                <w:color w:val="auto"/>
              </w:rPr>
            </w:pPr>
            <w:r>
              <w:rPr>
                <w:rFonts w:ascii="Arial" w:cs="Arial" w:eastAsia="Arial" w:hAnsi="Arial"/>
                <w:sz w:val="16"/>
                <w:szCs w:val="16"/>
                <w:color w:val="auto"/>
              </w:rPr>
              <w:t>Other financing activities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1,077</w:t>
            </w:r>
          </w:p>
        </w:tc>
      </w:tr>
      <w:tr>
        <w:trPr>
          <w:trHeight w:val="223"/>
        </w:trPr>
        <w:tc>
          <w:tcPr>
            <w:tcW w:w="7780" w:type="dxa"/>
            <w:vAlign w:val="bottom"/>
          </w:tcPr>
          <w:p>
            <w:pPr>
              <w:ind w:left="1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(2,715)</w:t>
            </w:r>
          </w:p>
        </w:tc>
      </w:tr>
      <w:tr>
        <w:trPr>
          <w:trHeight w:val="223"/>
        </w:trPr>
        <w:tc>
          <w:tcPr>
            <w:tcW w:w="778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20" w:type="dxa"/>
            <w:vAlign w:val="bottom"/>
          </w:tcPr>
          <w:p>
            <w:pPr>
              <w:spacing w:after="0"/>
              <w:rPr>
                <w:sz w:val="19"/>
                <w:szCs w:val="19"/>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22,943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23,496</w:t>
            </w: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20,781</w:t>
            </w: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3"/>
        </w:trPr>
        <w:tc>
          <w:tcPr>
            <w:tcW w:w="7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Significant Non-cash Investing and Financing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Non-cash property additions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1,262</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1,785</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9"/>
              </w:rPr>
              <w:t>Common Stockholders’</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Noncontrolling</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Comprehensive Loss</w:t>
            </w: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25,563</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22,322</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3,917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42,777</w:t>
            </w: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2,157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2,145</w:t>
            </w:r>
          </w:p>
        </w:tc>
        <w:tc>
          <w:tcPr>
            <w:tcW w:w="0" w:type="dxa"/>
            <w:vAlign w:val="bottom"/>
          </w:tcPr>
          <w:p>
            <w:pPr>
              <w:spacing w:after="0"/>
              <w:rPr>
                <w:sz w:val="1"/>
                <w:szCs w:val="1"/>
                <w:color w:val="auto"/>
              </w:rPr>
            </w:pPr>
          </w:p>
        </w:tc>
      </w:tr>
      <w:tr>
        <w:trPr>
          <w:trHeight w:val="263"/>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51"/>
        </w:trPr>
        <w:tc>
          <w:tcPr>
            <w:tcW w:w="450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63"/>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51"/>
        </w:trPr>
        <w:tc>
          <w:tcPr>
            <w:tcW w:w="450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2"/>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at March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25,661</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23,939</w:t>
            </w:r>
          </w:p>
        </w:tc>
        <w:tc>
          <w:tcPr>
            <w:tcW w:w="100" w:type="dxa"/>
            <w:vAlign w:val="bottom"/>
            <w:tcBorders>
              <w:bottom w:val="single" w:sz="8" w:color="CCEEFF"/>
            </w:tcBorders>
          </w:tcPr>
          <w:p>
            <w:pPr>
              <w:spacing w:after="0"/>
              <w:rPr>
                <w:sz w:val="23"/>
                <w:szCs w:val="23"/>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(8,849)</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3,873</w:t>
            </w:r>
          </w:p>
        </w:tc>
        <w:tc>
          <w:tcPr>
            <w:tcW w:w="10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44,638</w:t>
            </w: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500" w:type="dxa"/>
            <w:vAlign w:val="bottom"/>
          </w:tcPr>
          <w:p>
            <w:pPr>
              <w:ind w:left="20"/>
              <w:spacing w:after="0"/>
              <w:rPr>
                <w:sz w:val="20"/>
                <w:szCs w:val="20"/>
                <w:color w:val="auto"/>
              </w:rPr>
            </w:pPr>
            <w:r>
              <w:rPr>
                <w:rFonts w:ascii="Arial" w:cs="Arial" w:eastAsia="Arial" w:hAnsi="Arial"/>
                <w:sz w:val="16"/>
                <w:szCs w:val="16"/>
                <w:b w:val="1"/>
                <w:bCs w:val="1"/>
                <w:color w:val="auto"/>
              </w:rPr>
              <w:t>Balance at January 1, 2020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26,074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26,860</w:t>
            </w:r>
          </w:p>
        </w:tc>
        <w:tc>
          <w:tcPr>
            <w:tcW w:w="10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(11,156)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4,165</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45,957</w:t>
            </w:r>
          </w:p>
        </w:tc>
        <w:tc>
          <w:tcPr>
            <w:tcW w:w="0" w:type="dxa"/>
            <w:vAlign w:val="bottom"/>
          </w:tcPr>
          <w:p>
            <w:pPr>
              <w:spacing w:after="0"/>
              <w:rPr>
                <w:sz w:val="1"/>
                <w:szCs w:val="1"/>
                <w:color w:val="auto"/>
              </w:rPr>
            </w:pPr>
          </w:p>
        </w:tc>
      </w:tr>
      <w:tr>
        <w:trPr>
          <w:trHeight w:val="262"/>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Adoption of accounting standards (Note 1)</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63"/>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Arial" w:cs="Arial" w:eastAsia="Arial" w:hAnsi="Arial"/>
                <w:sz w:val="16"/>
                <w:szCs w:val="16"/>
                <w:color w:val="auto"/>
              </w:rPr>
              <w:t>Issuance of subsidiary preferred stock</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63"/>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common stock</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3"/>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251"/>
        </w:trPr>
        <w:tc>
          <w:tcPr>
            <w:tcW w:w="450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2"/>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7"/>
        </w:trPr>
        <w:tc>
          <w:tcPr>
            <w:tcW w:w="450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26,014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25,885</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(11,800)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4,204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44,317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General Motors Company (sometimes referred to in this Quarterly Report on Form 10-Q as we, our, us, ourselves, the Company, General Motors or GM) designs, builds and sells trucks, crossovers, cars and automobile parts worldwide and is investing in and growing an autonomous vehicle business. We also provide automotive financing services through General Motors Financial Company, Inc. (GM Financial). We analyze the results of our operations through the following operating segments: GM North America (GMNA), GM International Operations (GMIO), GM South America (GMSA), Cruise, and GM Financial. Our GMSA and GMIO operating segments are reported as one, combined international segment, GM International (GMI). Cruise, formerly GM Cruise, is our global segment responsible for the development and commercialization of autonomous vehicle technology. Nonsegment operations are classified as Corporate. Corporate includes certain centrally recorded income and costs such as interest, income taxes, corporate expenditures and certain nonsegment-specific revenues and expenses.</w:t>
      </w:r>
    </w:p>
    <w:p>
      <w:pPr>
        <w:spacing w:after="0" w:line="17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2019 Form 10-K. Except for per share amounts or as otherwise specified, dollar amounts presented within tables are stated in millions.</w:t>
      </w:r>
    </w:p>
    <w:p>
      <w:pPr>
        <w:spacing w:after="0" w:line="17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We consolidate entities that we control due to ownership of a majority voting interest and we consolidate variable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entities (VIEs) when we are the primary beneficiary.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Recently Adopted Accounting Standards </w:t>
      </w:r>
      <w:r>
        <w:rPr>
          <w:rFonts w:ascii="Arial" w:cs="Arial" w:eastAsia="Arial" w:hAnsi="Arial"/>
          <w:sz w:val="18"/>
          <w:szCs w:val="18"/>
          <w:color w:val="auto"/>
        </w:rPr>
        <w:t>Effective January 1, 2020, we adopted Accounting Standards Update (ASU) 2016-13, "Financial Instruments -</w:t>
      </w:r>
      <w:r>
        <w:rPr>
          <w:rFonts w:ascii="Arial" w:cs="Arial" w:eastAsia="Arial" w:hAnsi="Arial"/>
          <w:sz w:val="18"/>
          <w:szCs w:val="18"/>
          <w:b w:val="1"/>
          <w:bCs w:val="1"/>
          <w:color w:val="auto"/>
        </w:rPr>
        <w:t xml:space="preserve"> </w:t>
      </w:r>
      <w:r>
        <w:rPr>
          <w:rFonts w:ascii="Arial" w:cs="Arial" w:eastAsia="Arial" w:hAnsi="Arial"/>
          <w:sz w:val="18"/>
          <w:szCs w:val="18"/>
          <w:color w:val="auto"/>
        </w:rPr>
        <w:t>Credit Losses (Topic 326): Measurement of Credit Losses on Financial Instruments" (ASU 2016-13), which requires entities to use a new impairment model based on current expected credit losses (CECL) rather than incurred losses. Estimated credit losses under CECL consider relevant information about past events, current conditions and reasonable and supportable forecasts that affect the collectability of financial assets, resulting in recognition of lifetime expected credit losses at initial recognition of the related asset. We adopted ASU 2016-13 on a modified retrospective basis by recognizing an after-tax cumulative-effect adjustment to the opening balance of Retained earnings of $660 million, inclusive of $643 million related to GM Financial. The application of ASU 2016-13 increased our allowance for loan losses related to GM Financial receivables, net by $801 million and had an insignificant impact to our allowance for credit losses for Accounts and notes receivable and no adoption impact to Marketable debt securities on our condensed consolidated balance sheets.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Accounting Standards Not Yet Adopted </w:t>
      </w:r>
      <w:r>
        <w:rPr>
          <w:rFonts w:ascii="Arial" w:cs="Arial" w:eastAsia="Arial" w:hAnsi="Arial"/>
          <w:sz w:val="17"/>
          <w:szCs w:val="17"/>
          <w:color w:val="auto"/>
        </w:rPr>
        <w:t>In March 2020, the Financial Accounting Standards Board issued ASU 2020-04, “Reference Rate Reform (Topic</w:t>
      </w:r>
      <w:r>
        <w:rPr>
          <w:rFonts w:ascii="Arial" w:cs="Arial" w:eastAsia="Arial" w:hAnsi="Arial"/>
          <w:sz w:val="17"/>
          <w:szCs w:val="17"/>
          <w:b w:val="1"/>
          <w:bCs w:val="1"/>
          <w:color w:val="auto"/>
        </w:rPr>
        <w:t xml:space="preserve"> </w:t>
      </w:r>
      <w:r>
        <w:rPr>
          <w:rFonts w:ascii="Arial" w:cs="Arial" w:eastAsia="Arial" w:hAnsi="Arial"/>
          <w:sz w:val="17"/>
          <w:szCs w:val="17"/>
          <w:color w:val="auto"/>
        </w:rPr>
        <w:t>848): Facilitation of the Effects of Reference Rate Reform on Financial Reporting” (ASU 2020-04), which provides optional expedients and exceptions for applying U.S. GAAP if certain criteria are met to contracts, hedging relationships and other transactions that reference LIBOR or another reference rate expected to be discontinued. ASU 2020-04 became effective March 12, 2020 and may be applied prospectively through December 31, 2022. We do not believe the discontinuance of LIBOR will be a significant event for our Automotive arrangements. A substantial portion of GM Financial’s indebtedness bears interest at variable interest rates, primarily based on USD-LIBOR. We are currently assessing the impact the discontinuance of LIBOR or another reference rate will have on GM Financial’s contracts, hedging relationships and other transactions that, once completed, will determine the effect of adopting this guidance on our condensed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jc w:val="both"/>
        <w:ind w:right="20" w:firstLine="162"/>
        <w:spacing w:after="0" w:line="286" w:lineRule="auto"/>
        <w:rPr>
          <w:sz w:val="20"/>
          <w:szCs w:val="20"/>
          <w:color w:val="auto"/>
        </w:rPr>
      </w:pPr>
      <w:r>
        <w:rPr>
          <w:rFonts w:ascii="Arial" w:cs="Arial" w:eastAsia="Arial" w:hAnsi="Arial"/>
          <w:sz w:val="17"/>
          <w:szCs w:val="17"/>
          <w:color w:val="auto"/>
        </w:rPr>
        <w:t>The information presented on Marketable Debt Securities, Accounts and Notes Receivable and GM Financial Receivables supplements the Significant Accounting Policies information presented in our 2019 Form 10-K to reflect the adoption of ASU 2016-13 that became effective January 1, 2020. See our 2019 Form 10-K for a description of our significant accounting policies in effect prior to the adoption of ASU 2016-13.</w:t>
      </w:r>
    </w:p>
    <w:p>
      <w:pPr>
        <w:spacing w:after="0" w:line="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Marketable Debt Securities </w:t>
      </w:r>
      <w:r>
        <w:rPr>
          <w:rFonts w:ascii="Arial" w:cs="Arial" w:eastAsia="Arial" w:hAnsi="Arial"/>
          <w:sz w:val="18"/>
          <w:szCs w:val="18"/>
          <w:color w:val="auto"/>
        </w:rPr>
        <w:t>We classify marketable debt securities as either available-for-sale or trading. Various factors, including turnover of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investment guidelines, are considered in determining the classification of securities. Available-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for-sale debt securities are recorded at fair value with unrealized gains, and losses that are not credit related, recorded net of applicable taxes in Accumulated other comprehensive loss until realized. Credit losses are recorded in Interest income and other non-operating income, net.</w:t>
      </w:r>
    </w:p>
    <w:p>
      <w:pPr>
        <w:spacing w:after="0" w:line="6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evaluation is made quarterly to determine if any portion of unrealized losses on available-for-sale debt securities is related to credit losses or whether any unrealized losses recorded in Accumulated other comprehensive loss need to be reclassified. Non-credit related unrealized losses are reclassified to Interest income and other non-operating income, net if we intend to sell the security or it is more likely than not that we will be required to sell the security before the recovery of the unrealized loss.</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Accounts and Notes Receivable </w:t>
      </w:r>
      <w:r>
        <w:rPr>
          <w:rFonts w:ascii="Arial" w:cs="Arial" w:eastAsia="Arial" w:hAnsi="Arial"/>
          <w:sz w:val="18"/>
          <w:szCs w:val="18"/>
          <w:color w:val="auto"/>
        </w:rPr>
        <w:t>Accounts and notes receivable primarily consists of amounts that are due and payable from our customers for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parts, and accessories. We evaluate the collectability of receivables each reporting period and record an allowance for doubtful accounts to present the net amount expected to be collected on our receivables. Additions to the allowance are charged to bad debt expense and reported in Automotive and other selling, general and administrative expense.</w:t>
      </w:r>
    </w:p>
    <w:p>
      <w:pPr>
        <w:spacing w:after="0" w:line="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GM Financial Receivables </w:t>
      </w:r>
      <w:r>
        <w:rPr>
          <w:rFonts w:ascii="Arial" w:cs="Arial" w:eastAsia="Arial" w:hAnsi="Arial"/>
          <w:sz w:val="17"/>
          <w:szCs w:val="17"/>
          <w:color w:val="auto"/>
        </w:rPr>
        <w:t>Finance receivables are carried at amortized cost, net of allowance for loan losses. Provisions for loan losses are charged to</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in amounts sufficient to maintain the allowance for loan losses at levels considered adequate to cover expected credit losses on the finance receivables. For retail finance receivables, GM Financial uses static pool modeling techniques to determine the allowance for loan losses expected over the remaining life of the receivables, which is supplemented by management judgment. The modeling techniques incorporate reasonable and supportable forecasts of economic conditions over the expected remaining life of the finance receivables. The economic forecasts incorporate factors which vary by region that GM Financial believes will have the largest impact on expected losses, including unemployment rates, interest rate spreads, disposable personal income and growth rates in gross domestic product.</w:t>
      </w:r>
    </w:p>
    <w:p>
      <w:pPr>
        <w:spacing w:after="0" w:line="9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Troubled debt restructurings (TDRs) are grouped separately for purposes of measuring the allowance. The allowance for TDRs uses static pool modeling techniques like non-TDR retail finance receivables to determine the expected loss amount. The expected cash flows of the receivables are then discounted at the original weighted average effective interest rate of the pool. Factors considered when estimating the allowance for TDRs are based on an evaluation of historical and current information, which may be supplemented by management judgment. Finance charge income from loans classified as TDRs is accounted for in the same manner as other accruing loans. Cash collections on these loans are allocated according to the same payment hierarchy methodology applied to loans that are not classified as TDRs.</w:t>
      </w:r>
    </w:p>
    <w:p>
      <w:pPr>
        <w:spacing w:after="0" w:line="1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Commercial finance receivables are carried at amortized cost, net of allowance for loan losses and any amounts received under a cash management program. GM Financial establishes the allowance for loan losses based on historical loss experience, as well as the forecast for industry vehicle sales, which is the economic indicator believed to have the largest impact on expected losses.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disaggregates our revenue by major source: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jc w:val="center"/>
              <w:ind w:left="121"/>
              <w:spacing w:after="0"/>
              <w:rPr>
                <w:sz w:val="20"/>
                <w:szCs w:val="20"/>
                <w:color w:val="auto"/>
              </w:rPr>
            </w:pPr>
            <w:r>
              <w:rPr>
                <w:rFonts w:ascii="Arial" w:cs="Arial" w:eastAsia="Arial" w:hAnsi="Arial"/>
                <w:sz w:val="14"/>
                <w:szCs w:val="14"/>
                <w:b w:val="1"/>
                <w:bCs w:val="1"/>
                <w:color w:val="auto"/>
                <w:w w:val="95"/>
              </w:rPr>
              <w:t>Three Months Ended March 31, 2020</w:t>
            </w:r>
          </w:p>
        </w:tc>
        <w:tc>
          <w:tcPr>
            <w:tcW w:w="8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GMNA</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GMI</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2"/>
              </w:rPr>
              <w:t>Corporate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rPr>
              <w:t>Cruise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GM</w:t>
            </w:r>
          </w:p>
        </w:tc>
        <w:tc>
          <w:tcPr>
            <w:tcW w:w="1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Eliminations/Reclassifications</w:t>
            </w:r>
          </w:p>
        </w:tc>
        <w:tc>
          <w:tcPr>
            <w:tcW w:w="1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Automotive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2"/>
              </w:rPr>
              <w:t>Financial</w:t>
            </w: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Vehicle, parts and accessories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27,574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27,574</w:t>
            </w:r>
          </w:p>
        </w:tc>
        <w:tc>
          <w:tcPr>
            <w:tcW w:w="0" w:type="dxa"/>
            <w:vAlign w:val="bottom"/>
          </w:tcPr>
          <w:p>
            <w:pPr>
              <w:spacing w:after="0"/>
              <w:rPr>
                <w:sz w:val="1"/>
                <w:szCs w:val="1"/>
                <w:color w:val="auto"/>
              </w:rPr>
            </w:pPr>
          </w:p>
        </w:tc>
      </w:tr>
      <w:tr>
        <w:trPr>
          <w:trHeight w:val="237"/>
        </w:trPr>
        <w:tc>
          <w:tcPr>
            <w:tcW w:w="2760" w:type="dxa"/>
            <w:vAlign w:val="bottom"/>
          </w:tcPr>
          <w:p>
            <w:pPr>
              <w:ind w:left="180"/>
              <w:spacing w:after="0"/>
              <w:rPr>
                <w:sz w:val="20"/>
                <w:szCs w:val="20"/>
                <w:color w:val="auto"/>
              </w:rPr>
            </w:pPr>
            <w:r>
              <w:rPr>
                <w:rFonts w:ascii="Arial" w:cs="Arial" w:eastAsia="Arial" w:hAnsi="Arial"/>
                <w:sz w:val="16"/>
                <w:szCs w:val="16"/>
                <w:color w:val="auto"/>
              </w:rPr>
              <w:t>Used vehicles</w:t>
            </w:r>
          </w:p>
        </w:tc>
        <w:tc>
          <w:tcPr>
            <w:tcW w:w="16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center"/>
              <w:ind w:left="60"/>
              <w:spacing w:after="0"/>
              <w:rPr>
                <w:sz w:val="20"/>
                <w:szCs w:val="20"/>
                <w:color w:val="auto"/>
              </w:rPr>
            </w:pPr>
            <w:r>
              <w:rPr>
                <w:rFonts w:ascii="Arial" w:cs="Arial" w:eastAsia="Arial" w:hAnsi="Arial"/>
                <w:sz w:val="16"/>
                <w:szCs w:val="16"/>
                <w:color w:val="auto"/>
                <w:w w:val="89"/>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1,173</w:t>
            </w:r>
          </w:p>
        </w:tc>
        <w:tc>
          <w:tcPr>
            <w:tcW w:w="0" w:type="dxa"/>
            <w:vAlign w:val="bottom"/>
          </w:tcPr>
          <w:p>
            <w:pPr>
              <w:spacing w:after="0"/>
              <w:rPr>
                <w:sz w:val="1"/>
                <w:szCs w:val="1"/>
                <w:color w:val="auto"/>
              </w:rPr>
            </w:pPr>
          </w:p>
        </w:tc>
      </w:tr>
      <w:tr>
        <w:trPr>
          <w:trHeight w:val="217"/>
        </w:trPr>
        <w:tc>
          <w:tcPr>
            <w:tcW w:w="2760" w:type="dxa"/>
            <w:vAlign w:val="bottom"/>
          </w:tcPr>
          <w:p>
            <w:pPr>
              <w:ind w:left="280"/>
              <w:spacing w:after="0"/>
              <w:rPr>
                <w:sz w:val="20"/>
                <w:szCs w:val="20"/>
                <w:color w:val="auto"/>
              </w:rPr>
            </w:pPr>
            <w:r>
              <w:rPr>
                <w:rFonts w:ascii="Arial" w:cs="Arial" w:eastAsia="Arial" w:hAnsi="Arial"/>
                <w:sz w:val="16"/>
                <w:szCs w:val="16"/>
                <w:color w:val="auto"/>
              </w:rPr>
              <w:t>Automotive net sales and revenue</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25,831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3,280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29,149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center"/>
              <w:ind w:left="60"/>
              <w:spacing w:after="0"/>
              <w:rPr>
                <w:sz w:val="20"/>
                <w:szCs w:val="20"/>
                <w:color w:val="auto"/>
              </w:rPr>
            </w:pPr>
            <w:r>
              <w:rPr>
                <w:rFonts w:ascii="Arial" w:cs="Arial" w:eastAsia="Arial" w:hAnsi="Arial"/>
                <w:sz w:val="16"/>
                <w:szCs w:val="16"/>
                <w:color w:val="auto"/>
                <w:w w:val="89"/>
              </w:rPr>
              <w:t>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29,150</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Leased vehicle income</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2,463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2,463</w:t>
            </w:r>
          </w:p>
        </w:tc>
        <w:tc>
          <w:tcPr>
            <w:tcW w:w="0" w:type="dxa"/>
            <w:vAlign w:val="bottom"/>
          </w:tcPr>
          <w:p>
            <w:pPr>
              <w:spacing w:after="0"/>
              <w:rPr>
                <w:sz w:val="1"/>
                <w:szCs w:val="1"/>
                <w:color w:val="auto"/>
              </w:rPr>
            </w:pPr>
          </w:p>
        </w:tc>
      </w:tr>
      <w:tr>
        <w:trPr>
          <w:trHeight w:val="237"/>
        </w:trPr>
        <w:tc>
          <w:tcPr>
            <w:tcW w:w="2760" w:type="dxa"/>
            <w:vAlign w:val="bottom"/>
          </w:tcPr>
          <w:p>
            <w:pPr>
              <w:ind w:left="180"/>
              <w:spacing w:after="0"/>
              <w:rPr>
                <w:sz w:val="20"/>
                <w:szCs w:val="20"/>
                <w:color w:val="auto"/>
              </w:rPr>
            </w:pPr>
            <w:r>
              <w:rPr>
                <w:rFonts w:ascii="Arial" w:cs="Arial" w:eastAsia="Arial" w:hAnsi="Arial"/>
                <w:sz w:val="16"/>
                <w:szCs w:val="16"/>
                <w:color w:val="auto"/>
              </w:rPr>
              <w:t>Finance charge income</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4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7"/>
        </w:trPr>
        <w:tc>
          <w:tcPr>
            <w:tcW w:w="2760" w:type="dxa"/>
            <w:vAlign w:val="bottom"/>
          </w:tcPr>
          <w:p>
            <w:pPr>
              <w:ind w:left="280"/>
              <w:spacing w:after="0"/>
              <w:rPr>
                <w:sz w:val="20"/>
                <w:szCs w:val="20"/>
                <w:color w:val="auto"/>
              </w:rPr>
            </w:pPr>
            <w:r>
              <w:rPr>
                <w:rFonts w:ascii="Arial" w:cs="Arial" w:eastAsia="Arial" w:hAnsi="Arial"/>
                <w:sz w:val="16"/>
                <w:szCs w:val="16"/>
                <w:color w:val="auto"/>
                <w:w w:val="96"/>
              </w:rPr>
              <w:t>GM Financial net sales and revenue</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center"/>
              <w:ind w:left="6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3,561</w:t>
            </w: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3,559</w:t>
            </w:r>
          </w:p>
        </w:tc>
        <w:tc>
          <w:tcPr>
            <w:tcW w:w="0" w:type="dxa"/>
            <w:vAlign w:val="bottom"/>
          </w:tcPr>
          <w:p>
            <w:pPr>
              <w:spacing w:after="0"/>
              <w:rPr>
                <w:sz w:val="1"/>
                <w:szCs w:val="1"/>
                <w:color w:val="auto"/>
              </w:rPr>
            </w:pPr>
          </w:p>
        </w:tc>
      </w:tr>
      <w:tr>
        <w:trPr>
          <w:trHeight w:val="33"/>
        </w:trPr>
        <w:tc>
          <w:tcPr>
            <w:tcW w:w="2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sales and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29,149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center"/>
              <w:ind w:left="60"/>
              <w:spacing w:after="0"/>
              <w:rPr>
                <w:sz w:val="20"/>
                <w:szCs w:val="20"/>
                <w:color w:val="auto"/>
              </w:rPr>
            </w:pPr>
            <w:r>
              <w:rPr>
                <w:rFonts w:ascii="Arial" w:cs="Arial" w:eastAsia="Arial" w:hAnsi="Arial"/>
                <w:sz w:val="16"/>
                <w:szCs w:val="16"/>
                <w:color w:val="auto"/>
                <w:w w:val="89"/>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3,561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32,709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rPr>
              <w:t>Three Months Ended March 31, 2019</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GMI</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rPr>
              <w:t>Cruise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GM</w:t>
            </w:r>
          </w:p>
        </w:tc>
        <w:tc>
          <w:tcPr>
            <w:tcW w:w="14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3"/>
                <w:szCs w:val="13"/>
                <w:color w:val="auto"/>
              </w:rPr>
            </w:pPr>
          </w:p>
        </w:tc>
        <w:tc>
          <w:tcPr>
            <w:tcW w:w="6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3"/>
              </w:rPr>
              <w:t>Automotive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89"/>
              </w:rPr>
              <w:t>Reclassifications</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Vehicle, parts and accessories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29,529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29,529</w:t>
            </w:r>
          </w:p>
        </w:tc>
        <w:tc>
          <w:tcPr>
            <w:tcW w:w="0" w:type="dxa"/>
            <w:vAlign w:val="bottom"/>
          </w:tcPr>
          <w:p>
            <w:pPr>
              <w:spacing w:after="0"/>
              <w:rPr>
                <w:sz w:val="1"/>
                <w:szCs w:val="1"/>
                <w:color w:val="auto"/>
              </w:rPr>
            </w:pPr>
          </w:p>
        </w:tc>
      </w:tr>
      <w:tr>
        <w:trPr>
          <w:trHeight w:val="237"/>
        </w:trPr>
        <w:tc>
          <w:tcPr>
            <w:tcW w:w="3040" w:type="dxa"/>
            <w:vAlign w:val="bottom"/>
          </w:tcPr>
          <w:p>
            <w:pPr>
              <w:ind w:left="180"/>
              <w:spacing w:after="0"/>
              <w:rPr>
                <w:sz w:val="20"/>
                <w:szCs w:val="20"/>
                <w:color w:val="auto"/>
              </w:rPr>
            </w:pPr>
            <w:r>
              <w:rPr>
                <w:rFonts w:ascii="Arial" w:cs="Arial" w:eastAsia="Arial" w:hAnsi="Arial"/>
                <w:sz w:val="16"/>
                <w:szCs w:val="16"/>
                <w:color w:val="auto"/>
              </w:rPr>
              <w:t>Used vehicles</w:t>
            </w:r>
          </w:p>
        </w:tc>
        <w:tc>
          <w:tcPr>
            <w:tcW w:w="18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17"/>
        </w:trPr>
        <w:tc>
          <w:tcPr>
            <w:tcW w:w="3040" w:type="dxa"/>
            <w:vAlign w:val="bottom"/>
          </w:tcPr>
          <w:p>
            <w:pPr>
              <w:ind w:left="280"/>
              <w:spacing w:after="0"/>
              <w:rPr>
                <w:sz w:val="20"/>
                <w:szCs w:val="20"/>
                <w:color w:val="auto"/>
              </w:rPr>
            </w:pPr>
            <w:r>
              <w:rPr>
                <w:rFonts w:ascii="Arial" w:cs="Arial" w:eastAsia="Arial" w:hAnsi="Arial"/>
                <w:sz w:val="16"/>
                <w:szCs w:val="16"/>
                <w:color w:val="auto"/>
              </w:rPr>
              <w:t>Automotive net sales and revenue</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27,365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3,850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31,261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31,261</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Leased vehicle income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2,509</w:t>
            </w:r>
          </w:p>
        </w:tc>
        <w:tc>
          <w:tcPr>
            <w:tcW w:w="0" w:type="dxa"/>
            <w:vAlign w:val="bottom"/>
          </w:tcPr>
          <w:p>
            <w:pPr>
              <w:spacing w:after="0"/>
              <w:rPr>
                <w:sz w:val="1"/>
                <w:szCs w:val="1"/>
                <w:color w:val="auto"/>
              </w:rPr>
            </w:pPr>
          </w:p>
        </w:tc>
      </w:tr>
      <w:tr>
        <w:trPr>
          <w:trHeight w:val="237"/>
        </w:trPr>
        <w:tc>
          <w:tcPr>
            <w:tcW w:w="3040" w:type="dxa"/>
            <w:vAlign w:val="bottom"/>
          </w:tcPr>
          <w:p>
            <w:pPr>
              <w:ind w:left="180"/>
              <w:spacing w:after="0"/>
              <w:rPr>
                <w:sz w:val="20"/>
                <w:szCs w:val="20"/>
                <w:color w:val="auto"/>
              </w:rPr>
            </w:pPr>
            <w:r>
              <w:rPr>
                <w:rFonts w:ascii="Arial" w:cs="Arial" w:eastAsia="Arial" w:hAnsi="Arial"/>
                <w:sz w:val="16"/>
                <w:szCs w:val="16"/>
                <w:color w:val="auto"/>
              </w:rPr>
              <w:t>Finance charge income</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987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7"/>
        </w:trPr>
        <w:tc>
          <w:tcPr>
            <w:tcW w:w="3040" w:type="dxa"/>
            <w:vAlign w:val="bottom"/>
          </w:tcPr>
          <w:p>
            <w:pPr>
              <w:ind w:left="280"/>
              <w:spacing w:after="0"/>
              <w:rPr>
                <w:sz w:val="20"/>
                <w:szCs w:val="20"/>
                <w:color w:val="auto"/>
              </w:rPr>
            </w:pPr>
            <w:r>
              <w:rPr>
                <w:rFonts w:ascii="Arial" w:cs="Arial" w:eastAsia="Arial" w:hAnsi="Arial"/>
                <w:sz w:val="16"/>
                <w:szCs w:val="16"/>
                <w:color w:val="auto"/>
              </w:rPr>
              <w:t>GM Financial net sales and revenue</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3,620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3,617</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sales and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27,365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31,261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34,878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Revenue is measured as the amount of consideration we expect to receive in exchange for transferring goods or providing services. Adjustments to sales incentives for previously recognized sales were insignificant in the three months ended March 31, 2020 and 2019.</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Contract liabilities in our Automotive segments primarily consist of maintenance, extended warranty and other service contracts. We recognized revenue of $386 million and $433 million related to contract liabilities during the three months ended March 31, 2020 and 2019. We expect to recognize revenue of $885 million in the nine months ending December 31, 2020 and $593 million, $346 million and $447 million in the years ending December 31, 2021, 2022 and thereafter related to contract liabilities at March 31,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and Other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cash equivalents and marketable debt securities, which approximates cost: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14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time deposits(a)</w:t>
            </w: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11,965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Available-for-sale debt securities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7,660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5,863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Sovereign debt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available-for-sale debt securities – cash equivalents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and cash equivalents(b)</w:t>
            </w: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38,506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19,069</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debt securities</w:t>
            </w: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1,810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Mortgage and asset-backed</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Sovereign debt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available-for-sale debt securities – marketable securities(c)</w:t>
            </w: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7,620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cash</w:t>
            </w: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restricted cash</w:t>
            </w: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2,660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109"/>
        </w:trPr>
        <w:tc>
          <w:tcPr>
            <w:tcW w:w="67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w w:val="99"/>
              </w:rPr>
              <w:t>Available-for-sale debt securities included above with contractual maturities(d)</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Due between one and five years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2,694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21,299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an insignificant amount and $248 million that is designated exclusively to fund capital expenditures in GM Korea Company (GM Korea) at March 31, 2020 and December 31, 2019.</w:t>
      </w: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$1.5 billion and $2.3 billion in Cruise at March 31, 2020 and December 31, 2019.</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$877 million and $266 million in Cruise at March 31, 2020 and December 31, 2019.</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mortgage- and asset-backed securities of $667 million at March 31, 2020 as these securities are not due at a single maturity date.</w:t>
      </w:r>
    </w:p>
    <w:p>
      <w:pPr>
        <w:spacing w:after="0" w:line="203"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Proceeds from the sale of available-for-sale debt investments sold prior to maturity were $366 million and $611 million in the three months ended March 31, 2020 and 2019. Net unrealized gains and losses on available-for-sale debt securities were insignificant in the three months ended March 31, 2020 and 2019. Cumulative unrealized gains and losses on available-for-sale debt securities were insignificant at March 31, 2020 and December 31, 2019.</w:t>
      </w:r>
    </w:p>
    <w:p>
      <w:pPr>
        <w:spacing w:after="0" w:line="18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remaining investment in Lyft, Inc. (Lyft) was measured at fair value using Lyft’s quoted market price, a Level 1 input. The fair value of this investment included in Other current assets was insignificant and $535 million at March 31, 2020 and December 31, 2019. We liquidated the vast majority of our shares in Lyft in the three months ended March 31, 2020. We recorded an unrealized loss of an insignificant amount and an unrealized gain of $285 million in Interest income and other non-operating income, net in the three months ended March 31, 2020 and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 to the total shown in the condensed consolidated statement of cash flows: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38,506</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41,166</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w w:val="99"/>
              </w:rPr>
              <w:t>Note 5. GM Financial Receivables and Transactions</w:t>
            </w: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4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Commercial(a)</w:t>
            </w:r>
          </w:p>
        </w:tc>
        <w:tc>
          <w:tcPr>
            <w:tcW w:w="2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8"/>
                <w:szCs w:val="18"/>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Commercial(a)</w:t>
            </w:r>
          </w:p>
        </w:tc>
        <w:tc>
          <w:tcPr>
            <w:tcW w:w="22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3"/>
        </w:trPr>
        <w:tc>
          <w:tcPr>
            <w:tcW w:w="44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 net of fees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42,474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54,234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42,229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11,671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53,900</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40,595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11,673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52,268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41,363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11,593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52,956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Fair value of GM Financial receivables utilizing Level 2</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inputs</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11,593</w:t>
            </w:r>
          </w:p>
        </w:tc>
        <w:tc>
          <w:tcPr>
            <w:tcW w:w="0" w:type="dxa"/>
            <w:vAlign w:val="bottom"/>
          </w:tcPr>
          <w:p>
            <w:pPr>
              <w:spacing w:after="0"/>
              <w:rPr>
                <w:sz w:val="1"/>
                <w:szCs w:val="1"/>
                <w:color w:val="auto"/>
              </w:rPr>
            </w:pPr>
          </w:p>
        </w:tc>
      </w:tr>
      <w:tr>
        <w:trPr>
          <w:trHeight w:val="229"/>
        </w:trPr>
        <w:tc>
          <w:tcPr>
            <w:tcW w:w="4400" w:type="dxa"/>
            <w:vAlign w:val="bottom"/>
          </w:tcPr>
          <w:p>
            <w:pPr>
              <w:ind w:left="40"/>
              <w:spacing w:after="0"/>
              <w:rPr>
                <w:sz w:val="20"/>
                <w:szCs w:val="20"/>
                <w:color w:val="auto"/>
              </w:rPr>
            </w:pPr>
            <w:r>
              <w:rPr>
                <w:rFonts w:ascii="Arial" w:cs="Arial" w:eastAsia="Arial" w:hAnsi="Arial"/>
                <w:sz w:val="18"/>
                <w:szCs w:val="18"/>
                <w:color w:val="auto"/>
                <w:w w:val="99"/>
              </w:rPr>
              <w:t>Fair value of GM Financial receivables utilizing Level 3</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0"/>
              <w:spacing w:after="0"/>
              <w:rPr>
                <w:sz w:val="20"/>
                <w:szCs w:val="20"/>
                <w:color w:val="auto"/>
              </w:rPr>
            </w:pPr>
            <w:r>
              <w:rPr>
                <w:rFonts w:ascii="Arial" w:cs="Arial" w:eastAsia="Arial" w:hAnsi="Arial"/>
                <w:sz w:val="18"/>
                <w:szCs w:val="18"/>
                <w:color w:val="auto"/>
              </w:rPr>
              <w:t>inputs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41,933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41,973</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57"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of dealer cash management balances of $1.2 billion at March 31, 2020 and December 31, 2019. Under the cash management program, subject to certain conditions, a dealer may choose to reduce the amount of interest on its floorplan line by making principal payments to GM Financial in advance.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4"/>
                <w:szCs w:val="14"/>
                <w:b w:val="1"/>
                <w:bCs w:val="1"/>
                <w:color w:val="auto"/>
              </w:rPr>
              <w:t>Three Months Ended</w:t>
            </w:r>
          </w:p>
        </w:tc>
      </w:tr>
      <w:tr>
        <w:trPr>
          <w:trHeight w:val="250"/>
        </w:trPr>
        <w:tc>
          <w:tcPr>
            <w:tcW w:w="7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21"/>
                <w:szCs w:val="21"/>
                <w:color w:val="auto"/>
              </w:rPr>
            </w:pPr>
          </w:p>
        </w:tc>
        <w:tc>
          <w:tcPr>
            <w:tcW w:w="1440" w:type="dxa"/>
            <w:vAlign w:val="bottom"/>
          </w:tcPr>
          <w:p>
            <w:pPr>
              <w:jc w:val="right"/>
              <w:ind w:right="272"/>
              <w:spacing w:after="0"/>
              <w:rPr>
                <w:sz w:val="20"/>
                <w:szCs w:val="20"/>
                <w:color w:val="auto"/>
              </w:rPr>
            </w:pPr>
            <w:r>
              <w:rPr>
                <w:rFonts w:ascii="Arial" w:cs="Arial" w:eastAsia="Arial" w:hAnsi="Arial"/>
                <w:sz w:val="14"/>
                <w:szCs w:val="14"/>
                <w:b w:val="1"/>
                <w:bCs w:val="1"/>
                <w:color w:val="auto"/>
              </w:rPr>
              <w:t>March 31, 2019</w:t>
            </w:r>
          </w:p>
        </w:tc>
      </w:tr>
      <w:tr>
        <w:trPr>
          <w:trHeight w:val="249"/>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losses at beginning of period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Impact of adoption ASU 2016-13 (Note 1)</w:t>
            </w:r>
          </w:p>
        </w:tc>
        <w:tc>
          <w:tcPr>
            <w:tcW w:w="2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loan losses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Charge-offs</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Recoveries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losses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924</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provision for loan losses increased primarily due to increased expected charge-offs and decreased expected recoveries as a result of the economic impact of the novel strain of the coronavirus (COVID-19) pandemic.</w:t>
      </w:r>
    </w:p>
    <w:p>
      <w:pPr>
        <w:spacing w:after="0" w:line="17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Retail Finance Receivables </w:t>
      </w:r>
      <w:r>
        <w:rPr>
          <w:rFonts w:ascii="Arial" w:cs="Arial" w:eastAsia="Arial" w:hAnsi="Arial"/>
          <w:sz w:val="18"/>
          <w:szCs w:val="18"/>
          <w:color w:val="auto"/>
        </w:rPr>
        <w:t>GM Financial's retail finance receivable portfolio includes loans made to consumers and businesses to finance the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vehicles for personal and commercial use. A summary of the amortized cost of the retail finance receivables by FICO score or its equivalent, determined at origination, for each vintage of the retail finance receivables portfolio at March 31, 2020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of Origination</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6"/>
                <w:szCs w:val="16"/>
                <w:color w:val="auto"/>
              </w:rPr>
            </w:pPr>
          </w:p>
        </w:tc>
        <w:tc>
          <w:tcPr>
            <w:tcW w:w="15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2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Prior</w:t>
            </w: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Percent</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Percent</w:t>
            </w:r>
          </w:p>
        </w:tc>
      </w:tr>
      <w:tr>
        <w:trPr>
          <w:trHeight w:val="256"/>
        </w:trPr>
        <w:tc>
          <w:tcPr>
            <w:tcW w:w="2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Prime – FICO score 680 and greater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4,027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9,976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6,806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3,199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$ 25,509</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$ 25,400</w:t>
            </w:r>
          </w:p>
        </w:tc>
        <w:tc>
          <w:tcPr>
            <w:tcW w:w="10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r>
      <w:tr>
        <w:trPr>
          <w:trHeight w:val="264"/>
        </w:trPr>
        <w:tc>
          <w:tcPr>
            <w:tcW w:w="2600" w:type="dxa"/>
            <w:vAlign w:val="bottom"/>
          </w:tcPr>
          <w:p>
            <w:pPr>
              <w:ind w:left="40"/>
              <w:spacing w:after="0"/>
              <w:rPr>
                <w:sz w:val="20"/>
                <w:szCs w:val="20"/>
                <w:color w:val="auto"/>
              </w:rPr>
            </w:pPr>
            <w:r>
              <w:rPr>
                <w:rFonts w:ascii="Arial" w:cs="Arial" w:eastAsia="Arial" w:hAnsi="Arial"/>
                <w:sz w:val="16"/>
                <w:szCs w:val="16"/>
                <w:color w:val="auto"/>
                <w:w w:val="97"/>
              </w:rPr>
              <w:t>Near-prime – FICO score 620 to 679</w:t>
            </w:r>
          </w:p>
        </w:tc>
        <w:tc>
          <w:tcPr>
            <w:tcW w:w="16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902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2,746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1,744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942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6,952</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6,862</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16.3%</w:t>
            </w:r>
          </w:p>
        </w:tc>
      </w:tr>
      <w:tr>
        <w:trPr>
          <w:trHeight w:val="276"/>
        </w:trPr>
        <w:tc>
          <w:tcPr>
            <w:tcW w:w="2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Sub-prime – FICO score less than 620</w:t>
            </w:r>
          </w:p>
        </w:tc>
        <w:tc>
          <w:tcPr>
            <w:tcW w:w="1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1,169</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3,402</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2,165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1,605</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957</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10,013</w:t>
            </w:r>
          </w:p>
        </w:tc>
        <w:tc>
          <w:tcPr>
            <w:tcW w:w="12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9,967</w:t>
            </w:r>
          </w:p>
        </w:tc>
        <w:tc>
          <w:tcPr>
            <w:tcW w:w="100" w:type="dxa"/>
            <w:vAlign w:val="bottom"/>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r>
      <w:tr>
        <w:trPr>
          <w:trHeight w:val="230"/>
        </w:trPr>
        <w:tc>
          <w:tcPr>
            <w:tcW w:w="2600" w:type="dxa"/>
            <w:vAlign w:val="bottom"/>
          </w:tcPr>
          <w:p>
            <w:pPr>
              <w:ind w:left="40"/>
              <w:spacing w:after="0"/>
              <w:rPr>
                <w:sz w:val="20"/>
                <w:szCs w:val="20"/>
                <w:color w:val="auto"/>
              </w:rPr>
            </w:pPr>
            <w:r>
              <w:rPr>
                <w:rFonts w:ascii="Arial" w:cs="Arial" w:eastAsia="Arial" w:hAnsi="Arial"/>
                <w:sz w:val="16"/>
                <w:szCs w:val="16"/>
                <w:color w:val="auto"/>
                <w:w w:val="95"/>
              </w:rPr>
              <w:t>Retail finance receivables, net of fees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6,098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16,124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3"/>
              </w:rPr>
              <w:t>10,715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5,746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$ 42,474</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$ 42,229</w:t>
            </w: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r>
      <w:tr>
        <w:trPr>
          <w:trHeight w:val="20"/>
        </w:trPr>
        <w:tc>
          <w:tcPr>
            <w:tcW w:w="2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$735 million and $875 million at March 31, 2020 and December 31, 2019. The following table is a consolidated summary of the delinquency status of the outstanding amortized cost of retail finance receivables for each vintage of the portfolio at March 31,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of Origination</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w w:val="98"/>
              </w:rPr>
              <w:t>March 31, 2019</w:t>
            </w:r>
          </w:p>
        </w:tc>
      </w:tr>
      <w:tr>
        <w:trPr>
          <w:trHeight w:val="264"/>
        </w:trPr>
        <w:tc>
          <w:tcPr>
            <w:tcW w:w="2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Prior</w:t>
            </w: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22"/>
                <w:szCs w:val="22"/>
                <w:color w:val="auto"/>
              </w:rPr>
            </w:pP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Total(a)</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Percent</w:t>
            </w:r>
          </w:p>
        </w:tc>
      </w:tr>
      <w:tr>
        <w:trPr>
          <w:trHeight w:val="269"/>
        </w:trPr>
        <w:tc>
          <w:tcPr>
            <w:tcW w:w="2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6,078</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15,702</w:t>
            </w:r>
          </w:p>
        </w:tc>
        <w:tc>
          <w:tcPr>
            <w:tcW w:w="12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5"/>
              </w:rPr>
              <w:t>$ 10,297</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5,411</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2,277</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877</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$ 40,856</w:t>
            </w:r>
          </w:p>
        </w:tc>
        <w:tc>
          <w:tcPr>
            <w:tcW w:w="12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2600" w:type="dxa"/>
            <w:vAlign w:val="bottom"/>
          </w:tcPr>
          <w:p>
            <w:pPr>
              <w:ind w:left="40"/>
              <w:spacing w:after="0"/>
              <w:rPr>
                <w:sz w:val="20"/>
                <w:szCs w:val="20"/>
                <w:color w:val="auto"/>
              </w:rPr>
            </w:pPr>
            <w:r>
              <w:rPr>
                <w:rFonts w:ascii="Arial" w:cs="Arial" w:eastAsia="Arial" w:hAnsi="Arial"/>
                <w:sz w:val="18"/>
                <w:szCs w:val="18"/>
                <w:color w:val="auto"/>
              </w:rPr>
              <w:t>31-to-60 days</w:t>
            </w:r>
          </w:p>
        </w:tc>
        <w:tc>
          <w:tcPr>
            <w:tcW w:w="16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1,157</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1,048</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76"/>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Greater-than-60 days</w:t>
            </w:r>
          </w:p>
        </w:tc>
        <w:tc>
          <w:tcPr>
            <w:tcW w:w="1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09"/>
        </w:trPr>
        <w:tc>
          <w:tcPr>
            <w:tcW w:w="2600" w:type="dxa"/>
            <w:vAlign w:val="bottom"/>
          </w:tcPr>
          <w:p>
            <w:pPr>
              <w:ind w:left="40"/>
              <w:spacing w:after="0"/>
              <w:rPr>
                <w:sz w:val="20"/>
                <w:szCs w:val="20"/>
                <w:color w:val="auto"/>
              </w:rPr>
            </w:pPr>
            <w:r>
              <w:rPr>
                <w:rFonts w:ascii="Arial" w:cs="Arial" w:eastAsia="Arial" w:hAnsi="Arial"/>
                <w:sz w:val="18"/>
                <w:szCs w:val="18"/>
                <w:color w:val="auto"/>
                <w:w w:val="93"/>
              </w:rPr>
              <w:t>Finance receivables more than 30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1"/>
        </w:trPr>
        <w:tc>
          <w:tcPr>
            <w:tcW w:w="2600" w:type="dxa"/>
            <w:vAlign w:val="bottom"/>
          </w:tcPr>
          <w:p>
            <w:pPr>
              <w:ind w:left="200"/>
              <w:spacing w:after="0"/>
              <w:rPr>
                <w:sz w:val="20"/>
                <w:szCs w:val="20"/>
                <w:color w:val="auto"/>
              </w:rPr>
            </w:pPr>
            <w:r>
              <w:rPr>
                <w:rFonts w:ascii="Arial" w:cs="Arial" w:eastAsia="Arial" w:hAnsi="Arial"/>
                <w:sz w:val="18"/>
                <w:szCs w:val="18"/>
                <w:color w:val="auto"/>
              </w:rPr>
              <w:t>days delinquent</w:t>
            </w:r>
          </w:p>
        </w:tc>
        <w:tc>
          <w:tcPr>
            <w:tcW w:w="160" w:type="dxa"/>
            <w:vAlign w:val="bottom"/>
          </w:tcPr>
          <w:p>
            <w:pPr>
              <w:spacing w:after="0"/>
              <w:rPr>
                <w:sz w:val="21"/>
                <w:szCs w:val="21"/>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1,598</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1,460</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76"/>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repossession</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9"/>
        </w:trPr>
        <w:tc>
          <w:tcPr>
            <w:tcW w:w="2600" w:type="dxa"/>
            <w:vAlign w:val="bottom"/>
          </w:tcPr>
          <w:p>
            <w:pPr>
              <w:ind w:left="40"/>
              <w:spacing w:after="0"/>
              <w:rPr>
                <w:sz w:val="20"/>
                <w:szCs w:val="20"/>
                <w:color w:val="auto"/>
              </w:rPr>
            </w:pPr>
            <w:r>
              <w:rPr>
                <w:rFonts w:ascii="Arial" w:cs="Arial" w:eastAsia="Arial" w:hAnsi="Arial"/>
                <w:sz w:val="18"/>
                <w:szCs w:val="18"/>
                <w:color w:val="auto"/>
                <w:w w:val="93"/>
              </w:rPr>
              <w:t>Finance receivables more than 30</w:t>
            </w: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16"/>
        </w:trPr>
        <w:tc>
          <w:tcPr>
            <w:tcW w:w="2600" w:type="dxa"/>
            <w:vAlign w:val="bottom"/>
          </w:tcPr>
          <w:p>
            <w:pPr>
              <w:ind w:left="200"/>
              <w:spacing w:after="0"/>
              <w:rPr>
                <w:sz w:val="20"/>
                <w:szCs w:val="20"/>
                <w:color w:val="auto"/>
              </w:rPr>
            </w:pPr>
            <w:r>
              <w:rPr>
                <w:rFonts w:ascii="Arial" w:cs="Arial" w:eastAsia="Arial" w:hAnsi="Arial"/>
                <w:sz w:val="18"/>
                <w:szCs w:val="18"/>
                <w:color w:val="auto"/>
              </w:rPr>
              <w:t>days delinquent or in</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84"/>
        </w:trPr>
        <w:tc>
          <w:tcPr>
            <w:tcW w:w="2600" w:type="dxa"/>
            <w:vAlign w:val="bottom"/>
          </w:tcPr>
          <w:p>
            <w:pPr>
              <w:ind w:left="200"/>
              <w:spacing w:after="0"/>
              <w:rPr>
                <w:sz w:val="20"/>
                <w:szCs w:val="20"/>
                <w:color w:val="auto"/>
              </w:rPr>
            </w:pPr>
            <w:r>
              <w:rPr>
                <w:rFonts w:ascii="Arial" w:cs="Arial" w:eastAsia="Arial" w:hAnsi="Arial"/>
                <w:sz w:val="18"/>
                <w:szCs w:val="18"/>
                <w:color w:val="auto"/>
              </w:rPr>
              <w:t>repossession</w:t>
            </w:r>
          </w:p>
        </w:tc>
        <w:tc>
          <w:tcPr>
            <w:tcW w:w="160" w:type="dxa"/>
            <w:vAlign w:val="bottom"/>
          </w:tcPr>
          <w:p>
            <w:pPr>
              <w:spacing w:after="0"/>
              <w:rPr>
                <w:sz w:val="24"/>
                <w:szCs w:val="2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1,618</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1,507</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82"/>
        </w:trPr>
        <w:tc>
          <w:tcPr>
            <w:tcW w:w="2600" w:type="dxa"/>
            <w:vAlign w:val="bottom"/>
            <w:tcBorders>
              <w:top w:val="single" w:sz="8" w:color="CCEEFF"/>
            </w:tcBorders>
            <w:shd w:val="clear" w:color="auto" w:fill="CCEEFF"/>
          </w:tcPr>
          <w:p>
            <w:pPr>
              <w:ind w:left="40"/>
              <w:spacing w:after="0" w:line="182" w:lineRule="exact"/>
              <w:rPr>
                <w:sz w:val="20"/>
                <w:szCs w:val="20"/>
                <w:color w:val="auto"/>
              </w:rPr>
            </w:pPr>
            <w:r>
              <w:rPr>
                <w:rFonts w:ascii="Arial" w:cs="Arial" w:eastAsia="Arial" w:hAnsi="Arial"/>
                <w:sz w:val="18"/>
                <w:szCs w:val="18"/>
                <w:color w:val="auto"/>
                <w:w w:val="97"/>
              </w:rPr>
              <w:t>Retail finance receivables, net of</w:t>
            </w:r>
          </w:p>
        </w:tc>
        <w:tc>
          <w:tcPr>
            <w:tcW w:w="1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r>
      <w:tr>
        <w:trPr>
          <w:trHeight w:val="238"/>
        </w:trPr>
        <w:tc>
          <w:tcPr>
            <w:tcW w:w="2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fees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16,124</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5"/>
              </w:rPr>
              <w:t>$ 10,715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282</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$ 42,474</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Represents the contractual amounts of delinquent retail finance receivables, which is not significantly different than the outstanding amortized cost for such receivables.</w:t>
      </w:r>
    </w:p>
    <w:p>
      <w:pPr>
        <w:spacing w:after="0" w:line="20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outstanding amortized cost of retail finance receivables that are considered TDRs was $2.3 billion at March 31, 2020, including $290 million in nonaccrual loans.</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Commercial Finance Receivables </w:t>
      </w:r>
      <w:r>
        <w:rPr>
          <w:rFonts w:ascii="Arial" w:cs="Arial" w:eastAsia="Arial" w:hAnsi="Arial"/>
          <w:sz w:val="17"/>
          <w:szCs w:val="17"/>
          <w:color w:val="auto"/>
        </w:rPr>
        <w:t>GM Financial's commercial finance receivables consist of dealer financings, primarily for inventory purchases.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models are used to assign a risk rating to each dealer. GM Financial performs periodic credit reviews of each dealership and adjusts the dealership's risk rating, if necessary. The commercial finance receivables on nonaccrual status were insignificant at March 31, 2020.</w:t>
      </w:r>
    </w:p>
    <w:p>
      <w:pPr>
        <w:spacing w:after="0" w:line="16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Prior to January 1, 2020, GM Financial estimated the allowance for loan losses based on an analysis of the experience of comparable commercial lenders. Effective January 1, 2020, GM Financial establishes the allowance for loan losses based on historical loss experience for the consolidated portfolio, in addition to forecast for industry vehicle sales. The updated risk rating categories are as follows:</w:t>
      </w:r>
    </w:p>
    <w:p>
      <w:pPr>
        <w:sectPr>
          <w:pgSz w:w="11900" w:h="16838" w:orient="portrait"/>
          <w:cols w:equalWidth="0" w:num="1">
            <w:col w:w="11240"/>
          </w:cols>
          <w:pgMar w:left="320" w:top="125" w:right="339" w:bottom="1440" w:gutter="0" w:footer="0" w:header="0"/>
        </w:sectPr>
      </w:pPr>
    </w:p>
    <w:p>
      <w:pPr>
        <w:spacing w:after="0" w:line="1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Rating</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II</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III</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34290</wp:posOffset>
            </wp:positionV>
            <wp:extent cx="7132320"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Performing accounts with strong to acceptable financial metrics with at least satisfactory capacity to meet financial commitments.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39370</wp:posOffset>
            </wp:positionV>
            <wp:extent cx="71323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55" w:lineRule="exact"/>
        <w:rPr>
          <w:sz w:val="20"/>
          <w:szCs w:val="20"/>
          <w:color w:val="auto"/>
        </w:rPr>
      </w:pPr>
    </w:p>
    <w:p>
      <w:pPr>
        <w:ind w:left="160" w:right="40" w:hanging="161"/>
        <w:spacing w:after="0" w:line="277" w:lineRule="auto"/>
        <w:rPr>
          <w:sz w:val="20"/>
          <w:szCs w:val="20"/>
          <w:color w:val="auto"/>
        </w:rPr>
      </w:pPr>
      <w:r>
        <w:rPr>
          <w:rFonts w:ascii="Arial" w:cs="Arial" w:eastAsia="Arial" w:hAnsi="Arial"/>
          <w:sz w:val="18"/>
          <w:szCs w:val="18"/>
          <w:color w:val="auto"/>
        </w:rPr>
        <w:t>Non-Performing accounts with inadequate paying capacity for current obligations and have the distinct possibility of creating a loss if deficiencies are not corrected.</w:t>
      </w:r>
    </w:p>
    <w:p>
      <w:pPr>
        <w:spacing w:after="0" w:line="8" w:lineRule="exact"/>
        <w:rPr>
          <w:sz w:val="20"/>
          <w:szCs w:val="20"/>
          <w:color w:val="auto"/>
        </w:rPr>
      </w:pPr>
    </w:p>
    <w:p>
      <w:pPr>
        <w:ind w:left="160" w:right="20" w:hanging="161"/>
        <w:spacing w:after="0" w:line="277" w:lineRule="auto"/>
        <w:rPr>
          <w:sz w:val="20"/>
          <w:szCs w:val="20"/>
          <w:color w:val="auto"/>
        </w:rPr>
      </w:pPr>
      <w:r>
        <w:rPr>
          <w:rFonts w:ascii="Arial" w:cs="Arial" w:eastAsia="Arial" w:hAnsi="Arial"/>
          <w:sz w:val="18"/>
          <w:szCs w:val="18"/>
          <w:color w:val="auto"/>
        </w:rPr>
        <w:t>Non-Performing accounts with inadequate paying capacity for current obligations and inherent weaknesses that make collection of liquidation in full highly questionable or improbable.</w:t>
      </w:r>
    </w:p>
    <w:p>
      <w:pPr>
        <w:spacing w:after="0" w:line="19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10</w:t>
      </w:r>
    </w:p>
    <w:p>
      <w:pPr>
        <w:sectPr>
          <w:pgSz w:w="11900" w:h="16838" w:orient="portrait"/>
          <w:cols w:equalWidth="0" w:num="2">
            <w:col w:w="560" w:space="480"/>
            <w:col w:w="1020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firstLine="162"/>
        <w:spacing w:after="0" w:line="308" w:lineRule="auto"/>
        <w:rPr>
          <w:sz w:val="20"/>
          <w:szCs w:val="20"/>
          <w:color w:val="auto"/>
        </w:rPr>
      </w:pPr>
      <w:r>
        <w:rPr>
          <w:rFonts w:ascii="Arial" w:cs="Arial" w:eastAsia="Arial" w:hAnsi="Arial"/>
          <w:sz w:val="17"/>
          <w:szCs w:val="17"/>
          <w:color w:val="auto"/>
        </w:rPr>
        <w:t>Dealers with III and IV risk ratings are subject to additional monitoring and restrictions on funding, including suspension of lines of credit and liquidation of assets. The following table summarizes the credit risk profile by dealer risk rating of commercial finance receivables at March 31, 2020:</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8"/>
          </w:tcPr>
          <w:p>
            <w:pPr>
              <w:ind w:left="320"/>
              <w:spacing w:after="0"/>
              <w:rPr>
                <w:sz w:val="20"/>
                <w:szCs w:val="20"/>
                <w:color w:val="auto"/>
              </w:rPr>
            </w:pPr>
            <w:r>
              <w:rPr>
                <w:rFonts w:ascii="Arial" w:cs="Arial" w:eastAsia="Arial" w:hAnsi="Arial"/>
                <w:sz w:val="18"/>
                <w:szCs w:val="18"/>
                <w:b w:val="1"/>
                <w:bCs w:val="1"/>
                <w:color w:val="auto"/>
              </w:rPr>
              <w:t>Year of Origination(a)</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March 31, 2020</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Revolving</w:t>
            </w:r>
          </w:p>
        </w:tc>
        <w:tc>
          <w:tcPr>
            <w:tcW w:w="14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Prior</w:t>
            </w:r>
          </w:p>
        </w:tc>
        <w:tc>
          <w:tcPr>
            <w:tcW w:w="20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II</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III</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IV</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Commercial finance receivables,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10,921</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11,760</w:t>
            </w:r>
          </w:p>
        </w:tc>
        <w:tc>
          <w:tcPr>
            <w:tcW w:w="1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of fees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Floorplan advances comprise 98% of the total revolving balance. Dealer term loans are presented by year of origination.</w:t>
      </w:r>
    </w:p>
    <w:p>
      <w:pPr>
        <w:spacing w:after="0" w:line="18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Transactions with GM Financial </w:t>
      </w:r>
      <w:r>
        <w:rPr>
          <w:rFonts w:ascii="Arial" w:cs="Arial" w:eastAsia="Arial" w:hAnsi="Arial"/>
          <w:sz w:val="18"/>
          <w:szCs w:val="18"/>
          <w:color w:val="auto"/>
        </w:rPr>
        <w:t>The following table shows transactions between our Automotive segments and GM Financial. These amounts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in GM Financial's condensed consolidated balance sheets and statements of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6"/>
                <w:szCs w:val="16"/>
                <w:color w:val="auto"/>
              </w:rPr>
            </w:pPr>
          </w:p>
        </w:tc>
        <w:tc>
          <w:tcPr>
            <w:tcW w:w="150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53"/>
        </w:trPr>
        <w:tc>
          <w:tcPr>
            <w:tcW w:w="7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Condensed Consolidated Balance Sheets(a)</w:t>
            </w:r>
          </w:p>
        </w:tc>
        <w:tc>
          <w:tcPr>
            <w:tcW w:w="2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7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finance receivables, net due from GM consolidated dealers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Finance receivables from GM subsidiaries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Subvention receivable(b)</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Commercial loan funding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480"/>
        </w:trPr>
        <w:tc>
          <w:tcPr>
            <w:tcW w:w="7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99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17"/>
        </w:trPr>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8"/>
                <w:szCs w:val="18"/>
                <w:color w:val="auto"/>
              </w:rPr>
            </w:pPr>
          </w:p>
        </w:tc>
        <w:tc>
          <w:tcPr>
            <w:tcW w:w="1500" w:type="dxa"/>
            <w:vAlign w:val="bottom"/>
          </w:tcPr>
          <w:p>
            <w:pPr>
              <w:jc w:val="right"/>
              <w:ind w:right="275"/>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52"/>
        </w:trPr>
        <w:tc>
          <w:tcPr>
            <w:tcW w:w="7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Condensed Consolidated Statements of Income</w:t>
            </w:r>
          </w:p>
        </w:tc>
        <w:tc>
          <w:tcPr>
            <w:tcW w:w="2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7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subvention earned on finance receivables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Leased vehicle subvention earned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43"/>
        </w:trPr>
        <w:tc>
          <w:tcPr>
            <w:tcW w:w="776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balance sheet amounts are eliminated upon consolidation.</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Cash paid by Automotive segments to GM Financial for subvention was $1.1 billion in the three months ended March 31, 2020 and 2019.</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GM Financial's Board of Directors declared and paid a dividend of $400 million on its common stock in March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Borders>
              <w:bottom w:val="single" w:sz="8" w:color="CCEEFF"/>
            </w:tcBorders>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49"/>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3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5,956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3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10,799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10,398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jc w:val="right"/>
              <w:ind w:right="1950"/>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7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Equipment on Operating Leases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Equipment on operating leases primarily consists of leases to retail customers of GM Financial. The current portion of net equipment on operating leases is included in Other current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6"/>
                <w:szCs w:val="16"/>
                <w:color w:val="auto"/>
              </w:rPr>
            </w:pPr>
          </w:p>
        </w:tc>
        <w:tc>
          <w:tcPr>
            <w:tcW w:w="150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December 31, 2019</w:t>
            </w: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52,179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53,081</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(10,989)</w:t>
            </w: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41,306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42,092</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related to Equipment on operating leases, net was $1.8 billion and $1.9 billion in the three months ended March 31, 2020 and 2019.</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lease payments due to GM Financial on leases to retail customers: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Year Ending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53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receipts under 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4,991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   4,599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2,112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86"/>
              </w:rPr>
              <w:t>252</w:t>
            </w:r>
          </w:p>
        </w:tc>
        <w:tc>
          <w:tcPr>
            <w:tcW w:w="4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  11,961</w:t>
            </w:r>
          </w:p>
        </w:tc>
      </w:tr>
      <w:tr>
        <w:trPr>
          <w:trHeight w:val="648"/>
        </w:trPr>
        <w:tc>
          <w:tcPr>
            <w:tcW w:w="5300" w:type="dxa"/>
            <w:vAlign w:val="bottom"/>
          </w:tcPr>
          <w:p>
            <w:pPr>
              <w:spacing w:after="0"/>
              <w:rPr>
                <w:sz w:val="20"/>
                <w:szCs w:val="20"/>
                <w:color w:val="auto"/>
              </w:rPr>
            </w:pPr>
            <w:r>
              <w:rPr>
                <w:rFonts w:ascii="Arial" w:cs="Arial" w:eastAsia="Arial" w:hAnsi="Arial"/>
                <w:sz w:val="18"/>
                <w:szCs w:val="18"/>
                <w:b w:val="1"/>
                <w:bCs w:val="1"/>
                <w:color w:val="auto"/>
              </w:rPr>
              <w:t>Note 8. Equity in Net Assets of Nonconsolidated Affiliates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9"/>
        </w:trPr>
        <w:tc>
          <w:tcPr>
            <w:tcW w:w="5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Borders>
              <w:bottom w:val="single" w:sz="8" w:color="auto"/>
            </w:tcBorders>
          </w:tcPr>
          <w:p>
            <w:pPr>
              <w:spacing w:after="0"/>
              <w:rPr>
                <w:sz w:val="24"/>
                <w:szCs w:val="24"/>
                <w:color w:val="auto"/>
              </w:rPr>
            </w:pPr>
          </w:p>
        </w:tc>
      </w:tr>
      <w:tr>
        <w:trPr>
          <w:trHeight w:val="264"/>
        </w:trPr>
        <w:tc>
          <w:tcPr>
            <w:tcW w:w="53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equity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7"/>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Other joint ventures equity income</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38</w:t>
            </w:r>
          </w:p>
        </w:tc>
      </w:tr>
      <w:tr>
        <w:trPr>
          <w:trHeight w:val="27"/>
        </w:trPr>
        <w:tc>
          <w:tcPr>
            <w:tcW w:w="5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 income (loss)</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2019.</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6"/>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22"/>
                <w:szCs w:val="22"/>
                <w:color w:val="auto"/>
              </w:rPr>
            </w:pPr>
          </w:p>
        </w:tc>
        <w:tc>
          <w:tcPr>
            <w:tcW w:w="1440" w:type="dxa"/>
            <w:vAlign w:val="bottom"/>
          </w:tcPr>
          <w:p>
            <w:pPr>
              <w:jc w:val="right"/>
              <w:ind w:right="276"/>
              <w:spacing w:after="0"/>
              <w:rPr>
                <w:sz w:val="20"/>
                <w:szCs w:val="20"/>
                <w:color w:val="auto"/>
              </w:rPr>
            </w:pPr>
            <w:r>
              <w:rPr>
                <w:rFonts w:ascii="Arial" w:cs="Arial" w:eastAsia="Arial" w:hAnsi="Arial"/>
                <w:sz w:val="14"/>
                <w:szCs w:val="14"/>
                <w:b w:val="1"/>
                <w:bCs w:val="1"/>
                <w:color w:val="auto"/>
              </w:rPr>
              <w:t>March 31, 2019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Summarized Operating Data of Automotive China JVs</w:t>
            </w:r>
          </w:p>
        </w:tc>
        <w:tc>
          <w:tcPr>
            <w:tcW w:w="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JVs' 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10,146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Automotive China JVs' 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767</w:t>
            </w:r>
          </w:p>
        </w:tc>
      </w:tr>
    </w:tbl>
    <w:p>
      <w:pPr>
        <w:spacing w:after="0" w:line="12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Dividends declared but not paid from our nonconsolidated affiliates were $1.0 billion and an insignificant amount at March 31, 2020 and December 31, 2019. Dividends received from our nonconsolidated affiliates were insignificant in the three months ended March 31, 2020 and 2019. Undistributed earnings from our nonconsolidated affiliates were $2.0 billion and $2.1 billion at March 31, 2020 and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w:t>
      </w:r>
    </w:p>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had Goodwill of $1.8 billion at March 31, 2020, which includes $1.3 billion related to GM Financial's North America reporting unit. Since December 31, 2019, the COVID-19 pandemic has resulted in governments worldwide enacting emergency measures to combat the spread of the virus. The pandemic and corresponding measures have caused material disruption to businesses, resulting in an economic slowdown. The unprecedented economic and social uncertainty resulting from the COVID-19 pandemic indicated that it was more likely than not that a goodwill impairment might exist at March 31, 2020 for GM Financial's North America reporting unit. Therefore, in the three months ended March 31, 2020, we performed an event-driven goodwill impairment test for GM Financial's North America reporting unit and determined no goodwill impairment exists.</w:t>
      </w:r>
    </w:p>
    <w:p>
      <w:pPr>
        <w:spacing w:after="0" w:line="9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fair value of GM Financial's North America reporting unit was determined based on valuation techniques using the best available information, primarily discounted cash flow projections. We make significant assumptions and estimates about the extent and timing of future cash flows. There can be no assurance that anticipated financial results will be achieved. Under multiple scenarios, including fully weighting the downside cash flow scenario, the estimated fair value of GM Financial's North America</w:t>
      </w:r>
    </w:p>
    <w:p>
      <w:pPr>
        <w:sectPr>
          <w:pgSz w:w="11900" w:h="16838" w:orient="portrait"/>
          <w:cols w:equalWidth="0" w:num="1">
            <w:col w:w="11240"/>
          </w:cols>
          <w:pgMar w:left="320" w:top="125" w:right="3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reporting unit exceeded its carrying amount. Future goodwill impairments could be recognized should economic uncertainty continue thereby resulting in a prolonged economic slowdown and a corresponding decline in the fair value of our reporting units.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Variable Interest Entities</w:t>
      </w:r>
    </w:p>
    <w:p>
      <w:pPr>
        <w:spacing w:after="0" w:line="12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their assets are legally owned by them and are not available to GM Financial's creditors.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2019</w:t>
            </w:r>
          </w:p>
        </w:tc>
      </w:tr>
      <w:tr>
        <w:trPr>
          <w:trHeight w:val="249"/>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 current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Restricted cash – non-current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441</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 net of fees – current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19,081</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GM Financial receivables, net of fees – non-current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19,249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15,921</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equipment on operating leases,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14,464</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GM Financial short-term debt and current portion of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30,962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23,952</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long-term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15,062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15,819</w:t>
            </w:r>
          </w:p>
        </w:tc>
      </w:tr>
      <w:tr>
        <w:trPr>
          <w:trHeight w:val="27"/>
        </w:trPr>
        <w:tc>
          <w:tcPr>
            <w:tcW w:w="7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debt in our automotive operations: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December 31, 2019</w:t>
            </w:r>
          </w:p>
        </w:tc>
      </w:tr>
      <w:tr>
        <w:trPr>
          <w:trHeight w:val="263"/>
        </w:trPr>
        <w:tc>
          <w:tcPr>
            <w:tcW w:w="5400" w:type="dxa"/>
            <w:vAlign w:val="bottom"/>
          </w:tcPr>
          <w:p>
            <w:pPr>
              <w:spacing w:after="0"/>
              <w:rPr>
                <w:sz w:val="22"/>
                <w:szCs w:val="22"/>
                <w:color w:val="auto"/>
              </w:rPr>
            </w:pP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440" w:type="dxa"/>
            <w:vAlign w:val="bottom"/>
            <w:gridSpan w:val="3"/>
          </w:tcPr>
          <w:p>
            <w:pPr>
              <w:ind w:left="12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Pr>
          <w:p>
            <w:pPr>
              <w:spacing w:after="0"/>
              <w:rPr>
                <w:sz w:val="22"/>
                <w:szCs w:val="22"/>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42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165</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4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29,884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28,689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13,909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15,247</w:t>
            </w:r>
          </w:p>
        </w:tc>
      </w:tr>
      <w:tr>
        <w:trPr>
          <w:trHeight w:val="27"/>
        </w:trPr>
        <w:tc>
          <w:tcPr>
            <w:tcW w:w="5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516</w:t>
            </w:r>
          </w:p>
        </w:tc>
      </w:tr>
      <w:tr>
        <w:trPr>
          <w:trHeight w:val="297"/>
        </w:trPr>
        <w:tc>
          <w:tcPr>
            <w:tcW w:w="5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automotive debt(a)</w:t>
            </w: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30,311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29,377</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14,386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15,928</w:t>
            </w:r>
          </w:p>
        </w:tc>
      </w:tr>
      <w:tr>
        <w:trPr>
          <w:trHeight w:val="108"/>
        </w:trPr>
        <w:tc>
          <w:tcPr>
            <w:tcW w:w="54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Fair value utilizing Level 1 inputs</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10,572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13,628</w:t>
            </w:r>
          </w:p>
        </w:tc>
      </w:tr>
      <w:tr>
        <w:trPr>
          <w:trHeight w:val="27"/>
        </w:trPr>
        <w:tc>
          <w:tcPr>
            <w:tcW w:w="5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18,805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2,300</w:t>
            </w:r>
          </w:p>
        </w:tc>
      </w:tr>
      <w:tr>
        <w:trPr>
          <w:trHeight w:val="122"/>
        </w:trPr>
        <w:tc>
          <w:tcPr>
            <w:tcW w:w="5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under credit facility agreements(b)</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17,285</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Weighted-average interest rate on outstanding short-term debt(c)</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5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interest rate on outstanding long-term debt(c)</w:t>
            </w: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54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net discount and debt issuance costs of $483 million and $540 million at March 31, 2020 and December 31, 2019.</w:t>
      </w:r>
    </w:p>
    <w:p>
      <w:pPr>
        <w:spacing w:after="0" w:line="9" w:lineRule="exact"/>
        <w:rPr>
          <w:rFonts w:ascii="Arial" w:cs="Arial" w:eastAsia="Arial" w:hAnsi="Arial"/>
          <w:sz w:val="16"/>
          <w:szCs w:val="16"/>
          <w:color w:val="auto"/>
        </w:rPr>
      </w:pPr>
    </w:p>
    <w:p>
      <w:pPr>
        <w:ind w:left="340" w:hanging="332"/>
        <w:spacing w:after="0" w:line="262" w:lineRule="auto"/>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amounts available from our three-year unsecured revolving credit facility with an initial borrowing capacity of $3.0 billion, which is currently planned to reduce to $2.0 billion in July 2020. Our 364-day, $2.0 billion facility is not included in the amount because it is designated for exclusive use by GM Financial.</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w:t>
      </w:r>
    </w:p>
    <w:p>
      <w:pPr>
        <w:spacing w:after="0" w:line="20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Unsecured debt primarily consists of revolving credit facilities and senior notes. In the three months ended March 31, 2020, we borrowed $3.4 billion against our three-year, $4.0 billion facility, $2.0 billion against our three-year, $3.0 billion facility and $10.5 billion against our five-year, $10.5 billion facility with maturity dates ranging from 2021 to 2023.</w:t>
      </w:r>
    </w:p>
    <w:p>
      <w:pPr>
        <w:spacing w:after="0" w:line="18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April 2020, we renewed our 364-day, $2.0 billion facility dedicated for exclusive use by GM Financial for an additional 364-day term and extended $3.6 billion of the three-year, $4.0 billion facility for an additional year expiring in April 2022. The remaining portion will expire in April 2021, unless extended. As part of the extension of the three-year, $4.0 billion facility, we have agreed not to execute any share repurchases until we no longer have outstanding borrowings under the revolving credit facilities, except for the three-year, $3.0 billion facility. In addition, we are restricted from paying dividends on our common shares if outstanding borrowings under the revolving credit facilities exceed $5.0 billion, with the exception of the three-year, $3.0 billion facility.</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debt of GM Financial: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December 31, 2019</w:t>
            </w:r>
          </w:p>
        </w:tc>
      </w:tr>
      <w:tr>
        <w:trPr>
          <w:trHeight w:val="264"/>
        </w:trPr>
        <w:tc>
          <w:tcPr>
            <w:tcW w:w="5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Pr>
          <w:p>
            <w:pPr>
              <w:spacing w:after="0"/>
              <w:rPr>
                <w:sz w:val="22"/>
                <w:szCs w:val="22"/>
                <w:color w:val="auto"/>
              </w:rPr>
            </w:pPr>
          </w:p>
        </w:tc>
        <w:tc>
          <w:tcPr>
            <w:tcW w:w="1200" w:type="dxa"/>
            <w:vAlign w:val="bottom"/>
          </w:tcPr>
          <w:p>
            <w:pPr>
              <w:jc w:val="right"/>
              <w:ind w:right="313"/>
              <w:spacing w:after="0"/>
              <w:rPr>
                <w:sz w:val="20"/>
                <w:szCs w:val="20"/>
                <w:color w:val="auto"/>
              </w:rPr>
            </w:pPr>
            <w:r>
              <w:rPr>
                <w:rFonts w:ascii="Arial" w:cs="Arial" w:eastAsia="Arial" w:hAnsi="Arial"/>
                <w:sz w:val="14"/>
                <w:szCs w:val="14"/>
                <w:b w:val="1"/>
                <w:bCs w:val="1"/>
                <w:color w:val="auto"/>
              </w:rPr>
              <w:t>Fair Value</w:t>
            </w:r>
          </w:p>
        </w:tc>
      </w:tr>
      <w:tr>
        <w:trPr>
          <w:trHeight w:val="249"/>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39,959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40,160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14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50,019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45,436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48,979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50,239</w:t>
            </w:r>
          </w:p>
        </w:tc>
      </w:tr>
      <w:tr>
        <w:trPr>
          <w:trHeight w:val="27"/>
        </w:trPr>
        <w:tc>
          <w:tcPr>
            <w:tcW w:w="5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96,189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91,509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88,938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90,399</w:t>
            </w: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08"/>
        </w:trPr>
        <w:tc>
          <w:tcPr>
            <w:tcW w:w="5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89,892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88,481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Fair value utilizing Level 3 inputs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1,918</w:t>
            </w:r>
          </w:p>
        </w:tc>
      </w:tr>
    </w:tbl>
    <w:p>
      <w:pPr>
        <w:spacing w:after="0" w:line="200" w:lineRule="exact"/>
        <w:rPr>
          <w:sz w:val="20"/>
          <w:szCs w:val="20"/>
          <w:color w:val="auto"/>
        </w:rPr>
      </w:pPr>
    </w:p>
    <w:p>
      <w:pPr>
        <w:spacing w:after="0" w:line="24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Secured debt consists of revolving credit facilities and securitization notes payable. Most of the secured debt was issued by VIEs and is repayable only from proceeds related to the underlying pledged assets. Refer to Note 10 for additional information on GM Financial's involvement with VIEs. GM Financial is required to hold certain funds in restricted cash accounts to provide additional collateral for borrowings under certain secured credit facilities. The weighted-average interest rate on secured debt was 2.59% at March 31, 2020. The revolving credit facilities have maturity dates ranging from 2020 to 2026 and securitization notes payable have maturity dates ranging from 2020 to 2027. At the end of the revolving period, if not renewed, the debt of revolving credit facilities will amortize over a defined period. In the three months ended March 31, 2020, GM Financial had no new or renewed</w:t>
      </w:r>
    </w:p>
    <w:p>
      <w:pPr>
        <w:sectPr>
          <w:pgSz w:w="11900" w:h="16838" w:orient="portrait"/>
          <w:cols w:equalWidth="0" w:num="1">
            <w:col w:w="11240"/>
          </w:cols>
          <w:pgMar w:left="320" w:top="125"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facilities with additional borrowing capacity and issued $4.6 billion in aggregate principal amount of securitization notes payable with an initial weighted average interest rate of 1.95% and maturity dates ranging from 2021 to 2027.</w:t>
      </w:r>
    </w:p>
    <w:p>
      <w:pPr>
        <w:spacing w:after="0" w:line="170"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Unsecured debt consists of senior notes, credit facilities and other unsecured debt. Senior notes outstanding at March 31, 2020 have maturity dates ranging from 2020 through 2029 and have a weighted-average interest rate of 3.33%. In the three months ended March 31, 2020, GM Financial issued $2.1 billion in aggregate principal amount of senior notes with an initial weighted average interest rate of 2.09% and maturity dates ranging from 2024 to 2028.</w:t>
      </w:r>
    </w:p>
    <w:p>
      <w:pPr>
        <w:spacing w:after="0" w:line="14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Unsecured credit facilities and other unsecured debt have original maturities of up to four years. The weighted-average interest rate on these credit facilities and other unsecured debt was 4.47% at March 31, 2020.</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Contractual Maturities </w:t>
      </w:r>
      <w:r>
        <w:rPr>
          <w:rFonts w:ascii="Arial" w:cs="Arial" w:eastAsia="Arial" w:hAnsi="Arial"/>
          <w:sz w:val="18"/>
          <w:szCs w:val="18"/>
          <w:color w:val="auto"/>
        </w:rPr>
        <w:t>The following table summarizes contractual maturities including finance leases at March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Automotive</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Automotive Financing</w:t>
            </w:r>
          </w:p>
        </w:tc>
        <w:tc>
          <w:tcPr>
            <w:tcW w:w="300" w:type="dxa"/>
            <w:vAlign w:val="bottom"/>
          </w:tcPr>
          <w:p>
            <w:pPr>
              <w:spacing w:after="0"/>
              <w:rPr>
                <w:sz w:val="16"/>
                <w:szCs w:val="16"/>
                <w:color w:val="auto"/>
              </w:rPr>
            </w:pPr>
          </w:p>
        </w:tc>
        <w:tc>
          <w:tcPr>
            <w:tcW w:w="116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Total(a)</w:t>
            </w:r>
          </w:p>
        </w:tc>
        <w:tc>
          <w:tcPr>
            <w:tcW w:w="0" w:type="dxa"/>
            <w:vAlign w:val="bottom"/>
          </w:tcPr>
          <w:p>
            <w:pPr>
              <w:spacing w:after="0"/>
              <w:rPr>
                <w:sz w:val="1"/>
                <w:szCs w:val="1"/>
                <w:color w:val="auto"/>
              </w:rPr>
            </w:pPr>
          </w:p>
        </w:tc>
      </w:tr>
      <w:tr>
        <w:trPr>
          <w:trHeight w:val="249"/>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(April 1, 2020 to December 31, 2020)</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37,673</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23,383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24,656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2022(b)</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17,968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12,007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19,403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10,240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15,411</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30,794</w:t>
            </w:r>
          </w:p>
        </w:tc>
        <w:tc>
          <w:tcPr>
            <w:tcW w:w="120" w:type="dxa"/>
            <w:vAlign w:val="bottom"/>
          </w:tcPr>
          <w:p>
            <w:pPr>
              <w:spacing w:after="0"/>
              <w:rPr>
                <w:sz w:val="20"/>
                <w:szCs w:val="20"/>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95,780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126,574</w:t>
            </w:r>
          </w:p>
        </w:tc>
        <w:tc>
          <w:tcPr>
            <w:tcW w:w="0" w:type="dxa"/>
            <w:vAlign w:val="bottom"/>
          </w:tcPr>
          <w:p>
            <w:pPr>
              <w:spacing w:after="0"/>
              <w:rPr>
                <w:sz w:val="1"/>
                <w:szCs w:val="1"/>
                <w:color w:val="auto"/>
              </w:rPr>
            </w:pPr>
          </w:p>
        </w:tc>
      </w:tr>
      <w:tr>
        <w:trPr>
          <w:trHeight w:val="27"/>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Secured debt, credit facilities and other unsecured debt are based on expected payoff date. Senior notes principal amounts are based on maturity.</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Automotive amount includes $3.0 billion drawn on our three-year, $4.0 billion facility renewed in April 2020 for an additional year expiring in April 2022.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of derivative financial instruments in our automotive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4"/>
                <w:szCs w:val="14"/>
                <w:color w:val="auto"/>
              </w:rPr>
            </w:pPr>
          </w:p>
        </w:tc>
        <w:tc>
          <w:tcPr>
            <w:tcW w:w="15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hedges(a)</w:t>
            </w: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Commodity</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PSA warrants(b)</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Total derivative financial instruments</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6,004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March 31, 2020 and December 31, 2019 and the gains/losses included in our condensed consolidated income statements for the three months ended March 31, 2020 and 2019 were insignificant, unless otherwise noted.</w:t>
      </w:r>
    </w:p>
    <w:p>
      <w:pPr>
        <w:jc w:val="both"/>
        <w:ind w:left="340" w:hanging="332"/>
        <w:spacing w:after="0" w:line="25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the warrants issued by Peugeot, S.A. (PSA Group) included in Other assets was $546 million and $964 million at March 31, 2020 and December 31, 2019. We recorded losses of $417 million and gains of $139 million in Interest income and other non-operating income, net in the three months ended March 31, 2020 and 2019.</w:t>
      </w:r>
    </w:p>
    <w:p>
      <w:pPr>
        <w:spacing w:after="0" w:line="16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estimate the fair value of the PSA warrants using a Black-Scholes formula. The significant inputs to the model include the PSA Group stock price and the estimated dividend yield. We are entitled to receive any dividends declared by PSA Group through the conversion date upon exercise of the warrants.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gross fair value amounts of GM Financial's derivative financial instruments and the associated notional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March 31, 2020</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3"/>
              </w:rPr>
              <w:t>December 31, 2019</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Fair Value of</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8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3"/>
                <w:szCs w:val="13"/>
                <w:color w:val="auto"/>
              </w:rPr>
            </w:pP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Fair Value of</w:t>
            </w:r>
          </w:p>
        </w:tc>
        <w:tc>
          <w:tcPr>
            <w:tcW w:w="140" w:type="dxa"/>
            <w:vAlign w:val="bottom"/>
          </w:tcPr>
          <w:p>
            <w:pPr>
              <w:spacing w:after="0"/>
              <w:rPr>
                <w:sz w:val="13"/>
                <w:szCs w:val="13"/>
                <w:color w:val="auto"/>
              </w:rPr>
            </w:pPr>
          </w:p>
        </w:tc>
        <w:tc>
          <w:tcPr>
            <w:tcW w:w="98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Liabilities</w:t>
            </w: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6"/>
                <w:szCs w:val="16"/>
                <w:color w:val="auto"/>
              </w:rPr>
            </w:pPr>
          </w:p>
        </w:tc>
        <w:tc>
          <w:tcPr>
            <w:tcW w:w="980" w:type="dxa"/>
            <w:vAlign w:val="bottom"/>
          </w:tcPr>
          <w:p>
            <w:pPr>
              <w:jc w:val="right"/>
              <w:ind w:right="175"/>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hedges(a)</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Fair value hedges</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swaps(b)</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9,458</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Foreign currency swaps</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swaps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hedges(a)</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104,282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92,400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57"/>
        </w:trPr>
        <w:tc>
          <w:tcPr>
            <w:tcW w:w="3620" w:type="dxa"/>
            <w:vAlign w:val="bottom"/>
          </w:tcPr>
          <w:p>
            <w:pPr>
              <w:ind w:left="40"/>
              <w:spacing w:after="0"/>
              <w:rPr>
                <w:sz w:val="20"/>
                <w:szCs w:val="20"/>
                <w:color w:val="auto"/>
              </w:rPr>
            </w:pPr>
            <w:r>
              <w:rPr>
                <w:rFonts w:ascii="Arial" w:cs="Arial" w:eastAsia="Arial" w:hAnsi="Arial"/>
                <w:sz w:val="18"/>
                <w:szCs w:val="18"/>
                <w:color w:val="auto"/>
              </w:rPr>
              <w:t>Total derivative financial instruments(c)</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120,899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108,673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6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gains/losses included in our condensed consolidated income statements and statements of comprehensive income for the three months ended March 31, 2020 and 2019 were insignificant, unless otherwise noted. Amounts accrued for interest payments in a net receivable position are included in Other assets. Amounts accrued for interest payments in a net payable position are included in Other liabilities.</w:t>
      </w:r>
    </w:p>
    <w:p>
      <w:pPr>
        <w:spacing w:after="0" w:line="1"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gains included in GM Financial interest, operating, and other expenses were $431 million and an insignificant amount for the three months ended March 31, 2020 and 2019.</w:t>
      </w:r>
    </w:p>
    <w:p>
      <w:pPr>
        <w:ind w:left="340" w:hanging="332"/>
        <w:spacing w:after="0" w:line="328"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GM Financial held $668 million and $210 million of collateral from counterparties available for netting against GM Financial's asset positions, and posted $270 million and an insignificant amount of collateral to counterparties available for netting against GM Financial's liability positions at March 31, 2020 and December 31, 2019.</w:t>
      </w:r>
    </w:p>
    <w:p>
      <w:pPr>
        <w:spacing w:after="0" w:line="13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amounts were recorded in the condensed consolidated balance sheets related to items designated and qualifying as hedged items in fair value hedging relationships: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4"/>
          </w:tcPr>
          <w:p>
            <w:pPr>
              <w:jc w:val="right"/>
              <w:ind w:right="1468"/>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4"/>
          </w:tcPr>
          <w:p>
            <w:pPr>
              <w:jc w:val="right"/>
              <w:ind w:right="1348"/>
              <w:spacing w:after="0"/>
              <w:rPr>
                <w:sz w:val="20"/>
                <w:szCs w:val="20"/>
                <w:color w:val="auto"/>
              </w:rPr>
            </w:pPr>
            <w:r>
              <w:rPr>
                <w:rFonts w:ascii="Arial" w:cs="Arial" w:eastAsia="Arial" w:hAnsi="Arial"/>
                <w:sz w:val="14"/>
                <w:szCs w:val="14"/>
                <w:b w:val="1"/>
                <w:bCs w:val="1"/>
                <w:color w:val="auto"/>
              </w:rPr>
              <w:t>December 31, 2019</w:t>
            </w:r>
          </w:p>
        </w:tc>
      </w:tr>
      <w:tr>
        <w:trPr>
          <w:trHeight w:val="143"/>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Carrying Amount of Hedged</w:t>
            </w:r>
          </w:p>
        </w:tc>
        <w:tc>
          <w:tcPr>
            <w:tcW w:w="140" w:type="dxa"/>
            <w:vAlign w:val="bottom"/>
          </w:tcPr>
          <w:p>
            <w:pPr>
              <w:spacing w:after="0"/>
              <w:rPr>
                <w:sz w:val="12"/>
                <w:szCs w:val="12"/>
                <w:color w:val="auto"/>
              </w:rPr>
            </w:pPr>
          </w:p>
        </w:tc>
        <w:tc>
          <w:tcPr>
            <w:tcW w:w="21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Cumulative Amount of Fair Value</w:t>
            </w:r>
          </w:p>
        </w:tc>
        <w:tc>
          <w:tcPr>
            <w:tcW w:w="120" w:type="dxa"/>
            <w:vAlign w:val="bottom"/>
          </w:tcPr>
          <w:p>
            <w:pPr>
              <w:spacing w:after="0"/>
              <w:rPr>
                <w:sz w:val="12"/>
                <w:szCs w:val="12"/>
                <w:color w:val="auto"/>
              </w:rPr>
            </w:pPr>
          </w:p>
        </w:tc>
        <w:tc>
          <w:tcPr>
            <w:tcW w:w="17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Carrying Amount of Hedged</w:t>
            </w:r>
          </w:p>
        </w:tc>
        <w:tc>
          <w:tcPr>
            <w:tcW w:w="140" w:type="dxa"/>
            <w:vAlign w:val="bottom"/>
          </w:tcPr>
          <w:p>
            <w:pPr>
              <w:spacing w:after="0"/>
              <w:rPr>
                <w:sz w:val="12"/>
                <w:szCs w:val="12"/>
                <w:color w:val="auto"/>
              </w:rPr>
            </w:pPr>
          </w:p>
        </w:tc>
        <w:tc>
          <w:tcPr>
            <w:tcW w:w="2000" w:type="dxa"/>
            <w:vAlign w:val="bottom"/>
          </w:tcPr>
          <w:p>
            <w:pPr>
              <w:jc w:val="center"/>
              <w:ind w:right="48"/>
              <w:spacing w:after="0" w:line="144" w:lineRule="exact"/>
              <w:rPr>
                <w:sz w:val="20"/>
                <w:szCs w:val="20"/>
                <w:color w:val="auto"/>
              </w:rPr>
            </w:pPr>
            <w:r>
              <w:rPr>
                <w:rFonts w:ascii="Arial" w:cs="Arial" w:eastAsia="Arial" w:hAnsi="Arial"/>
                <w:sz w:val="13"/>
                <w:szCs w:val="13"/>
                <w:b w:val="1"/>
                <w:bCs w:val="1"/>
                <w:color w:val="auto"/>
                <w:w w:val="89"/>
              </w:rPr>
              <w:t>Cumulative Amount of Fair Value</w:t>
            </w:r>
          </w:p>
        </w:tc>
      </w:tr>
      <w:tr>
        <w:trPr>
          <w:trHeight w:val="174"/>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5"/>
                <w:szCs w:val="15"/>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Hedging Adjustments(a)</w:t>
            </w:r>
          </w:p>
        </w:tc>
        <w:tc>
          <w:tcPr>
            <w:tcW w:w="120" w:type="dxa"/>
            <w:vAlign w:val="bottom"/>
          </w:tcPr>
          <w:p>
            <w:pPr>
              <w:spacing w:after="0"/>
              <w:rPr>
                <w:sz w:val="15"/>
                <w:szCs w:val="15"/>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5"/>
                <w:szCs w:val="15"/>
                <w:color w:val="auto"/>
              </w:rPr>
            </w:pPr>
          </w:p>
        </w:tc>
        <w:tc>
          <w:tcPr>
            <w:tcW w:w="2000" w:type="dxa"/>
            <w:vAlign w:val="bottom"/>
          </w:tcPr>
          <w:p>
            <w:pPr>
              <w:jc w:val="center"/>
              <w:ind w:right="48"/>
              <w:spacing w:after="0"/>
              <w:rPr>
                <w:sz w:val="20"/>
                <w:szCs w:val="20"/>
                <w:color w:val="auto"/>
              </w:rPr>
            </w:pPr>
            <w:r>
              <w:rPr>
                <w:rFonts w:ascii="Arial" w:cs="Arial" w:eastAsia="Arial" w:hAnsi="Arial"/>
                <w:sz w:val="13"/>
                <w:szCs w:val="13"/>
                <w:b w:val="1"/>
                <w:bCs w:val="1"/>
                <w:color w:val="auto"/>
                <w:w w:val="87"/>
              </w:rPr>
              <w:t>Hedging Adjustments(a)</w:t>
            </w:r>
          </w:p>
        </w:tc>
      </w:tr>
      <w:tr>
        <w:trPr>
          <w:trHeight w:val="250"/>
        </w:trPr>
        <w:tc>
          <w:tcPr>
            <w:tcW w:w="3040" w:type="dxa"/>
            <w:vAlign w:val="bottom"/>
            <w:tcBorders>
              <w:top w:val="single" w:sz="8" w:color="CCEEFF"/>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w w:val="91"/>
              </w:rPr>
              <w:t>GM Financial unsecured debt(b)</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8"/>
                <w:szCs w:val="18"/>
                <w:color w:val="auto"/>
              </w:rPr>
              <w:t>22,082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8"/>
                <w:szCs w:val="18"/>
                <w:color w:val="auto"/>
              </w:rPr>
              <w:t>20,397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193"/>
        </w:trPr>
        <w:tc>
          <w:tcPr>
            <w:tcW w:w="3040" w:type="dxa"/>
            <w:vAlign w:val="bottom"/>
          </w:tcPr>
          <w:p>
            <w:pPr>
              <w:jc w:val="right"/>
              <w:ind w:right="2135"/>
              <w:spacing w:after="0"/>
              <w:rPr>
                <w:sz w:val="20"/>
                <w:szCs w:val="20"/>
                <w:color w:val="auto"/>
              </w:rPr>
            </w:pPr>
            <w:r>
              <w:rPr>
                <w:rFonts w:ascii="Arial" w:cs="Arial" w:eastAsia="Arial" w:hAnsi="Arial"/>
                <w:sz w:val="16"/>
                <w:szCs w:val="16"/>
                <w:color w:val="auto"/>
                <w:w w:val="89"/>
              </w:rPr>
              <w:t>__________</w:t>
            </w: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r>
    </w:tbl>
    <w:p>
      <w:pPr>
        <w:ind w:left="340" w:right="20" w:hanging="332"/>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an insignificant amount of amortization remaining on hedged items for which hedge accounting has been discontinued at March 31, 2020 and December 31, 2019.</w:t>
      </w:r>
    </w:p>
    <w:p>
      <w:pPr>
        <w:ind w:left="340" w:hanging="332"/>
        <w:spacing w:after="0" w:line="257"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losses for hedged items - interest rate swaps included in GM Financial interest, operating, and other expenses were $503 million and an insignificant amount for the three months ended March 31, 2020 and 2019.</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Product Warranty and Related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22"/>
                <w:szCs w:val="22"/>
                <w:color w:val="auto"/>
              </w:rPr>
            </w:pPr>
          </w:p>
        </w:tc>
        <w:tc>
          <w:tcPr>
            <w:tcW w:w="1440" w:type="dxa"/>
            <w:vAlign w:val="bottom"/>
          </w:tcPr>
          <w:p>
            <w:pPr>
              <w:jc w:val="right"/>
              <w:ind w:right="272"/>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beginning of period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Warranties issued and assumed in period – recall campaigns</w:t>
            </w:r>
          </w:p>
        </w:tc>
        <w:tc>
          <w:tcPr>
            <w:tcW w:w="2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124</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 issued and assumed in period – product warranty</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7,552</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estimate our reasonably possible loss in excess of amounts accrued for recall campaigns to be insignificant at March 31, 2020. Refer to Note 15 for reasonably possible losses on Takata Corporation (Takata)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Pensions and Other Postretirement Benefits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16"/>
              <w:spacing w:after="0"/>
              <w:rPr>
                <w:sz w:val="20"/>
                <w:szCs w:val="20"/>
                <w:color w:val="auto"/>
              </w:rPr>
            </w:pPr>
            <w:r>
              <w:rPr>
                <w:rFonts w:ascii="Arial" w:cs="Arial" w:eastAsia="Arial" w:hAnsi="Arial"/>
                <w:sz w:val="14"/>
                <w:szCs w:val="14"/>
                <w:b w:val="1"/>
                <w:bCs w:val="1"/>
                <w:color w:val="auto"/>
                <w:w w:val="95"/>
              </w:rPr>
              <w:t>Three Months Ended March 31, 2020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16"/>
              <w:spacing w:after="0"/>
              <w:rPr>
                <w:sz w:val="20"/>
                <w:szCs w:val="20"/>
                <w:color w:val="auto"/>
              </w:rPr>
            </w:pPr>
            <w:r>
              <w:rPr>
                <w:rFonts w:ascii="Arial" w:cs="Arial" w:eastAsia="Arial" w:hAnsi="Arial"/>
                <w:sz w:val="14"/>
                <w:szCs w:val="14"/>
                <w:b w:val="1"/>
                <w:bCs w:val="1"/>
                <w:color w:val="auto"/>
                <w:w w:val="95"/>
              </w:rPr>
              <w:t>Three Months Ended March 31, 2019</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2"/>
                <w:szCs w:val="22"/>
                <w:color w:val="auto"/>
              </w:rPr>
            </w:pPr>
          </w:p>
        </w:tc>
        <w:tc>
          <w:tcPr>
            <w:tcW w:w="11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Global OPEB</w:t>
            </w:r>
          </w:p>
        </w:tc>
        <w:tc>
          <w:tcPr>
            <w:tcW w:w="2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2"/>
                <w:szCs w:val="2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Global OPEB</w:t>
            </w:r>
          </w:p>
        </w:tc>
        <w:tc>
          <w:tcPr>
            <w:tcW w:w="0" w:type="dxa"/>
            <w:vAlign w:val="bottom"/>
          </w:tcPr>
          <w:p>
            <w:pPr>
              <w:spacing w:after="0"/>
              <w:rPr>
                <w:sz w:val="1"/>
                <w:szCs w:val="1"/>
                <w:color w:val="auto"/>
              </w:rPr>
            </w:pPr>
          </w:p>
        </w:tc>
      </w:tr>
      <w:tr>
        <w:trPr>
          <w:trHeight w:val="71"/>
        </w:trPr>
        <w:tc>
          <w:tcPr>
            <w:tcW w:w="4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Non-U.S.</w:t>
            </w:r>
          </w:p>
        </w:tc>
        <w:tc>
          <w:tcPr>
            <w:tcW w:w="11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Non-U.S.</w:t>
            </w: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Plans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Plans</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losses</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65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63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non-service cost components of net periodic pension and other postretirement benefits (OPEB) income of $338 million and $230 million in the three months ended March 31, 2020 and 2019 are presented in Interest income and other non-operating income,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Litigation-Related Liability and Tax Administrative Matters </w:t>
      </w:r>
      <w:r>
        <w:rPr>
          <w:rFonts w:ascii="Arial" w:cs="Arial" w:eastAsia="Arial" w:hAnsi="Arial"/>
          <w:sz w:val="18"/>
          <w:szCs w:val="18"/>
          <w:color w:val="auto"/>
        </w:rPr>
        <w:t>In the normal course of our business, we are named from time to time as a defendant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March 31, 2020 and December 31, 2019, we had accruals of $1.2 billion and $1.3 billion in Accrued liabilities and Other liabilities. In many matters, it is inherently difficult to determine whether loss is probable or reasonably possible or to estimate the size or range of the possible loss. Accordingly, adverse outcomes from such proceedings could exceed the amounts accrued by an amount that could be material to our results of operations or cash flows in any particular reporting period.</w:t>
      </w:r>
    </w:p>
    <w:p>
      <w:pPr>
        <w:spacing w:after="0" w:line="19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Proceedings Related to Ignition Switch Recall and Other Recalls </w:t>
      </w:r>
      <w:r>
        <w:rPr>
          <w:rFonts w:ascii="Arial" w:cs="Arial" w:eastAsia="Arial" w:hAnsi="Arial"/>
          <w:sz w:val="17"/>
          <w:szCs w:val="17"/>
          <w:color w:val="auto"/>
        </w:rPr>
        <w:t>In 2014 we announced various recalls relating to safety and other matters. Those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recalls 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65"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i w:val="1"/>
          <w:iCs w:val="1"/>
          <w:color w:val="auto"/>
        </w:rPr>
        <w:t xml:space="preserve">Appellate Litigation Regarding Successor Liability Ignition Switch Claims </w:t>
      </w:r>
      <w:r>
        <w:rPr>
          <w:rFonts w:ascii="Arial" w:cs="Arial" w:eastAsia="Arial" w:hAnsi="Arial"/>
          <w:sz w:val="17"/>
          <w:szCs w:val="17"/>
          <w:color w:val="auto"/>
        </w:rPr>
        <w:t>In 2016, the U.S. Court of Appeals for the Second Circuit held that the 2009</w:t>
      </w:r>
      <w:r>
        <w:rPr>
          <w:rFonts w:ascii="Arial" w:cs="Arial" w:eastAsia="Arial" w:hAnsi="Arial"/>
          <w:sz w:val="17"/>
          <w:szCs w:val="17"/>
          <w:i w:val="1"/>
          <w:iCs w:val="1"/>
          <w:color w:val="auto"/>
        </w:rPr>
        <w:t xml:space="preserve"> </w:t>
      </w:r>
      <w:r>
        <w:rPr>
          <w:rFonts w:ascii="Arial" w:cs="Arial" w:eastAsia="Arial" w:hAnsi="Arial"/>
          <w:sz w:val="17"/>
          <w:szCs w:val="17"/>
          <w:color w:val="auto"/>
        </w:rPr>
        <w:t>order of the United States Bankruptcy Court for the Southern District of New York (Bankruptcy Court) approving the sale of substantially all of the assets of Motors Liquidation Company (MLC) to GM free and clear of, among other things, claims asserting successor liability for obligations owed by MLC could not be enforced to bar claims against GM asserted by either plaintiffs who purchased used vehicles after the sale or against purchasers who asserted claims relating to the ignition switch defect, including pre-sale personal injury claims and economic-loss claims.</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i w:val="1"/>
          <w:iCs w:val="1"/>
          <w:color w:val="auto"/>
        </w:rPr>
        <w:t xml:space="preserve">Economic-Loss Claims </w:t>
      </w:r>
      <w:r>
        <w:rPr>
          <w:rFonts w:ascii="Arial" w:cs="Arial" w:eastAsia="Arial" w:hAnsi="Arial"/>
          <w:sz w:val="17"/>
          <w:szCs w:val="17"/>
          <w:color w:val="auto"/>
        </w:rPr>
        <w:t>We are aware of over 100 putative class actions pending against GM in U.S. and Canadian courts alleging that consumers who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or leased vehicles manufactured by GM or MLC, formerly known as General Motors Corporation, had been economically harmed by one or more of the 2014 recalls and/or the underlying vehicle conditions associated with those recalls (economic-loss cases). In general, these economic-loss cases seek recovery for purported compensatory damages, such as alleged benefit-of-the-bargain damages or damages related to alleged diminution in value of the vehicles, as well as punitive damages, injunctive relief and other relief.</w:t>
      </w:r>
    </w:p>
    <w:p>
      <w:pPr>
        <w:spacing w:after="0" w:line="17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Many of the pending U.S. economic-loss claims have been transferred to, and consolidated in, a single federal court, the U.S. District Court for the Southern District of New York (Southern District). These plaintiffs have asserted economic-loss claims under federal and state laws, including claims relating to recalled vehicles manufactured by GM and claims asserting successor liability relating to certain recalled vehicles manufactured by MLC.</w:t>
      </w:r>
    </w:p>
    <w:p>
      <w:pPr>
        <w:spacing w:after="0" w:line="16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August 2017, the Southern District granted our motion to dismiss the successor liability claims of plaintiffs in seven of the sixteen states at issue on the motion and called for additional briefing to decide whether plaintiffs' claims can proceed in the other nine states. In December 2017, the Southern District granted GM's motion and dismissed the plaintiffs' successor liability claims in an additional state, but found that there are genuine issues of material fact that prevent summary judgment for GM in eight other states. In January 2018, GM moved for reconsideration of certain portions of the Southern District's December 2017 summary judgment ruling. That motion was granted in April 2018, dismissing plaintiffs' successor liability claims in any state where New York law applies.</w:t>
      </w:r>
    </w:p>
    <w:p>
      <w:pPr>
        <w:spacing w:after="0" w:line="19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September 2018, the Southern District granted our motion to dismiss claims for lost personal time (in 41 out of 47 jurisdictions) and certain unjust enrichment claims, but denied our motion to dismiss plaintiffs’ economic loss claims in 27 jurisdictions under the "manifest defect" rule. Significant summary judgment, class certification, and expert evidentiary motions remain at issue.</w:t>
      </w:r>
    </w:p>
    <w:p>
      <w:pPr>
        <w:spacing w:after="0" w:line="184"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In August 2019, the Southern District granted our motion for summary judgment on plaintiffs’ economic loss “benefit of the bargain” damage claims (the August 2019 Opinion). The Southern District held that plaintiffs’ conjoint analysis-based damages model failed to establish that plaintiffs suffered difference-in-value damages and without such evidence, plaintiffs’ difference-in-value damage claims fail under the laws of all three bellwether states: California, Missouri and Texas. Later in August 2019, the bellwether plaintiffs filed a motion requesting that the Southern District reconsider its summary judgment decision or allow an interlocutory appeal if reconsideration is denied. In December 2019, the Southern District denied plaintiffs' motion for reconsideration of the August 2019 Opinion, but granted the plaintiffs' motion for certification of an interlocutory appeal. On April 1, 2020, the Second Circuit Court of Appeals (the Second Circuit) granted the bellwether plaintiffs' petition seeking leave to appeal the August 2019 Opinion. On April 15, 2020, the bellwether plaintiffs and GM filed a Stipulation to withdraw the appeal from the Second Circuit based on the class settlement agreement described below. Pursuant to the Stipulation, the bellwether plaintiffs can reinstate the appeal no later than April 2021. The Second Circuit endorsed the Stipulation by order on April 16, 2020.</w:t>
      </w:r>
    </w:p>
    <w:p>
      <w:pPr>
        <w:spacing w:after="0" w:line="18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September 2019, GM filed an updated motion for summary judgment on plaintiffs’ remaining economic loss claims that were not addressed in the Southern District’s August 2019 Opinion and renewed its evidentiary motion seeking to strike the opinions of plaintiff’s expert on plaintiffs’ alleged “lost time” damages associated with having the recall repairs performed.</w:t>
      </w:r>
    </w:p>
    <w:p>
      <w:pPr>
        <w:spacing w:after="0" w:line="184"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 March 2020, GM, plaintiffs and the MLC GUC Trust (GUC Trust) reached a settlement agreement (Class Settlement Agreement) to resolve on a national basis the economic loss claims of the proposed settlement class and proposed sub-classes, consisting of consumers who purchased or leased GM vehicles covered by the seven 2014 safety recalls at issue in the Southern District and the Bankruptcy Court. The proposed Class Settlement Agreement provides a common fund of $120 million for settlement class members, of which GM will fund $70 million and the GUC Trust will fund the remaining $50 million. GM will also pay attorneys’ fees and costs that may be awarded by the Southern District to plaintiffs’ counsel up to a maximum of $35 million. In April 2020, the Avoidance Action Trust (AAT), GM and plaintiffs reached a tentative settlement under which the AAT will pay an insignificant amount and will be added as a settling party to the Class Settlement Agreement. In April 2020, the Southern District entered an order granting preliminary approval of the Class Settlement Agreement.</w:t>
      </w:r>
    </w:p>
    <w:p>
      <w:pPr>
        <w:spacing w:after="0" w:line="178"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i w:val="1"/>
          <w:iCs w:val="1"/>
          <w:color w:val="auto"/>
        </w:rPr>
        <w:t xml:space="preserve">Personal Injury Claims </w:t>
      </w:r>
      <w:r>
        <w:rPr>
          <w:rFonts w:ascii="Arial" w:cs="Arial" w:eastAsia="Arial" w:hAnsi="Arial"/>
          <w:sz w:val="16"/>
          <w:szCs w:val="16"/>
          <w:color w:val="auto"/>
        </w:rPr>
        <w:t>We also are aware of several hundred actions pending in various courts in the U.S. and Canada alleging injury or death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of defects that may be the subject of the 2014 recalls (personal injury cases). In general, these cases seek recovery for purported compensatory damages, punitive damages and/or other relief. Since 2016, several bellwether trials of personal injury cases have taken place in the Southern District and in a Texas state court, which is administering a Texas state multi-district litigation. None of these trials resulted in a finding of liability against GM.</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i w:val="1"/>
          <w:iCs w:val="1"/>
          <w:color w:val="auto"/>
        </w:rPr>
        <w:t xml:space="preserve">Contingently Issuable Shares </w:t>
      </w:r>
      <w:r>
        <w:rPr>
          <w:rFonts w:ascii="Arial" w:cs="Arial" w:eastAsia="Arial" w:hAnsi="Arial"/>
          <w:sz w:val="17"/>
          <w:szCs w:val="17"/>
          <w:color w:val="auto"/>
        </w:rPr>
        <w:t>Under the Amended and Restated Master Sale and Purchase Agreement between GM and MLC, GM may be obligated to</w:t>
      </w:r>
      <w:r>
        <w:rPr>
          <w:rFonts w:ascii="Arial" w:cs="Arial" w:eastAsia="Arial" w:hAnsi="Arial"/>
          <w:sz w:val="17"/>
          <w:szCs w:val="17"/>
          <w:i w:val="1"/>
          <w:iCs w:val="1"/>
          <w:color w:val="auto"/>
        </w:rPr>
        <w:t xml:space="preserve"> </w:t>
      </w:r>
      <w:r>
        <w:rPr>
          <w:rFonts w:ascii="Arial" w:cs="Arial" w:eastAsia="Arial" w:hAnsi="Arial"/>
          <w:sz w:val="17"/>
          <w:szCs w:val="17"/>
          <w:color w:val="auto"/>
        </w:rPr>
        <w:t>issue Adjustment Shares of our common stock if allowed general unsecured claims against the GUC Trust, as estimated by the Bankruptcy Court, exceed $35.0 billion. The maximum number of Adjustment Shares issuable is 30 million shares (subject to adjustment to take into account stock dividends, stock splits and other transactions), which amounts to $671 million based on the GM share price as of April 20, 2020. The GUC Trust stated in public filings that allowed general unsecured claims were approximately $32.1 billion as of December 31, 2019.</w:t>
      </w:r>
    </w:p>
    <w:p>
      <w:pPr>
        <w:spacing w:after="0" w:line="17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February 2019, the GUC Trust and certain personal injury and economic-loss plaintiffs filed a motion with the Bankruptcy Court requesting approval of a settlement to obtain the maximum number of Adjustment Shares. In September 2019, the GUC Trust advised the Bankruptcy Court that it was formally terminating the February 2019 proposed class settlement with plaintiffs because it was no longer viable given the August 2019 Opinion and further briefing was moot.</w:t>
      </w:r>
    </w:p>
    <w:p>
      <w:pPr>
        <w:spacing w:after="0" w:line="1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March 2020, in conjunction with the Class Settlement Agreement, the GUC Trust filed a motion in the Bankruptcy Court seeking approval to enter into and take actions necessary to execute the Class Settlement Agreement, and seeking Bankruptcy Court authorization permitting the GUC Trust to distribute $300 million of GUC Trust assets to its unitholders and entry into a mutual release agreement with GM that would release GM from any and all claims, including any that would require GM to issue any Adjustment Shares. Bankruptcy Court approval of the GUC Trust motion is a condition precedent to preliminary approval of the Class Settlement Agreement by the Southern District. In April 2020, the Bankruptcy Court entered an order approving the GUC Trust's motion in its entirety. The approval and the mutual release agreement will be binding and enforceable 14 days after entry of the order if no appeals are pending, regardless of whether the Class Settlement Agreement is ultimately approved or terminated.</w:t>
      </w:r>
    </w:p>
    <w:p>
      <w:pPr>
        <w:spacing w:after="0" w:line="17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Government Matters </w:t>
      </w:r>
      <w:r>
        <w:rPr>
          <w:rFonts w:ascii="Arial" w:cs="Arial" w:eastAsia="Arial" w:hAnsi="Arial"/>
          <w:sz w:val="18"/>
          <w:szCs w:val="18"/>
          <w:color w:val="auto"/>
        </w:rPr>
        <w:t>In connection with the 2014 recalls, we have from time to time received subpoenas and other requests for information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investigations by agencies or other representatives of U.S. federal, state and the Canadian governments. GM is cooperating with all reasonable pending requests for information. Any existing governmental matters or investigations could in the future result in the imposition of damages, fines, civil consent orders, civil and criminal penalties or other remedies.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total amount accrued for the 2014 recalls at March 31, 2020 reflects amounts for a combination of settled but unpaid matters, and for the remaining unsettled investigations, claims and/or lawsuits relating to the ignition switch recalls and other related recalls to the extent that such matters are probable and can be reasonably estimated. The amounts accrued for those unsettled investigations, claims, and/or lawsuits represent a combination of our best single point estimates where determinable and, where no such single point estimate is determinable, our estimate of the low end of the range of probable loss with regard to such matters, if that is determinable. We will continue to consider resolution of pending matters involving ignition switch recalls and other recalls where it makes sense to do so.</w:t>
      </w:r>
    </w:p>
    <w:p>
      <w:pPr>
        <w:spacing w:after="0" w:line="192"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GM Korea Wage Litigation </w:t>
      </w:r>
      <w:r>
        <w:rPr>
          <w:rFonts w:ascii="Arial" w:cs="Arial" w:eastAsia="Arial" w:hAnsi="Arial"/>
          <w:sz w:val="17"/>
          <w:szCs w:val="17"/>
          <w:color w:val="auto"/>
        </w:rPr>
        <w:t>GM Korea is party to litigation with current and former hourly employees in the appellate court and Incheon District Court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Incheon, Korea. The group actions, which in the aggregate involve more than 10,000 employees, allege that GM Korea failed to include bonuses and certain allowances in its calculation of Ordinary Wages due under Korean regulations. In 2012, the Seoul High Court (an intermediate-level appellate court) affirmed a decision in one of these group actions involving five GM Korea employees which was contrary to GM Korea's position. GM Korea appealed to the Supreme Court of the Republic of Korea (Korean Supreme Court). In 2014, the Korean Supreme Court largely agreed with GM’s legal arguments and remanded the case to the Seoul High Court for consideration consistent with earlier Korean Supreme Court precedent holding that while fixed bonuses should be included in the calculation of Ordinary Wages, claims for retroactive application of this rule would be barred under certain circumstances. In 2015, on reconsideration, the Seoul High Court held in GM Korea’s favor, after which the plaintiffs appealed to the Korean Supreme Court. The Korean Supreme Court has not yet rendered a decision. We estimate our reasonably possible loss in excess of amounts accrued to be approximately $580 million at March 31, 2020. Both the scope of claims asserted and GM Korea's assessment of any or all of the individual claim elements may change if new information becomes available or the legal or regulatory frameworks change.</w:t>
      </w:r>
    </w:p>
    <w:p>
      <w:pPr>
        <w:spacing w:after="0" w:line="18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Korea is also party to litigation with current and former salaried employees over allegations relating to Ordinary Wages regulation and whether to include fixed bonuses in the calculation of Ordinary Wages. In 2017, the Seoul High Court held that certain workers are not barred from filing retroactive wage claims. GM Korea appealed this ruling to the Korean Supreme Court. The Korean Supreme Court has not yet rendered a decision. We estimate our reasonably possible loss in excess of amounts accrued to be approximately $160 million at March 31, 2020. Both the scope of claims asserted and GM Korea's assessment of any or all of the individual claim elements may change if new information becomes available or the legal or regulatory frameworks change.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GM Korea is also party to litigation with current and former subcontract workers over allegations that they are entitled to the same wages and benefits provided to full-time employees, and to be hired as full-time employees. In May 2018, the Korean labor authorities issued an adverse administrative order finding that GM Korea must hire certain current subcontract workers as full-time employees. GM Korea appealed that order. At March 31, 2020, our accrual covering certain asserted claims and claims that we believe are probable of assertion and for which liability is probable was approximately $180 million. We estimate the reasonably possible loss in excess of amounts accrued for other current subcontract workers who may assert similar claims to be approximately $110 million at March 31, 2020. We are currently unable to estimate any possible loss or range of loss that may result from additional claims that may be asserted by former subcontract workers.</w:t>
      </w:r>
    </w:p>
    <w:p>
      <w:pPr>
        <w:spacing w:after="0" w:line="17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b w:val="1"/>
          <w:bCs w:val="1"/>
          <w:i w:val="1"/>
          <w:iCs w:val="1"/>
          <w:color w:val="auto"/>
        </w:rPr>
        <w:t xml:space="preserve">GM Brazil Indirect Tax Claim </w:t>
      </w:r>
      <w:r>
        <w:rPr>
          <w:rFonts w:ascii="Arial" w:cs="Arial" w:eastAsia="Arial" w:hAnsi="Arial"/>
          <w:sz w:val="17"/>
          <w:szCs w:val="17"/>
          <w:color w:val="auto"/>
        </w:rPr>
        <w:t>In 2019, the Superior Judicial Court of Brazil rendered favorable decisions on three cases brought by GM Brazil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challenging whether a certain state value-added tax should be included in the calculation of federal gross receipts taxes. The decisions will allow the Company the right to recover, through offset of federal tax liabilities, amounts collected by the government from August 2001 to February 2017. In the three months ended March 31, 2019, we recorded pre-tax recoveries of $857 million in Automotive and other cost of sales as a result of a favorable decision. We recorded a total of $1.4 billion pre-tax recoveries in Automotive and other cost of sales in the year ended December 31, 2019. Timing on realization of these recoveries is dependent upon the timing of administrative approvals and generation of federal tax liabilities eligible for offset. The Brazilian IRS has filed a Motion of Clarification on this matter with the Brazilian Supreme Court, and decision timing is uncertain due to the COVID-19 pandemic. In addition, we expect third parties to make claims on some or all of the pre-tax recoveries, which GM intends to defend against.</w:t>
      </w:r>
    </w:p>
    <w:p>
      <w:pPr>
        <w:spacing w:after="0" w:line="178"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b w:val="1"/>
          <w:bCs w:val="1"/>
          <w:i w:val="1"/>
          <w:iCs w:val="1"/>
          <w:color w:val="auto"/>
        </w:rPr>
        <w:t xml:space="preserve">Other Litigation-Related Liability and Tax Administrative Matters </w:t>
      </w:r>
      <w:r>
        <w:rPr>
          <w:rFonts w:ascii="Arial" w:cs="Arial" w:eastAsia="Arial" w:hAnsi="Arial"/>
          <w:sz w:val="18"/>
          <w:szCs w:val="18"/>
          <w:color w:val="auto"/>
        </w:rPr>
        <w:t>Various other legal actions, including class actions, governmental investigations,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claims and proceedings are pending against us or our related companies or joint ventures, including matters arising out of alleged product defects; employment-related matters; product and workplace 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w:t>
      </w:r>
    </w:p>
    <w:p>
      <w:pPr>
        <w:spacing w:after="0" w:line="195"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There are several putative class actions pending against GM in federal courts in the U.S., in the Provincial Courts in Canada and in Israel alleging that various vehicles sold, including model year 2011-2016 Duramax Diesel Chevrolet Silverado and GMC Sierra vehicles, violate federal, state and foreign emission standards. GM has also faced a series of additional lawsuits in the U.S. based on these allegations, including putative shareholder class actions claiming violations of federal securities law and a shareholder demand lawsuit. The securities lawsuits have been voluntarily dismissed by the plaintiffs in those actions. We are unable to estimate any reasonably possible loss or range of loss that may result from these actions.</w:t>
      </w:r>
    </w:p>
    <w:p>
      <w:pPr>
        <w:spacing w:after="0" w:line="17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187"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Some of the matters may involve compensatory, punitive or other treble damage claims, environmental remediation programs or sanctions that, if granted, could require us to pay damages or make other expenditures in amounts that could not be reasonably estimated at March 31, 2020. We believe that appropriate accruals have been established for losses that are probable and can be reasonably estimated. For indirect tax-related matters we estimate our reasonably possible loss in excess of amounts accrued to be up to approximately $700 million at March 31, 2020.</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In May 2016, the National Highway Traffic Safety Administration (NHTSA) issued an amended consent order requiring Takata to file</w:t>
      </w:r>
      <w:r>
        <w:rPr>
          <w:rFonts w:ascii="Arial" w:cs="Arial" w:eastAsia="Arial" w:hAnsi="Arial"/>
          <w:sz w:val="18"/>
          <w:szCs w:val="18"/>
          <w:b w:val="1"/>
          <w:bCs w:val="1"/>
          <w:color w:val="auto"/>
        </w:rPr>
        <w:t xml:space="preserve"> </w:t>
      </w:r>
      <w:r>
        <w:rPr>
          <w:rFonts w:ascii="Arial" w:cs="Arial" w:eastAsia="Arial" w:hAnsi="Arial"/>
          <w:sz w:val="18"/>
          <w:szCs w:val="18"/>
          <w:color w:val="auto"/>
        </w:rPr>
        <w:t>defect information reports (DIRs) for previously unrecalled front airbag inflators that 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Although we do not believe there is a safety defect at this time in any unrecalled GM vehicles within scope of the Takata DIRs, in cooperation with NHTSA we have filed Preliminary DIRs covering certain of our GMT900 vehicles, which are full-size pickup trucks and sport utility vehicles (SUVs). We have also filed petitions for inconsequentiality with respect to the vehicles subject to those Preliminary DIRs. NHTSA has consolidated our petitions and will rule on them at the same time.</w:t>
      </w:r>
    </w:p>
    <w:p>
      <w:pPr>
        <w:spacing w:after="0" w:line="18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While these petitions have been pending, we have provided NHTSA with the results of our long-term studies and the studies performed by third-party experts, all of which form the basis for our determination that the inflators in these vehicles do not present an unreasonable risk to safety and that no repair should ultimately be required.</w:t>
      </w:r>
    </w:p>
    <w:p>
      <w:pPr>
        <w:spacing w:after="0" w:line="184" w:lineRule="exact"/>
        <w:rPr>
          <w:sz w:val="20"/>
          <w:szCs w:val="20"/>
          <w:color w:val="auto"/>
        </w:rPr>
      </w:pPr>
    </w:p>
    <w:p>
      <w:pPr>
        <w:jc w:val="both"/>
        <w:ind w:right="20" w:firstLine="162"/>
        <w:spacing w:after="0" w:line="263" w:lineRule="auto"/>
        <w:rPr>
          <w:sz w:val="20"/>
          <w:szCs w:val="20"/>
          <w:color w:val="auto"/>
        </w:rPr>
      </w:pPr>
      <w:r>
        <w:rPr>
          <w:rFonts w:ascii="Arial" w:cs="Arial" w:eastAsia="Arial" w:hAnsi="Arial"/>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$1.2 billion.</w:t>
      </w:r>
    </w:p>
    <w:p>
      <w:pPr>
        <w:spacing w:after="0" w:line="18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Additional recalls, if any, could be material to our results of operations and cash flows. We continue to monitor the international situation.</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There are several putative class actions that have been filed against GM in federal courts in the U.S., in the Provincial Courts in Canada, Mexico and Israel arising out of allegations that airbag inflators manufactured by Takata are defective. At this early stage of these proceedings, we are unable to provide an evaluation of the likelihood that a loss will be incurred or an estimate of the amounts or range of possible loss.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Opel/Vauxhall Sale </w:t>
      </w:r>
      <w:r>
        <w:rPr>
          <w:rFonts w:ascii="Arial" w:cs="Arial" w:eastAsia="Arial" w:hAnsi="Arial"/>
          <w:sz w:val="17"/>
          <w:szCs w:val="17"/>
          <w:color w:val="auto"/>
        </w:rPr>
        <w:t>In 2017 we sold the Opel and Vauxhall businesses and certain other assets in Europe (the Opel/Vauxhall Business) to PSA Group. We</w:t>
      </w:r>
      <w:r>
        <w:rPr>
          <w:rFonts w:ascii="Arial" w:cs="Arial" w:eastAsia="Arial" w:hAnsi="Arial"/>
          <w:sz w:val="17"/>
          <w:szCs w:val="17"/>
          <w:b w:val="1"/>
          <w:bCs w:val="1"/>
          <w:color w:val="auto"/>
        </w:rPr>
        <w:t xml:space="preserve"> </w:t>
      </w:r>
      <w:r>
        <w:rPr>
          <w:rFonts w:ascii="Arial" w:cs="Arial" w:eastAsia="Arial" w:hAnsi="Arial"/>
          <w:sz w:val="17"/>
          <w:szCs w:val="17"/>
          <w:color w:val="auto"/>
        </w:rPr>
        <w:t>also sold the European financing subsidiaries and branches (the Fincos, and together with the Opel/Vauxhall Business, the European Business) to Banque PSA Finance S.A. and BNP Paribas Personal Finance S.A. Our wholly owned subsidiary (the Seller) agreed to indemnify PSA Group for certain losses resulting from any inaccuracy of the representations and warranties or breaches of our covenants included in the Master Agreement (the Agreement) and for certain other liabilities, including certain emissions and product liabilities. The Company entered into a guarantee for the benefit of PSA Group and pursuant to which the Company agreed to guarantee the Seller's obligation to indemnify PSA Group. Certain of these indemnification obligations are subject to time limitations, thresholds and/or caps as to the amount of required payments.</w:t>
      </w:r>
    </w:p>
    <w:p>
      <w:pPr>
        <w:spacing w:after="0" w:line="176"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Although the sale reduced our new vehicle presence in Europe, we may still be impacted by actions taken by regulators related to vehicles sold before the sale. In Germany, the Kraftfahrt-Bundesamt (KBA) issued an order in November 2019, which converted a voluntary recall initiated by Opel in 2017 and 2018 into a mandatory recall for allegedly failing to comply with certain emissions regulations. However, because the overwhelming majority of vehicles have already received KBA-approved software calibration updates pursuant to the voluntary recall, the number of vehicles subject to the mandatory recall is insignificant. The Seller may also be obligated to indemnify PSA Group or otherwise absorb costs and expenses resulting from the foregoing as well as certain related potential litigation costs, settlements, judgments and potential fines. In addition, at the KBA's request, the German authorities re-opened a separate criminal investigation related to this matter that had previously been closed with no action. We are unable to estimate any reasonably possible loss or range of loss that may result from this matter.</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Transactions with PSA </w:t>
      </w:r>
      <w:r>
        <w:rPr>
          <w:rFonts w:ascii="Arial" w:cs="Arial" w:eastAsia="Arial" w:hAnsi="Arial"/>
          <w:sz w:val="18"/>
          <w:szCs w:val="18"/>
          <w:color w:val="auto"/>
        </w:rPr>
        <w:t>We continue to purchase from and supply to PSA Group certain vehicles, parts and engineering services for a period of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sale. The following table summarizes transactions with the Opel/Vauxhall Business: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22"/>
                <w:szCs w:val="22"/>
                <w:color w:val="auto"/>
              </w:rPr>
            </w:pPr>
          </w:p>
        </w:tc>
        <w:tc>
          <w:tcPr>
            <w:tcW w:w="1420" w:type="dxa"/>
            <w:vAlign w:val="bottom"/>
          </w:tcPr>
          <w:p>
            <w:pPr>
              <w:jc w:val="right"/>
              <w:ind w:right="274"/>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7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and revenue(a)</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Purchases and expenses(a)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192</w:t>
            </w: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payments(b)</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Cash receipts(b)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581</w:t>
            </w:r>
          </w:p>
        </w:tc>
      </w:tr>
      <w:tr>
        <w:trPr>
          <w:trHeight w:val="220"/>
        </w:trPr>
        <w:tc>
          <w:tcPr>
            <w:tcW w:w="7680" w:type="dxa"/>
            <w:vAlign w:val="bottom"/>
          </w:tcPr>
          <w:p>
            <w:pPr>
              <w:spacing w:after="0"/>
              <w:rPr>
                <w:sz w:val="20"/>
                <w:szCs w:val="20"/>
                <w:color w:val="auto"/>
              </w:rPr>
            </w:pPr>
            <w:r>
              <w:rPr>
                <w:rFonts w:ascii="Arial" w:cs="Arial" w:eastAsia="Arial" w:hAnsi="Arial"/>
                <w:sz w:val="16"/>
                <w:szCs w:val="16"/>
                <w:color w:val="auto"/>
              </w:rPr>
              <w:t>__________</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Included in Net income.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Included in Net cash provided by (used in) operating activities.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Product Liability </w:t>
      </w:r>
      <w:r>
        <w:rPr>
          <w:rFonts w:ascii="Arial" w:cs="Arial" w:eastAsia="Arial" w:hAnsi="Arial"/>
          <w:sz w:val="16"/>
          <w:szCs w:val="16"/>
          <w:color w:val="auto"/>
        </w:rPr>
        <w:t>We recorded liabilities of $569 million and $544 million in Accrued liabilities and Other liabilities at March 31, 2020 and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2019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Other than claims relating to the ignition switch recalls discussed above, we believe that any judgment against us involving our and MLC products for actual damages will be adequately covered by our recorded accruals and, where applicable, excess liability insurance coverage.</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We enter into indemnification agreements for liability claims involving products manufactured primarily by certain joint ventures.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terminate in years ranging from 2020 to 2025 or upon the occurrence of specific events or are ongoing. We believe that the related potential costs incurred are adequately covered by our recorded accruals, which are insignificant. The maximum future undiscounted payments mainly based on vehicles sold to date were $2.7 billion and $2.6 billion for these guarantees at March 31, 2020 and December 31, 2019, the majority of which relates to the indemnification agreements.</w:t>
      </w:r>
    </w:p>
    <w:p>
      <w:pPr>
        <w:spacing w:after="0" w:line="18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184"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PSA Group under the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interim income tax reporting, we estimate our annual effective tax rate and apply it to our year-to-date ordinary income (loss). Tax jurisdictions with a projected or year-to-date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 We have open tax years from 2011 to 2019 with various significant tax jurisdictions.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2020, Income tax expense of $357 million was primarily due to tax expense attributable to entities included in our effective tax rate calculation and the establishment of a valuation allowance against deferred tax assets that are no longer realizable. The effective tax rate is higher than the applicable statutory tax rate primarily due to tax expense related to the establishment of the valuation allowance and losses for which a tax benefit cannot be realized.</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2019, Income tax expense of $137 million primarily resulted from tax expense attributable to entities included in our effective tax rate calculation, partially offset by tax benefits related to a release of valuation allowance and benefits from foreign dividends. The effective tax rate is lower than the applicable statutory tax rate primarily due to tax benefits related to a release of valuation allowance and benefits from foreign dividends.</w:t>
      </w:r>
    </w:p>
    <w:p>
      <w:pPr>
        <w:spacing w:after="0" w:line="18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At March 31, 2020, we had $23.9 billion of net deferred tax assets consisting of net operating losses and income tax credits, capitalized research expenditures and other timing differences that are available to offset future income tax liabilities, partially offset by valuation allowances.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Restructuring and Other Initiatives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reserves and charges related to restructuring and other initiatives, including postemployment benefit reserves and charges: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r>
      <w:tr>
        <w:trPr>
          <w:trHeight w:val="250"/>
        </w:trPr>
        <w:tc>
          <w:tcPr>
            <w:tcW w:w="7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21"/>
                <w:szCs w:val="21"/>
                <w:color w:val="auto"/>
              </w:rPr>
            </w:pPr>
          </w:p>
        </w:tc>
        <w:tc>
          <w:tcPr>
            <w:tcW w:w="1440" w:type="dxa"/>
            <w:vAlign w:val="bottom"/>
          </w:tcPr>
          <w:p>
            <w:pPr>
              <w:jc w:val="right"/>
              <w:ind w:right="273"/>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46</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830</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In the three months ended March 31, 2020, we announced restructuring actions in GMI related to the wind-down of Holden sales, design and engineering operations in Australia and New Zealand and the execution of binding term sheets to sell our vehicle and powertrain manufacturing facilities in Thailand. We recorded charges of $489 million in the three months ended March 31, 2020, primarily consisting of $270 million in asset impairments related to property, inventory provisions and intangibles and sales allowances and other charges, not reflected in the table above, and $219 million in dealer restructurings and employee separation charges, which are reflected in the table above. We also recorded a $236 million charge to Income tax expense due to the establishment of a valuation allowance against deferred tax assets that are no longer realizable in Australia and New Zealand in the three months ended March 31, 2020. Cash outflows resulting from these restructuring actions were insignificant in the three months ended March 31, 2020. We expect to complete these programs in 2020 and incur additional restructuring and other charges of approximately $400 million and additional net cash outflows of approximately $300 million to be substantially complete in the nine months ending December 31, 2020.</w:t>
      </w:r>
    </w:p>
    <w:p>
      <w:pPr>
        <w:spacing w:after="0" w:line="166"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the three months ended March 31, 2019, restructuring and other initiatives primarily included actions related to our announced transformation activities, which includes the unallocation of products to certain manufacturing facilities and other employee separation programs. We recorded charges of $790 million, primarily in GMNA, in the three months ended March 31, 2019, primarily consisting of non-cash accelerated depreciation, not reflected in the table above. These programs had a total cost since inception of $3.1 billion and were complete at December 31, 2019. We incurred $171 million and $315 million in cash outflows resulting from these restructuring actions in the three months ended March 31, 2020 and 2019 and $1.3 billion in cash outflows since program inception, primarily for employee separation payments and supplier-related payments. We expect additional cash outflows related to these activities of approximately $200 million to be substantially complete by the end of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Stockholders' Equity and Noncontrolling Interests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no shares of preferred stock and 1.4 billion shares of common stock issued and outstanding at March 31, 2020 and December 31,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17"/>
                <w:szCs w:val="17"/>
                <w:color w:val="auto"/>
              </w:rPr>
            </w:pPr>
          </w:p>
        </w:tc>
        <w:tc>
          <w:tcPr>
            <w:tcW w:w="1440" w:type="dxa"/>
            <w:vAlign w:val="bottom"/>
          </w:tcPr>
          <w:p>
            <w:pPr>
              <w:jc w:val="right"/>
              <w:ind w:right="273"/>
              <w:spacing w:after="0"/>
              <w:rPr>
                <w:sz w:val="20"/>
                <w:szCs w:val="20"/>
                <w:color w:val="auto"/>
              </w:rPr>
            </w:pPr>
            <w:r>
              <w:rPr>
                <w:rFonts w:ascii="Arial" w:cs="Arial" w:eastAsia="Arial" w:hAnsi="Arial"/>
                <w:sz w:val="14"/>
                <w:szCs w:val="14"/>
                <w:b w:val="1"/>
                <w:bCs w:val="1"/>
                <w:color w:val="auto"/>
              </w:rPr>
              <w:t>March 31, 2019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 Adjustments</w:t>
            </w:r>
          </w:p>
        </w:tc>
        <w:tc>
          <w:tcPr>
            <w:tcW w:w="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29"/>
        </w:trPr>
        <w:tc>
          <w:tcPr>
            <w:tcW w:w="7760" w:type="dxa"/>
            <w:vAlign w:val="bottom"/>
          </w:tcPr>
          <w:p>
            <w:pPr>
              <w:ind w:left="40"/>
              <w:spacing w:after="0"/>
              <w:rPr>
                <w:sz w:val="20"/>
                <w:szCs w:val="20"/>
                <w:color w:val="auto"/>
              </w:rPr>
            </w:pPr>
            <w:r>
              <w:rPr>
                <w:rFonts w:ascii="Arial" w:cs="Arial" w:eastAsia="Arial" w:hAnsi="Arial"/>
                <w:sz w:val="18"/>
                <w:szCs w:val="18"/>
                <w:color w:val="auto"/>
                <w:w w:val="94"/>
              </w:rPr>
              <w:t>Other comprehensive income (loss) and noncontrolling interests, net of reclassification adjustment and</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60" w:type="dxa"/>
            <w:vAlign w:val="bottom"/>
          </w:tcPr>
          <w:p>
            <w:pPr>
              <w:ind w:left="200"/>
              <w:spacing w:after="0"/>
              <w:rPr>
                <w:sz w:val="20"/>
                <w:szCs w:val="20"/>
                <w:color w:val="auto"/>
              </w:rPr>
            </w:pPr>
            <w:r>
              <w:rPr>
                <w:rFonts w:ascii="Arial" w:cs="Arial" w:eastAsia="Arial" w:hAnsi="Arial"/>
                <w:sz w:val="18"/>
                <w:szCs w:val="18"/>
                <w:color w:val="auto"/>
              </w:rPr>
              <w:t>tax(a)(b)</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125</w:t>
            </w: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11"/>
        </w:trPr>
        <w:tc>
          <w:tcPr>
            <w:tcW w:w="7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Defined Benefit Plans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(8,857)</w:t>
            </w:r>
          </w:p>
        </w:tc>
        <w:tc>
          <w:tcPr>
            <w:tcW w:w="12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(6,737)</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reclassification adjustment, net of tax(b)</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Reclassification adjustment, net of tax(b)</w:t>
            </w:r>
          </w:p>
        </w:tc>
        <w:tc>
          <w:tcPr>
            <w:tcW w:w="2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37</w:t>
            </w: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tax(b)</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Balance at end of period(c)</w:t>
            </w: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(8,540)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(6,701)</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noncontrolling interests and reclassification adjustment were insignificant in the three months ended March 31, 2020 and 2019.</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months ended March 31, 2020 and 2019.</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Primarily consists of unamortized actuarial loss on our defined benefit plans. Refer to the Critical Accounting Estimates section of Management's Discussion and Analysis of Financial Condition and Results of Operations (MD&amp;A) in our 2019 Form 10-K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7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17"/>
                <w:szCs w:val="17"/>
                <w:color w:val="auto"/>
              </w:rPr>
            </w:pPr>
          </w:p>
        </w:tc>
        <w:tc>
          <w:tcPr>
            <w:tcW w:w="1440" w:type="dxa"/>
            <w:vAlign w:val="bottom"/>
          </w:tcPr>
          <w:p>
            <w:pPr>
              <w:jc w:val="right"/>
              <w:ind w:right="272"/>
              <w:spacing w:after="0"/>
              <w:rPr>
                <w:sz w:val="20"/>
                <w:szCs w:val="20"/>
                <w:color w:val="auto"/>
              </w:rPr>
            </w:pPr>
            <w:r>
              <w:rPr>
                <w:rFonts w:ascii="Arial" w:cs="Arial" w:eastAsia="Arial" w:hAnsi="Arial"/>
                <w:sz w:val="14"/>
                <w:szCs w:val="14"/>
                <w:b w:val="1"/>
                <w:bCs w:val="1"/>
                <w:color w:val="auto"/>
              </w:rPr>
              <w:t>March 31, 2019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stockholders(a)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2,157</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Less: cumulative dividends on subsidiary preferred stock</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2,119</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08"/>
        </w:trPr>
        <w:tc>
          <w:tcPr>
            <w:tcW w:w="7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1,417</w:t>
            </w:r>
          </w:p>
        </w:tc>
      </w:tr>
      <w:tr>
        <w:trPr>
          <w:trHeight w:val="121"/>
        </w:trPr>
        <w:tc>
          <w:tcPr>
            <w:tcW w:w="7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 – diluted(a)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2,119</w:t>
            </w:r>
          </w:p>
        </w:tc>
      </w:tr>
      <w:tr>
        <w:trPr>
          <w:trHeight w:val="122"/>
        </w:trPr>
        <w:tc>
          <w:tcPr>
            <w:tcW w:w="7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1,417</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Dilutive effect of warrants and awards under stock incentive plans</w:t>
            </w:r>
          </w:p>
        </w:tc>
        <w:tc>
          <w:tcPr>
            <w:tcW w:w="2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1,436</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08"/>
        </w:trPr>
        <w:tc>
          <w:tcPr>
            <w:tcW w:w="7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Potentially dilutive securities(b)</w:t>
            </w:r>
          </w:p>
        </w:tc>
        <w:tc>
          <w:tcPr>
            <w:tcW w:w="2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of Net loss attributable to noncontrolling interests.</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and Restricted Stock Units (RSUs) were excluded from the computation of diluted earnings per share (EPS) because the securities would have had an antidilutive effect.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Reporting</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analyze the results of our business through the following reportable segments: GMNA, GMI, Cruise and GM Financial. The chief operating decision maker evaluates the operating results and performance of our automotive segments and Cruise through earnings before interest and income taxes (EBIT)-adjusted, which is presented net of noncontrolling interests. The chief operating decision maker evaluates GM Financial through earnings before income taxes (EBT)-adjusted because interest income and interest</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15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9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China, with vehicles developed, manufactured and/or marketed under the Baojun, Buick, Cadillac, Chevrolet and Wuling brands. Cruise, formerly GM Cruise, is our global segment responsible for the development and commercialization of autonomous vehicle technology, and includes autonomous vehicle-related engineering and other costs.</w:t>
      </w:r>
    </w:p>
    <w:p>
      <w:pPr>
        <w:spacing w:after="0" w:line="17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automotive interest income and interest expense, legacy costs from the Opel/Vauxhall Business (primarily pension costs), corporate expenditures and certain nonsegment-specific revenues and expenses are recorded centrally in Corporate. Corporate assets primarily consist of cash and cash equivalents, marketable debt securities, PSA warrants and intercompany balances. Retained net underfunded pension liabilities related to the European Business are also recorded in Corporate. All intersegment balances and transactions have been eliminated in consolidation.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ind w:left="480"/>
              <w:spacing w:after="0"/>
              <w:rPr>
                <w:sz w:val="20"/>
                <w:szCs w:val="20"/>
                <w:color w:val="auto"/>
              </w:rPr>
            </w:pPr>
            <w:r>
              <w:rPr>
                <w:rFonts w:ascii="Arial" w:cs="Arial" w:eastAsia="Arial" w:hAnsi="Arial"/>
                <w:sz w:val="13"/>
                <w:szCs w:val="13"/>
                <w:b w:val="1"/>
                <w:bCs w:val="1"/>
                <w:color w:val="auto"/>
              </w:rPr>
              <w:t>At and For the Three Months Ended March 31, 2020</w:t>
            </w: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44"/>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GM</w:t>
            </w: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4"/>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Automotive</w:t>
            </w:r>
          </w:p>
        </w:tc>
        <w:tc>
          <w:tcPr>
            <w:tcW w:w="1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Cruise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80" w:type="dxa"/>
            <w:vAlign w:val="bottom"/>
            <w:gridSpan w:val="3"/>
          </w:tcPr>
          <w:p>
            <w:pPr>
              <w:ind w:left="20"/>
              <w:spacing w:after="0"/>
              <w:rPr>
                <w:sz w:val="20"/>
                <w:szCs w:val="20"/>
                <w:color w:val="auto"/>
              </w:rPr>
            </w:pPr>
            <w:r>
              <w:rPr>
                <w:rFonts w:ascii="Arial" w:cs="Arial" w:eastAsia="Arial" w:hAnsi="Arial"/>
                <w:sz w:val="13"/>
                <w:szCs w:val="13"/>
                <w:b w:val="1"/>
                <w:bCs w:val="1"/>
                <w:color w:val="auto"/>
                <w:w w:val="92"/>
              </w:rPr>
              <w:t>Eliminations/Reclassifications</w:t>
            </w:r>
          </w:p>
        </w:tc>
        <w:tc>
          <w:tcPr>
            <w:tcW w:w="160" w:type="dxa"/>
            <w:vAlign w:val="bottom"/>
          </w:tcPr>
          <w:p>
            <w:pPr>
              <w:spacing w:after="0"/>
              <w:rPr>
                <w:sz w:val="15"/>
                <w:szCs w:val="15"/>
                <w:color w:val="auto"/>
              </w:rPr>
            </w:pPr>
          </w:p>
        </w:tc>
        <w:tc>
          <w:tcPr>
            <w:tcW w:w="60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r>
      <w:tr>
        <w:trPr>
          <w:trHeight w:val="270"/>
        </w:trPr>
        <w:tc>
          <w:tcPr>
            <w:tcW w:w="2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25,831</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3,280</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29,149</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3,561</w:t>
            </w:r>
          </w:p>
        </w:tc>
        <w:tc>
          <w:tcPr>
            <w:tcW w:w="10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32,709</w:t>
            </w:r>
          </w:p>
        </w:tc>
      </w:tr>
      <w:tr>
        <w:trPr>
          <w:trHeight w:val="148"/>
        </w:trPr>
        <w:tc>
          <w:tcPr>
            <w:tcW w:w="2380" w:type="dxa"/>
            <w:vAlign w:val="bottom"/>
          </w:tcPr>
          <w:p>
            <w:pPr>
              <w:ind w:left="40"/>
              <w:spacing w:after="0" w:line="148" w:lineRule="exact"/>
              <w:rPr>
                <w:sz w:val="20"/>
                <w:szCs w:val="20"/>
                <w:color w:val="auto"/>
              </w:rPr>
            </w:pPr>
            <w:r>
              <w:rPr>
                <w:rFonts w:ascii="Arial" w:cs="Arial" w:eastAsia="Arial" w:hAnsi="Arial"/>
                <w:sz w:val="13"/>
                <w:szCs w:val="13"/>
                <w:color w:val="auto"/>
                <w:w w:val="97"/>
              </w:rPr>
              <w:t>Earnings (loss) before interest and taxes-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8"/>
        </w:trPr>
        <w:tc>
          <w:tcPr>
            <w:tcW w:w="2380" w:type="dxa"/>
            <w:vAlign w:val="bottom"/>
          </w:tcPr>
          <w:p>
            <w:pPr>
              <w:jc w:val="center"/>
              <w:ind w:right="1496"/>
              <w:spacing w:after="0"/>
              <w:rPr>
                <w:sz w:val="20"/>
                <w:szCs w:val="20"/>
                <w:color w:val="auto"/>
              </w:rPr>
            </w:pPr>
            <w:r>
              <w:rPr>
                <w:rFonts w:ascii="Arial" w:cs="Arial" w:eastAsia="Arial" w:hAnsi="Arial"/>
                <w:sz w:val="13"/>
                <w:szCs w:val="13"/>
                <w:color w:val="auto"/>
                <w:w w:val="85"/>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2,194</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(551)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1,232</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1,250</w:t>
            </w:r>
          </w:p>
        </w:tc>
      </w:tr>
      <w:tr>
        <w:trPr>
          <w:trHeight w:val="278"/>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r>
      <w:tr>
        <w:trPr>
          <w:trHeight w:val="262"/>
        </w:trPr>
        <w:tc>
          <w:tcPr>
            <w:tcW w:w="238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83</w:t>
            </w:r>
          </w:p>
        </w:tc>
      </w:tr>
      <w:tr>
        <w:trPr>
          <w:trHeight w:val="278"/>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r>
      <w:tr>
        <w:trPr>
          <w:trHeight w:val="148"/>
        </w:trPr>
        <w:tc>
          <w:tcPr>
            <w:tcW w:w="238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0"/>
        </w:trPr>
        <w:tc>
          <w:tcPr>
            <w:tcW w:w="2380" w:type="dxa"/>
            <w:vAlign w:val="bottom"/>
            <w:tcBorders>
              <w:bottom w:val="single" w:sz="8" w:color="CCEEFF"/>
            </w:tcBorders>
          </w:tcPr>
          <w:p>
            <w:pPr>
              <w:jc w:val="center"/>
              <w:ind w:right="1496"/>
              <w:spacing w:after="0"/>
              <w:rPr>
                <w:sz w:val="20"/>
                <w:szCs w:val="20"/>
                <w:color w:val="auto"/>
              </w:rPr>
            </w:pPr>
            <w:r>
              <w:rPr>
                <w:rFonts w:ascii="Arial" w:cs="Arial" w:eastAsia="Arial" w:hAnsi="Arial"/>
                <w:sz w:val="13"/>
                <w:szCs w:val="13"/>
                <w:color w:val="auto"/>
                <w:w w:val="85"/>
              </w:rPr>
              <w:t>interests</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r>
      <w:tr>
        <w:trPr>
          <w:trHeight w:val="257"/>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643</w:t>
            </w:r>
          </w:p>
        </w:tc>
      </w:tr>
      <w:tr>
        <w:trPr>
          <w:trHeight w:val="263"/>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w:t>
            </w:r>
          </w:p>
        </w:tc>
      </w:tr>
      <w:tr>
        <w:trPr>
          <w:trHeight w:val="257"/>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286</w:t>
            </w:r>
          </w:p>
        </w:tc>
      </w:tr>
      <w:tr>
        <w:trPr>
          <w:trHeight w:val="148"/>
        </w:trPr>
        <w:tc>
          <w:tcPr>
            <w:tcW w:w="238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0"/>
        </w:trPr>
        <w:tc>
          <w:tcPr>
            <w:tcW w:w="2380" w:type="dxa"/>
            <w:vAlign w:val="bottom"/>
            <w:tcBorders>
              <w:bottom w:val="single" w:sz="8" w:color="CCEEFF"/>
            </w:tcBorders>
          </w:tcPr>
          <w:p>
            <w:pPr>
              <w:jc w:val="center"/>
              <w:ind w:right="1496"/>
              <w:spacing w:after="0"/>
              <w:rPr>
                <w:sz w:val="20"/>
                <w:szCs w:val="20"/>
                <w:color w:val="auto"/>
              </w:rPr>
            </w:pPr>
            <w:r>
              <w:rPr>
                <w:rFonts w:ascii="Arial" w:cs="Arial" w:eastAsia="Arial" w:hAnsi="Arial"/>
                <w:sz w:val="13"/>
                <w:szCs w:val="13"/>
                <w:color w:val="auto"/>
                <w:w w:val="85"/>
              </w:rPr>
              <w:t>interests</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w:t>
            </w:r>
          </w:p>
        </w:tc>
      </w:tr>
      <w:tr>
        <w:trPr>
          <w:trHeight w:val="242"/>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294</w:t>
            </w: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52"/>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48"/>
        </w:trPr>
        <w:tc>
          <w:tcPr>
            <w:tcW w:w="23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76"/>
        </w:trPr>
        <w:tc>
          <w:tcPr>
            <w:tcW w:w="2380" w:type="dxa"/>
            <w:vAlign w:val="bottom"/>
            <w:shd w:val="clear" w:color="auto" w:fill="CCEEFF"/>
          </w:tcPr>
          <w:p>
            <w:pPr>
              <w:jc w:val="center"/>
              <w:ind w:right="1476"/>
              <w:spacing w:after="0"/>
              <w:rPr>
                <w:sz w:val="20"/>
                <w:szCs w:val="20"/>
                <w:color w:val="auto"/>
              </w:rPr>
            </w:pPr>
            <w:r>
              <w:rPr>
                <w:rFonts w:ascii="Arial" w:cs="Arial" w:eastAsia="Arial" w:hAnsi="Arial"/>
                <w:sz w:val="13"/>
                <w:szCs w:val="13"/>
                <w:color w:val="auto"/>
                <w:w w:val="92"/>
              </w:rPr>
              <w:t>affiliates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1,437</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7,521</w:t>
            </w:r>
          </w:p>
        </w:tc>
      </w:tr>
      <w:tr>
        <w:trPr>
          <w:trHeight w:val="262"/>
        </w:trPr>
        <w:tc>
          <w:tcPr>
            <w:tcW w:w="2380" w:type="dxa"/>
            <w:vAlign w:val="bottom"/>
          </w:tcPr>
          <w:p>
            <w:pPr>
              <w:ind w:left="40"/>
              <w:spacing w:after="0"/>
              <w:rPr>
                <w:sz w:val="20"/>
                <w:szCs w:val="20"/>
                <w:color w:val="auto"/>
              </w:rPr>
            </w:pPr>
            <w:r>
              <w:rPr>
                <w:rFonts w:ascii="Arial" w:cs="Arial" w:eastAsia="Arial" w:hAnsi="Arial"/>
                <w:sz w:val="13"/>
                <w:szCs w:val="13"/>
                <w:color w:val="auto"/>
              </w:rPr>
              <w:t>Goodwill and intangibles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2,432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820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3,253</w:t>
            </w:r>
          </w:p>
        </w:tc>
        <w:tc>
          <w:tcPr>
            <w:tcW w:w="100" w:type="dxa"/>
            <w:vAlign w:val="bottom"/>
          </w:tcPr>
          <w:p>
            <w:pPr>
              <w:spacing w:after="0"/>
              <w:rPr>
                <w:sz w:val="22"/>
                <w:szCs w:val="22"/>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634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5,225</w:t>
            </w:r>
          </w:p>
        </w:tc>
      </w:tr>
      <w:tr>
        <w:trPr>
          <w:trHeight w:val="278"/>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109,159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5"/>
              </w:rPr>
              <w:t>23,213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45,965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128,571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4,069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115,381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246,624</w:t>
            </w:r>
          </w:p>
        </w:tc>
      </w:tr>
      <w:tr>
        <w:trPr>
          <w:trHeight w:val="208"/>
        </w:trPr>
        <w:tc>
          <w:tcPr>
            <w:tcW w:w="238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1,227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1,402</w:t>
            </w:r>
          </w:p>
        </w:tc>
        <w:tc>
          <w:tcPr>
            <w:tcW w:w="10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1,788</w:t>
            </w:r>
          </w:p>
        </w:tc>
        <w:tc>
          <w:tcPr>
            <w:tcW w:w="10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3,198</w:t>
            </w:r>
          </w:p>
        </w:tc>
      </w:tr>
      <w:tr>
        <w:trPr>
          <w:trHeight w:val="224"/>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w:t>
            </w:r>
          </w:p>
        </w:tc>
      </w:tr>
      <w:tr>
        <w:trPr>
          <w:trHeight w:val="200"/>
        </w:trPr>
        <w:tc>
          <w:tcPr>
            <w:tcW w:w="2380" w:type="dxa"/>
            <w:vAlign w:val="bottom"/>
          </w:tcPr>
          <w:p>
            <w:pPr>
              <w:ind w:left="40"/>
              <w:spacing w:after="0"/>
              <w:rPr>
                <w:sz w:val="20"/>
                <w:szCs w:val="20"/>
                <w:color w:val="auto"/>
              </w:rPr>
            </w:pPr>
            <w:r>
              <w:rPr>
                <w:rFonts w:ascii="Arial" w:cs="Arial" w:eastAsia="Arial" w:hAnsi="Arial"/>
                <w:sz w:val="13"/>
                <w:szCs w:val="13"/>
                <w:color w:val="auto"/>
              </w:rPr>
              <w:t>Equity income (loss)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7"/>
                <w:szCs w:val="17"/>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(132)</w:t>
            </w:r>
          </w:p>
        </w:tc>
      </w:tr>
      <w:tr>
        <w:trPr>
          <w:trHeight w:val="201"/>
        </w:trPr>
        <w:tc>
          <w:tcPr>
            <w:tcW w:w="2380" w:type="dxa"/>
            <w:vAlign w:val="bottom"/>
          </w:tcPr>
          <w:p>
            <w:pPr>
              <w:jc w:val="center"/>
              <w:ind w:right="1496"/>
              <w:spacing w:after="0"/>
              <w:rPr>
                <w:sz w:val="20"/>
                <w:szCs w:val="20"/>
                <w:color w:val="auto"/>
              </w:rPr>
            </w:pPr>
            <w:r>
              <w:rPr>
                <w:rFonts w:ascii="Arial" w:cs="Arial" w:eastAsia="Arial" w:hAnsi="Arial"/>
                <w:sz w:val="16"/>
                <w:szCs w:val="16"/>
                <w:color w:val="auto"/>
                <w:w w:val="92"/>
              </w:rPr>
              <w:t>__________</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bl>
    <w:p>
      <w:pPr>
        <w:ind w:left="340" w:hanging="332"/>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restructuring and other charges in Australia, New Zealand and Thailand.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ind w:left="480"/>
              <w:spacing w:after="0"/>
              <w:rPr>
                <w:sz w:val="20"/>
                <w:szCs w:val="20"/>
                <w:color w:val="auto"/>
              </w:rPr>
            </w:pPr>
            <w:r>
              <w:rPr>
                <w:rFonts w:ascii="Arial" w:cs="Arial" w:eastAsia="Arial" w:hAnsi="Arial"/>
                <w:sz w:val="13"/>
                <w:szCs w:val="13"/>
                <w:b w:val="1"/>
                <w:bCs w:val="1"/>
                <w:color w:val="auto"/>
              </w:rPr>
              <w:t>At and For the Three Months Ended March 31, 2019</w:t>
            </w: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44"/>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GM</w:t>
            </w: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4"/>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Automotive</w:t>
            </w:r>
          </w:p>
        </w:tc>
        <w:tc>
          <w:tcPr>
            <w:tcW w:w="1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Cruise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80" w:type="dxa"/>
            <w:vAlign w:val="bottom"/>
            <w:gridSpan w:val="3"/>
          </w:tcPr>
          <w:p>
            <w:pPr>
              <w:ind w:left="20"/>
              <w:spacing w:after="0"/>
              <w:rPr>
                <w:sz w:val="20"/>
                <w:szCs w:val="20"/>
                <w:color w:val="auto"/>
              </w:rPr>
            </w:pPr>
            <w:r>
              <w:rPr>
                <w:rFonts w:ascii="Arial" w:cs="Arial" w:eastAsia="Arial" w:hAnsi="Arial"/>
                <w:sz w:val="13"/>
                <w:szCs w:val="13"/>
                <w:b w:val="1"/>
                <w:bCs w:val="1"/>
                <w:color w:val="auto"/>
                <w:w w:val="92"/>
              </w:rPr>
              <w:t>Eliminations/Reclassifications</w:t>
            </w:r>
          </w:p>
        </w:tc>
        <w:tc>
          <w:tcPr>
            <w:tcW w:w="160" w:type="dxa"/>
            <w:vAlign w:val="bottom"/>
          </w:tcPr>
          <w:p>
            <w:pPr>
              <w:spacing w:after="0"/>
              <w:rPr>
                <w:sz w:val="15"/>
                <w:szCs w:val="15"/>
                <w:color w:val="auto"/>
              </w:rPr>
            </w:pPr>
          </w:p>
        </w:tc>
        <w:tc>
          <w:tcPr>
            <w:tcW w:w="60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r>
      <w:tr>
        <w:trPr>
          <w:trHeight w:val="270"/>
        </w:trPr>
        <w:tc>
          <w:tcPr>
            <w:tcW w:w="2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27,365</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3,850</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46</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31,261</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3,620</w:t>
            </w:r>
          </w:p>
        </w:tc>
        <w:tc>
          <w:tcPr>
            <w:tcW w:w="10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34,878</w:t>
            </w:r>
          </w:p>
        </w:tc>
      </w:tr>
      <w:tr>
        <w:trPr>
          <w:trHeight w:val="148"/>
        </w:trPr>
        <w:tc>
          <w:tcPr>
            <w:tcW w:w="2380" w:type="dxa"/>
            <w:vAlign w:val="bottom"/>
          </w:tcPr>
          <w:p>
            <w:pPr>
              <w:ind w:left="40"/>
              <w:spacing w:after="0" w:line="148" w:lineRule="exact"/>
              <w:rPr>
                <w:sz w:val="20"/>
                <w:szCs w:val="20"/>
                <w:color w:val="auto"/>
              </w:rPr>
            </w:pPr>
            <w:r>
              <w:rPr>
                <w:rFonts w:ascii="Arial" w:cs="Arial" w:eastAsia="Arial" w:hAnsi="Arial"/>
                <w:sz w:val="13"/>
                <w:szCs w:val="13"/>
                <w:color w:val="auto"/>
                <w:w w:val="97"/>
              </w:rPr>
              <w:t>Earnings (loss) before interest and taxes-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8"/>
        </w:trPr>
        <w:tc>
          <w:tcPr>
            <w:tcW w:w="2380" w:type="dxa"/>
            <w:vAlign w:val="bottom"/>
          </w:tcPr>
          <w:p>
            <w:pPr>
              <w:jc w:val="center"/>
              <w:ind w:right="1496"/>
              <w:spacing w:after="0"/>
              <w:rPr>
                <w:sz w:val="20"/>
                <w:szCs w:val="20"/>
                <w:color w:val="auto"/>
              </w:rPr>
            </w:pPr>
            <w:r>
              <w:rPr>
                <w:rFonts w:ascii="Arial" w:cs="Arial" w:eastAsia="Arial" w:hAnsi="Arial"/>
                <w:sz w:val="13"/>
                <w:szCs w:val="13"/>
                <w:color w:val="auto"/>
                <w:w w:val="85"/>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1,896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2,133</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359</w:t>
            </w:r>
          </w:p>
        </w:tc>
        <w:tc>
          <w:tcPr>
            <w:tcW w:w="10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2,310</w:t>
            </w:r>
          </w:p>
        </w:tc>
      </w:tr>
      <w:tr>
        <w:trPr>
          <w:trHeight w:val="278"/>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w:t>
            </w:r>
          </w:p>
        </w:tc>
      </w:tr>
      <w:tr>
        <w:trPr>
          <w:trHeight w:val="262"/>
        </w:trPr>
        <w:tc>
          <w:tcPr>
            <w:tcW w:w="238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98</w:t>
            </w:r>
          </w:p>
        </w:tc>
      </w:tr>
      <w:tr>
        <w:trPr>
          <w:trHeight w:val="278"/>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r>
      <w:tr>
        <w:trPr>
          <w:trHeight w:val="148"/>
        </w:trPr>
        <w:tc>
          <w:tcPr>
            <w:tcW w:w="238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0"/>
        </w:trPr>
        <w:tc>
          <w:tcPr>
            <w:tcW w:w="2380" w:type="dxa"/>
            <w:vAlign w:val="bottom"/>
            <w:tcBorders>
              <w:bottom w:val="single" w:sz="8" w:color="CCEEFF"/>
            </w:tcBorders>
          </w:tcPr>
          <w:p>
            <w:pPr>
              <w:jc w:val="center"/>
              <w:ind w:right="1496"/>
              <w:spacing w:after="0"/>
              <w:rPr>
                <w:sz w:val="20"/>
                <w:szCs w:val="20"/>
                <w:color w:val="auto"/>
              </w:rPr>
            </w:pPr>
            <w:r>
              <w:rPr>
                <w:rFonts w:ascii="Arial" w:cs="Arial" w:eastAsia="Arial" w:hAnsi="Arial"/>
                <w:sz w:val="13"/>
                <w:szCs w:val="13"/>
                <w:color w:val="auto"/>
                <w:w w:val="85"/>
              </w:rPr>
              <w:t>interests</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r>
      <w:tr>
        <w:trPr>
          <w:trHeight w:val="256"/>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2,282</w:t>
            </w:r>
          </w:p>
        </w:tc>
      </w:tr>
      <w:tr>
        <w:trPr>
          <w:trHeight w:val="264"/>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r>
      <w:tr>
        <w:trPr>
          <w:trHeight w:val="256"/>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2,145</w:t>
            </w:r>
          </w:p>
        </w:tc>
      </w:tr>
      <w:tr>
        <w:trPr>
          <w:trHeight w:val="148"/>
        </w:trPr>
        <w:tc>
          <w:tcPr>
            <w:tcW w:w="238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0"/>
        </w:trPr>
        <w:tc>
          <w:tcPr>
            <w:tcW w:w="2380" w:type="dxa"/>
            <w:vAlign w:val="bottom"/>
            <w:tcBorders>
              <w:bottom w:val="single" w:sz="8" w:color="CCEEFF"/>
            </w:tcBorders>
          </w:tcPr>
          <w:p>
            <w:pPr>
              <w:jc w:val="center"/>
              <w:ind w:right="1496"/>
              <w:spacing w:after="0"/>
              <w:rPr>
                <w:sz w:val="20"/>
                <w:szCs w:val="20"/>
                <w:color w:val="auto"/>
              </w:rPr>
            </w:pPr>
            <w:r>
              <w:rPr>
                <w:rFonts w:ascii="Arial" w:cs="Arial" w:eastAsia="Arial" w:hAnsi="Arial"/>
                <w:sz w:val="13"/>
                <w:szCs w:val="13"/>
                <w:color w:val="auto"/>
                <w:w w:val="85"/>
              </w:rPr>
              <w:t>interests</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w:t>
            </w:r>
          </w:p>
        </w:tc>
      </w:tr>
      <w:tr>
        <w:trPr>
          <w:trHeight w:val="242"/>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2,157</w:t>
            </w: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52"/>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48"/>
        </w:trPr>
        <w:tc>
          <w:tcPr>
            <w:tcW w:w="23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76"/>
        </w:trPr>
        <w:tc>
          <w:tcPr>
            <w:tcW w:w="2380" w:type="dxa"/>
            <w:vAlign w:val="bottom"/>
            <w:shd w:val="clear" w:color="auto" w:fill="CCEEFF"/>
          </w:tcPr>
          <w:p>
            <w:pPr>
              <w:jc w:val="center"/>
              <w:ind w:right="1476"/>
              <w:spacing w:after="0"/>
              <w:rPr>
                <w:sz w:val="20"/>
                <w:szCs w:val="20"/>
                <w:color w:val="auto"/>
              </w:rPr>
            </w:pPr>
            <w:r>
              <w:rPr>
                <w:rFonts w:ascii="Arial" w:cs="Arial" w:eastAsia="Arial" w:hAnsi="Arial"/>
                <w:sz w:val="13"/>
                <w:szCs w:val="13"/>
                <w:color w:val="auto"/>
                <w:w w:val="92"/>
              </w:rPr>
              <w:t>affiliates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1,429</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8,266</w:t>
            </w:r>
          </w:p>
        </w:tc>
      </w:tr>
      <w:tr>
        <w:trPr>
          <w:trHeight w:val="262"/>
        </w:trPr>
        <w:tc>
          <w:tcPr>
            <w:tcW w:w="2380" w:type="dxa"/>
            <w:vAlign w:val="bottom"/>
          </w:tcPr>
          <w:p>
            <w:pPr>
              <w:ind w:left="40"/>
              <w:spacing w:after="0"/>
              <w:rPr>
                <w:sz w:val="20"/>
                <w:szCs w:val="20"/>
                <w:color w:val="auto"/>
              </w:rPr>
            </w:pPr>
            <w:r>
              <w:rPr>
                <w:rFonts w:ascii="Arial" w:cs="Arial" w:eastAsia="Arial" w:hAnsi="Arial"/>
                <w:sz w:val="13"/>
                <w:szCs w:val="13"/>
                <w:color w:val="auto"/>
              </w:rPr>
              <w:t>Goodwill and intangibles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2,572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918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3,491</w:t>
            </w:r>
          </w:p>
        </w:tc>
        <w:tc>
          <w:tcPr>
            <w:tcW w:w="100" w:type="dxa"/>
            <w:vAlign w:val="bottom"/>
          </w:tcPr>
          <w:p>
            <w:pPr>
              <w:spacing w:after="0"/>
              <w:rPr>
                <w:sz w:val="22"/>
                <w:szCs w:val="22"/>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670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1,357</w:t>
            </w:r>
          </w:p>
        </w:tc>
        <w:tc>
          <w:tcPr>
            <w:tcW w:w="1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5,518</w:t>
            </w:r>
          </w:p>
        </w:tc>
      </w:tr>
      <w:tr>
        <w:trPr>
          <w:trHeight w:val="278"/>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112,455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5"/>
              </w:rPr>
              <w:t>27,580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27,937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(47,899)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120,073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111,220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233,132</w:t>
            </w:r>
          </w:p>
        </w:tc>
      </w:tr>
      <w:tr>
        <w:trPr>
          <w:trHeight w:val="208"/>
        </w:trPr>
        <w:tc>
          <w:tcPr>
            <w:tcW w:w="238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2,069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2,208</w:t>
            </w:r>
          </w:p>
        </w:tc>
        <w:tc>
          <w:tcPr>
            <w:tcW w:w="10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1,899</w:t>
            </w:r>
          </w:p>
        </w:tc>
        <w:tc>
          <w:tcPr>
            <w:tcW w:w="10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4,109</w:t>
            </w:r>
          </w:p>
        </w:tc>
      </w:tr>
      <w:tr>
        <w:trPr>
          <w:trHeight w:val="224"/>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r>
      <w:tr>
        <w:trPr>
          <w:trHeight w:val="200"/>
        </w:trPr>
        <w:tc>
          <w:tcPr>
            <w:tcW w:w="2380" w:type="dxa"/>
            <w:vAlign w:val="bottom"/>
          </w:tcPr>
          <w:p>
            <w:pPr>
              <w:ind w:left="40"/>
              <w:spacing w:after="0"/>
              <w:rPr>
                <w:sz w:val="20"/>
                <w:szCs w:val="20"/>
                <w:color w:val="auto"/>
              </w:rPr>
            </w:pPr>
            <w:r>
              <w:rPr>
                <w:rFonts w:ascii="Arial" w:cs="Arial" w:eastAsia="Arial" w:hAnsi="Arial"/>
                <w:sz w:val="13"/>
                <w:szCs w:val="13"/>
                <w:color w:val="auto"/>
              </w:rPr>
              <w:t>Equity income (loss)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374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369</w:t>
            </w:r>
          </w:p>
        </w:tc>
        <w:tc>
          <w:tcPr>
            <w:tcW w:w="100" w:type="dxa"/>
            <w:vAlign w:val="bottom"/>
          </w:tcPr>
          <w:p>
            <w:pPr>
              <w:spacing w:after="0"/>
              <w:rPr>
                <w:sz w:val="17"/>
                <w:szCs w:val="17"/>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414</w:t>
            </w:r>
          </w:p>
        </w:tc>
      </w:tr>
      <w:tr>
        <w:trPr>
          <w:trHeight w:val="226"/>
        </w:trPr>
        <w:tc>
          <w:tcPr>
            <w:tcW w:w="2380" w:type="dxa"/>
            <w:vAlign w:val="bottom"/>
          </w:tcPr>
          <w:p>
            <w:pPr>
              <w:jc w:val="center"/>
              <w:ind w:right="1496"/>
              <w:spacing w:after="0"/>
              <w:rPr>
                <w:sz w:val="20"/>
                <w:szCs w:val="20"/>
                <w:color w:val="auto"/>
              </w:rPr>
            </w:pPr>
            <w:r>
              <w:rPr>
                <w:rFonts w:ascii="Arial" w:cs="Arial" w:eastAsia="Arial" w:hAnsi="Arial"/>
                <w:sz w:val="16"/>
                <w:szCs w:val="16"/>
                <w:color w:val="auto"/>
                <w:w w:val="92"/>
              </w:rPr>
              <w:t>__________</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ind w:left="340" w:right="20" w:hanging="332"/>
        <w:spacing w:after="0" w:line="242"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Consists of restructuring and other charges related to transformation activities of $790 million, primarily in GMNA and a benefit of $857 million related to the retrospective recoveries of indirect taxes in Brazil in GMI.</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ind w:firstLine="162"/>
        <w:spacing w:after="0" w:line="282"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MD&amp;A should be read in conjunction with the accompanying condensed consolidated financial statements and the notes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and the audited consolidated financial statements and notes thereto included in our 2019 Form 10-K.</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Item 1A. Risk Factors of our 2019 Form 10-K for a discussion of these risks and uncertainties. Except for per share amounts or as otherwise specified, dollar amounts presented within tables are stated in millions.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Our non-GAAP measures include: EBIT-adjusted, presented net of noncontrolling interests; EBT-adjusted for our GM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87"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66"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EBIT-adjusted </w:t>
      </w:r>
      <w:r>
        <w:rPr>
          <w:rFonts w:ascii="Arial" w:cs="Arial" w:eastAsia="Arial" w:hAnsi="Arial"/>
          <w:sz w:val="18"/>
          <w:szCs w:val="18"/>
          <w:color w:val="auto"/>
        </w:rPr>
        <w:t>EBIT-adjusted is presented net of noncontrolling interests and is used by management and can be used by investors to review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operating results because it excludes automotive interest income, automotive interest expense and income taxes as well as certain additional adjustments that are not considered part of our core operations. Examples of</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9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EPS-diluted-adjusted </w:t>
      </w:r>
      <w:r>
        <w:rPr>
          <w:rFonts w:ascii="Arial" w:cs="Arial" w:eastAsia="Arial" w:hAnsi="Arial"/>
          <w:sz w:val="18"/>
          <w:szCs w:val="18"/>
          <w:color w:val="auto"/>
        </w:rPr>
        <w:t>EPS-diluted-adjusted is used by management and can be used by investors to review our consolidated diluted EPS results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ETR-adjusted </w:t>
      </w:r>
      <w:r>
        <w:rPr>
          <w:rFonts w:ascii="Arial" w:cs="Arial" w:eastAsia="Arial" w:hAnsi="Arial"/>
          <w:sz w:val="18"/>
          <w:szCs w:val="18"/>
          <w:color w:val="auto"/>
        </w:rPr>
        <w:t>ETR-adjusted is used by management and can be used by investors to review the consolidated effective tax rate for our core operations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ROIC-adjusted </w:t>
      </w:r>
      <w:r>
        <w:rPr>
          <w:rFonts w:ascii="Arial" w:cs="Arial" w:eastAsia="Arial" w:hAnsi="Arial"/>
          <w:sz w:val="18"/>
          <w:szCs w:val="18"/>
          <w:color w:val="auto"/>
        </w:rPr>
        <w:t>ROIC-adjusted is used by management and can be used by investors to review our investment and capital allocation decisions.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187"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Adjusted automotive free cash flow </w:t>
      </w:r>
      <w:r>
        <w:rPr>
          <w:rFonts w:ascii="Arial" w:cs="Arial" w:eastAsia="Arial" w:hAnsi="Arial"/>
          <w:sz w:val="17"/>
          <w:szCs w:val="17"/>
          <w:color w:val="auto"/>
        </w:rPr>
        <w:t>Adjusted automotive free cash flow is used by management and can be used by investors to review the liquidity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Net income (loss) attributable to stockholders under U.S. GAAP to EBIT-adjusted: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2"/>
                <w:szCs w:val="22"/>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Automotive interest income</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GMI restructuring(a)</w:t>
            </w:r>
          </w:p>
        </w:tc>
        <w:tc>
          <w:tcPr>
            <w:tcW w:w="2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Transformation activities(b)</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GM Brazil indirect tax recoveries(c)</w:t>
            </w:r>
          </w:p>
        </w:tc>
        <w:tc>
          <w:tcPr>
            <w:tcW w:w="2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FAW-GM divestiture(d)</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Ignition switch recall and related legal</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matters(e)</w:t>
            </w:r>
          </w:p>
        </w:tc>
        <w:tc>
          <w:tcPr>
            <w:tcW w:w="2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adjustments</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2,828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2,966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jc w:val="right"/>
              <w:ind w:right="2450"/>
              <w:spacing w:after="0"/>
              <w:rPr>
                <w:sz w:val="20"/>
                <w:szCs w:val="20"/>
                <w:color w:val="auto"/>
              </w:rPr>
            </w:pPr>
            <w:r>
              <w:rPr>
                <w:rFonts w:ascii="Arial" w:cs="Arial" w:eastAsia="Arial" w:hAnsi="Arial"/>
                <w:sz w:val="16"/>
                <w:szCs w:val="16"/>
                <w:color w:val="auto"/>
                <w:w w:val="89"/>
              </w:rPr>
              <w:t>_________</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asset impairments, dealer restructurings, employee separation charges and sales allowances in Australia, New Zealand and Thailand in the three months ended March 31, 2020, and supplier claims and employee separation charges in Korea in the three months ended June 30, 2018.</w:t>
      </w:r>
    </w:p>
    <w:p>
      <w:pPr>
        <w:spacing w:after="0" w:line="1" w:lineRule="exact"/>
        <w:rPr>
          <w:rFonts w:ascii="Arial" w:cs="Arial" w:eastAsia="Arial" w:hAnsi="Arial"/>
          <w:sz w:val="16"/>
          <w:szCs w:val="16"/>
          <w:color w:val="auto"/>
        </w:rPr>
      </w:pPr>
    </w:p>
    <w:p>
      <w:pPr>
        <w:jc w:val="both"/>
        <w:ind w:left="340" w:hanging="332"/>
        <w:spacing w:after="0" w:line="262" w:lineRule="auto"/>
        <w:tabs>
          <w:tab w:leader="none" w:pos="3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accelerated depreciation in the three months ended March 31, 2019, accelerated depreciation and employee separation charges in the three months ended December 31, 2019, employee separation charges and accelerated depreciation in the three months ended December 31, 2018, supplier-related charges and pension curtailment and other charges in the three months ended September 30, 2019 and supplier-related charges and accelerated depreciation in the three months ended June 30, 2019.</w:t>
      </w:r>
    </w:p>
    <w:p>
      <w:pPr>
        <w:spacing w:after="0" w:line="3" w:lineRule="exact"/>
        <w:rPr>
          <w:rFonts w:ascii="Arial" w:cs="Arial" w:eastAsia="Arial" w:hAnsi="Arial"/>
          <w:sz w:val="15"/>
          <w:szCs w:val="15"/>
          <w:color w:val="auto"/>
        </w:rPr>
      </w:pPr>
    </w:p>
    <w:p>
      <w:pPr>
        <w:ind w:left="340" w:right="2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These adjustments were excluded because of the unique events associated with decisions rendered by the Superior Judicial Court of Brazil resulting in retrospective recoveries of indirect taxes.</w:t>
      </w:r>
    </w:p>
    <w:p>
      <w:pPr>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ind w:left="340" w:right="20" w:hanging="332"/>
        <w:spacing w:after="0" w:line="257"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adjustment was excluded because of the unique events associated with the ignition switch recall, which included various investigations, inquiries and complaints from constituents.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diluted earnings per common share under U.S. GAAP to EPS-diluted-adjusted: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4"/>
          </w:tcPr>
          <w:p>
            <w:pPr>
              <w:jc w:val="right"/>
              <w:ind w:right="935"/>
              <w:spacing w:after="0"/>
              <w:rPr>
                <w:sz w:val="20"/>
                <w:szCs w:val="20"/>
                <w:color w:val="auto"/>
              </w:rPr>
            </w:pPr>
            <w:r>
              <w:rPr>
                <w:rFonts w:ascii="Arial" w:cs="Arial" w:eastAsia="Arial" w:hAnsi="Arial"/>
                <w:sz w:val="14"/>
                <w:szCs w:val="14"/>
                <w:b w:val="1"/>
                <w:bCs w:val="1"/>
                <w:color w:val="auto"/>
                <w:w w:val="96"/>
              </w:rPr>
              <w:t>March 31, 2020</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 Share</w:t>
            </w:r>
          </w:p>
        </w:tc>
        <w:tc>
          <w:tcPr>
            <w:tcW w:w="300" w:type="dxa"/>
            <w:vAlign w:val="bottom"/>
          </w:tcPr>
          <w:p>
            <w:pPr>
              <w:spacing w:after="0"/>
              <w:rPr>
                <w:sz w:val="21"/>
                <w:szCs w:val="21"/>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21"/>
                <w:szCs w:val="21"/>
                <w:color w:val="auto"/>
              </w:rPr>
            </w:pPr>
          </w:p>
        </w:tc>
        <w:tc>
          <w:tcPr>
            <w:tcW w:w="1180" w:type="dxa"/>
            <w:vAlign w:val="bottom"/>
          </w:tcPr>
          <w:p>
            <w:pPr>
              <w:jc w:val="right"/>
              <w:ind w:right="333"/>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020" w:type="dxa"/>
            <w:vAlign w:val="bottom"/>
            <w:tcBorders>
              <w:top w:val="single" w:sz="8" w:color="auto"/>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Adjustments(a)</w:t>
            </w:r>
          </w:p>
        </w:tc>
        <w:tc>
          <w:tcPr>
            <w:tcW w:w="1020" w:type="dxa"/>
            <w:vAlign w:val="bottom"/>
          </w:tcPr>
          <w:p>
            <w:pPr>
              <w:spacing w:after="0"/>
              <w:rPr>
                <w:sz w:val="21"/>
                <w:szCs w:val="21"/>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on adjustment(b)</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Tax adjustment(c)</w:t>
            </w:r>
          </w:p>
        </w:tc>
        <w:tc>
          <w:tcPr>
            <w:tcW w:w="1020" w:type="dxa"/>
            <w:vAlign w:val="bottom"/>
          </w:tcPr>
          <w:p>
            <w:pPr>
              <w:spacing w:after="0"/>
              <w:rPr>
                <w:sz w:val="21"/>
                <w:szCs w:val="21"/>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EPS-diluted-adjusted</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MD&amp;A for the details of each individual adjustment.</w:t>
      </w: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spacing w:after="0" w:line="5" w:lineRule="exact"/>
        <w:rPr>
          <w:rFonts w:ascii="Arial" w:cs="Arial" w:eastAsia="Arial" w:hAnsi="Arial"/>
          <w:sz w:val="16"/>
          <w:szCs w:val="16"/>
          <w:color w:val="auto"/>
        </w:rPr>
      </w:pPr>
    </w:p>
    <w:p>
      <w:pPr>
        <w:ind w:left="340" w:hanging="332"/>
        <w:spacing w:after="0" w:line="290" w:lineRule="auto"/>
        <w:tabs>
          <w:tab w:leader="none" w:pos="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This adjustment consists of tax expense related to the establishment of a valuation allowance against deferred tax assets that are no longer realizable in Australia and New Zealand. This adjustment was excluded because significant impacts of valuation allowances are not considered part of our core operations.</w:t>
      </w:r>
    </w:p>
    <w:p>
      <w:pPr>
        <w:sectPr>
          <w:pgSz w:w="11900" w:h="16838" w:orient="portrait"/>
          <w:cols w:equalWidth="0" w:num="1">
            <w:col w:w="11240"/>
          </w:cols>
          <w:pgMar w:left="320" w:top="125" w:right="33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2019</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Income before</w:t>
            </w:r>
          </w:p>
        </w:tc>
        <w:tc>
          <w:tcPr>
            <w:tcW w:w="160" w:type="dxa"/>
            <w:vAlign w:val="bottom"/>
          </w:tcPr>
          <w:p>
            <w:pPr>
              <w:spacing w:after="0"/>
              <w:rPr>
                <w:sz w:val="13"/>
                <w:szCs w:val="13"/>
                <w:color w:val="auto"/>
              </w:rPr>
            </w:pPr>
          </w:p>
        </w:tc>
        <w:tc>
          <w:tcPr>
            <w:tcW w:w="960" w:type="dxa"/>
            <w:vAlign w:val="bottom"/>
          </w:tcPr>
          <w:p>
            <w:pPr>
              <w:jc w:val="center"/>
              <w:ind w:right="76"/>
              <w:spacing w:after="0" w:line="153" w:lineRule="exact"/>
              <w:rPr>
                <w:sz w:val="20"/>
                <w:szCs w:val="20"/>
                <w:color w:val="auto"/>
              </w:rPr>
            </w:pPr>
            <w:r>
              <w:rPr>
                <w:rFonts w:ascii="Arial" w:cs="Arial" w:eastAsia="Arial" w:hAnsi="Arial"/>
                <w:sz w:val="14"/>
                <w:szCs w:val="14"/>
                <w:b w:val="1"/>
                <w:bCs w:val="1"/>
                <w:color w:val="auto"/>
                <w:w w:val="92"/>
              </w:rPr>
              <w:t>Income tax</w:t>
            </w:r>
          </w:p>
        </w:tc>
        <w:tc>
          <w:tcPr>
            <w:tcW w:w="120" w:type="dxa"/>
            <w:vAlign w:val="bottom"/>
          </w:tcPr>
          <w:p>
            <w:pPr>
              <w:spacing w:after="0"/>
              <w:rPr>
                <w:sz w:val="13"/>
                <w:szCs w:val="13"/>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6"/>
              </w:rPr>
              <w:t>Effective tax rate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Income before</w:t>
            </w:r>
          </w:p>
        </w:tc>
        <w:tc>
          <w:tcPr>
            <w:tcW w:w="160" w:type="dxa"/>
            <w:vAlign w:val="bottom"/>
          </w:tcPr>
          <w:p>
            <w:pPr>
              <w:spacing w:after="0"/>
              <w:rPr>
                <w:sz w:val="13"/>
                <w:szCs w:val="13"/>
                <w:color w:val="auto"/>
              </w:rPr>
            </w:pPr>
          </w:p>
        </w:tc>
        <w:tc>
          <w:tcPr>
            <w:tcW w:w="960" w:type="dxa"/>
            <w:vAlign w:val="bottom"/>
          </w:tcPr>
          <w:p>
            <w:pPr>
              <w:jc w:val="center"/>
              <w:ind w:right="76"/>
              <w:spacing w:after="0" w:line="153" w:lineRule="exact"/>
              <w:rPr>
                <w:sz w:val="20"/>
                <w:szCs w:val="20"/>
                <w:color w:val="auto"/>
              </w:rPr>
            </w:pPr>
            <w:r>
              <w:rPr>
                <w:rFonts w:ascii="Arial" w:cs="Arial" w:eastAsia="Arial" w:hAnsi="Arial"/>
                <w:sz w:val="14"/>
                <w:szCs w:val="14"/>
                <w:b w:val="1"/>
                <w:bCs w:val="1"/>
                <w:color w:val="auto"/>
                <w:w w:val="92"/>
              </w:rPr>
              <w:t>Income tax</w:t>
            </w:r>
          </w:p>
        </w:tc>
        <w:tc>
          <w:tcPr>
            <w:tcW w:w="120" w:type="dxa"/>
            <w:vAlign w:val="bottom"/>
          </w:tcPr>
          <w:p>
            <w:pPr>
              <w:spacing w:after="0"/>
              <w:rPr>
                <w:sz w:val="13"/>
                <w:szCs w:val="13"/>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6"/>
              </w:rPr>
              <w:t>Effective tax rate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4"/>
              </w:rPr>
              <w:t>income taxes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5"/>
              </w:rPr>
              <w:t>expense</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4"/>
              </w:rPr>
              <w:t>income taxes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5"/>
              </w:rPr>
              <w:t>expense</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14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adjustment(b)</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ETR-adjusted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194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169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jc w:val="right"/>
              <w:ind w:right="2890"/>
              <w:spacing w:after="0"/>
              <w:rPr>
                <w:sz w:val="20"/>
                <w:szCs w:val="20"/>
                <w:color w:val="auto"/>
              </w:rPr>
            </w:pPr>
            <w:r>
              <w:rPr>
                <w:rFonts w:ascii="Arial" w:cs="Arial" w:eastAsia="Arial" w:hAnsi="Arial"/>
                <w:sz w:val="16"/>
                <w:szCs w:val="16"/>
                <w:color w:val="auto"/>
                <w:w w:val="89"/>
              </w:rPr>
              <w:t>________</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62"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Refer to the reconciliation of Net income (loss) attributable to stockholders under U.S. GAAP to EBIT-adjusted within this section of MD&amp;A for adjustment details. The tax effect of each adjustment is determined based on the tax laws and valuation allowance status of the jurisdiction to which the adjustment relates.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Refer to the reconciliation of diluted earnings per common share under U.S. GAAP to EPS-diluted-adjusted within this section of MD&amp;A for adjustment details.</w:t>
      </w:r>
    </w:p>
    <w:p>
      <w:pPr>
        <w:spacing w:after="0" w:line="18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035"/>
              <w:spacing w:after="0"/>
              <w:rPr>
                <w:sz w:val="20"/>
                <w:szCs w:val="20"/>
                <w:color w:val="auto"/>
              </w:rPr>
            </w:pPr>
            <w:r>
              <w:rPr>
                <w:rFonts w:ascii="Arial" w:cs="Arial" w:eastAsia="Arial" w:hAnsi="Arial"/>
                <w:sz w:val="14"/>
                <w:szCs w:val="14"/>
                <w:b w:val="1"/>
                <w:bCs w:val="1"/>
                <w:color w:val="auto"/>
              </w:rPr>
              <w:t>Four Quarters Ended</w:t>
            </w:r>
          </w:p>
        </w:tc>
      </w:tr>
      <w:tr>
        <w:trPr>
          <w:trHeight w:val="250"/>
        </w:trPr>
        <w:tc>
          <w:tcPr>
            <w:tcW w:w="7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Pr>
          <w:p>
            <w:pPr>
              <w:spacing w:after="0"/>
              <w:rPr>
                <w:sz w:val="21"/>
                <w:szCs w:val="21"/>
                <w:color w:val="auto"/>
              </w:rPr>
            </w:pPr>
          </w:p>
        </w:tc>
        <w:tc>
          <w:tcPr>
            <w:tcW w:w="1500" w:type="dxa"/>
            <w:vAlign w:val="bottom"/>
          </w:tcPr>
          <w:p>
            <w:pPr>
              <w:jc w:val="right"/>
              <w:ind w:right="315"/>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7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stockholders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9.1</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Average equity(a)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7"/>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5"/>
              <w:spacing w:after="0"/>
              <w:rPr>
                <w:sz w:val="20"/>
                <w:szCs w:val="20"/>
                <w:color w:val="auto"/>
              </w:rPr>
            </w:pPr>
            <w:r>
              <w:rPr>
                <w:rFonts w:ascii="Arial" w:cs="Arial" w:eastAsia="Arial" w:hAnsi="Arial"/>
                <w:sz w:val="18"/>
                <w:szCs w:val="18"/>
                <w:color w:val="auto"/>
              </w:rPr>
              <w:t>39.3</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ROE</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193"/>
        </w:trPr>
        <w:tc>
          <w:tcPr>
            <w:tcW w:w="7620" w:type="dxa"/>
            <w:vAlign w:val="bottom"/>
          </w:tcPr>
          <w:p>
            <w:pPr>
              <w:jc w:val="right"/>
              <w:ind w:right="6712"/>
              <w:spacing w:after="0"/>
              <w:rPr>
                <w:sz w:val="20"/>
                <w:szCs w:val="20"/>
                <w:color w:val="auto"/>
              </w:rPr>
            </w:pPr>
            <w:r>
              <w:rPr>
                <w:rFonts w:ascii="Arial" w:cs="Arial" w:eastAsia="Arial" w:hAnsi="Arial"/>
                <w:sz w:val="16"/>
                <w:szCs w:val="16"/>
                <w:color w:val="auto"/>
                <w:w w:val="89"/>
              </w:rPr>
              <w:t>__________</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left="400" w:hanging="392"/>
        <w:spacing w:after="0"/>
        <w:tabs>
          <w:tab w:leader="none" w:pos="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Net income (loss) attributable to stockholders.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032"/>
              <w:spacing w:after="0"/>
              <w:rPr>
                <w:sz w:val="20"/>
                <w:szCs w:val="20"/>
                <w:color w:val="auto"/>
              </w:rPr>
            </w:pPr>
            <w:r>
              <w:rPr>
                <w:rFonts w:ascii="Arial" w:cs="Arial" w:eastAsia="Arial" w:hAnsi="Arial"/>
                <w:sz w:val="14"/>
                <w:szCs w:val="14"/>
                <w:b w:val="1"/>
                <w:bCs w:val="1"/>
                <w:color w:val="auto"/>
              </w:rPr>
              <w:t>Four Quarters Ended</w:t>
            </w:r>
          </w:p>
        </w:tc>
      </w:tr>
      <w:tr>
        <w:trPr>
          <w:trHeight w:val="250"/>
        </w:trPr>
        <w:tc>
          <w:tcPr>
            <w:tcW w:w="7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Pr>
          <w:p>
            <w:pPr>
              <w:spacing w:after="0"/>
              <w:rPr>
                <w:sz w:val="21"/>
                <w:szCs w:val="21"/>
                <w:color w:val="auto"/>
              </w:rPr>
            </w:pPr>
          </w:p>
        </w:tc>
        <w:tc>
          <w:tcPr>
            <w:tcW w:w="1500" w:type="dxa"/>
            <w:vAlign w:val="bottom"/>
          </w:tcPr>
          <w:p>
            <w:pPr>
              <w:jc w:val="right"/>
              <w:ind w:right="312"/>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7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EBIT-adjusted(a)</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11.5</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Average equity(b)</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39.3</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Average automotive debt and interest liabilities (excluding 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14.4</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Add: Average automotive net pension &amp; OPEB liability</w:t>
            </w:r>
          </w:p>
        </w:tc>
        <w:tc>
          <w:tcPr>
            <w:tcW w:w="260" w:type="dxa"/>
            <w:vAlign w:val="bottom"/>
          </w:tcPr>
          <w:p>
            <w:pPr>
              <w:spacing w:after="0"/>
              <w:rPr>
                <w:sz w:val="21"/>
                <w:szCs w:val="21"/>
                <w:color w:val="auto"/>
              </w:rPr>
            </w:pP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17.5</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Average automotive and other net income tax asset</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w:t>
            </w:r>
          </w:p>
        </w:tc>
      </w:tr>
      <w:tr>
        <w:trPr>
          <w:trHeight w:val="297"/>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ROIC-adjusted average net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48.3</w:t>
            </w:r>
          </w:p>
        </w:tc>
      </w:tr>
      <w:tr>
        <w:trPr>
          <w:trHeight w:val="237"/>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ROIC-adjusted</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193"/>
        </w:trPr>
        <w:tc>
          <w:tcPr>
            <w:tcW w:w="762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MD&amp;A.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EBIT-adjusted.</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Overview </w:t>
      </w:r>
      <w:r>
        <w:rPr>
          <w:rFonts w:ascii="Arial" w:cs="Arial" w:eastAsia="Arial" w:hAnsi="Arial"/>
          <w:sz w:val="17"/>
          <w:szCs w:val="17"/>
          <w:color w:val="auto"/>
        </w:rPr>
        <w:t>Our management team has adopted a strategic plan to transform GM into the world's most valued automotive company. Our plan includes</w:t>
      </w:r>
      <w:r>
        <w:rPr>
          <w:rFonts w:ascii="Arial" w:cs="Arial" w:eastAsia="Arial" w:hAnsi="Arial"/>
          <w:sz w:val="17"/>
          <w:szCs w:val="17"/>
          <w:b w:val="1"/>
          <w:bCs w:val="1"/>
          <w:color w:val="auto"/>
        </w:rPr>
        <w:t xml:space="preserve"> </w:t>
      </w:r>
      <w:r>
        <w:rPr>
          <w:rFonts w:ascii="Arial" w:cs="Arial" w:eastAsia="Arial" w:hAnsi="Arial"/>
          <w:sz w:val="17"/>
          <w:szCs w:val="17"/>
          <w:color w:val="auto"/>
        </w:rPr>
        <w:t>several major initiatives that we anticipate will redefine the future of personal mobility and advance our vision of zero crashes, zero emissions, zero congestion while also strengthening the core of our business: earning customers for life by delivering winning vehicles, leading the industry in quality and safety and improving the customer ownership experience; leading in technology and innovation, including electrification, autonomous vehicles and data connectivity; growing our brands; making tough, strategic decisions about the markets and products in which we will invest and compete; building profitable adjacent businesses; and targeting 10% core margins on an EBIT-adjusted basis.</w:t>
      </w:r>
    </w:p>
    <w:p>
      <w:pPr>
        <w:spacing w:after="0" w:line="218"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COVID-19 and government actions and measures to prevent its spread are affecting our operations and business in a number of significant ways. In March 2020, we systematically suspended the majority of our global manufacturing operations in response to the COVID-19 pandemic. During the three months ended March 31, 2020, our Automotive China JVs’ manufacturing operations</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were also suspended for a period of time and have recently resumed production. In addition, government-imposed restrictions on businesses, operations and travel and the related economic uncertainty have impacted demand for our vehicles in most of our global markets. As a result of COVID-19, we estimate an impact on EBIT-adjusted of approximately $1.4 billion in the three months ended March 31, 2020. We also expect COVID-19 will materially impact our results of operations during the remainder of 2020. In response, we are implementing a number of austerity measures, including aggressive actions to reduce costs, such as limiting advertising and other third-party spending, deferring salaried employee compensation and delaying non-critical projects, including certain future product programs. The extent of COVID-19’s impact on our future operations and the demand for our products will depend upon, among other things, the duration, spread and intensity of the pandemic and related government responses such as required physical distancing, restrictions on business operations and travel, the pace of recovery of economic activity and the impact to consumers, all of which are uncertain and difficult to predict in light of the rapidly evolving landscape. Due to the ongoing uncertainty related to the COVID-19 pandemic, we suspended our 2020 guidance in March 2020. Refer to Item 1A. Risk Factors for a full discussion of the risks associated with the COVID-19 pandemic.</w:t>
      </w:r>
    </w:p>
    <w:p>
      <w:pPr>
        <w:spacing w:after="0" w:line="168"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color w:val="auto"/>
        </w:rPr>
        <w:t>While the situation remains highly uncertain, our Automotive China JVs have resumed production and we currently expect to gradually resume critical manufacturing operations in North America beginning in May 2020. At this time, customer demand for our products in 2020 is difficult to estimate and will be highly dependent upon the duration and severity of the COVID-19 pandemic. We are committed to help reduce the supply shortage of necessary medical equipment arising from the COVID-19 pandemic, including manufacturing face masks beginning in March 2020 and collaborating with Ventec Life Systems to produce critical care ventilators in our U.S. facilities beginning in April 2020. We are providing our resources related to these initiatives at cost.</w:t>
      </w:r>
    </w:p>
    <w:p>
      <w:pPr>
        <w:spacing w:after="0" w:line="16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also face continuing market, operating and regulatory challenges in several countries across the globe due to, among other factors, weak economic conditions, competitive pressures, our product portfolio offerings, heightened emissions standards, labor disruptions, foreign exchange volatility, rising material prices, evolving trade policy and political uncertainty. As a result of these conditions, we continue to strategically assess our performance and ability to achieve acceptable returns on our invested capital, as well as our cost structure in order to maintain a low breakeven point. Refer to Item 1A. Risk Factors of our 2019 Form 10-K for a discussion of these challenges.</w:t>
      </w:r>
    </w:p>
    <w:p>
      <w:pPr>
        <w:spacing w:after="0" w:line="18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 November 2018, we announced plans to accelerate steps to improve our overall business performance, including the reorganization of global product development staffs, the realignment of manufacturing capacity in response to market-related volume declines in passenger cars and a reduction of our salaried workforce. We are on track for these transformation activities to drive between $5.5 billion and $6.0 billion of annual cash savings by the end of 2020, consisting of $4.0 billion to $4.5 billion in cost savings primarily from reductions in Automotive and other cost of sales in our condensed consolidated financial statements, with the remainder in reduced capital expenditures. We are on track to reduce capital expenditures from approximately $8.5 billion to approximately $7.0 billion on a normalized run-rate basis. As we continue to assess our performance and the needs of our evolving business, additional restructuring and rationalization actions could be required. These actions could give rise to future asset impairments or other charges, which may have a material impact on our operating results.</w:t>
      </w:r>
    </w:p>
    <w:p>
      <w:pPr>
        <w:spacing w:after="0" w:line="178"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b w:val="1"/>
          <w:bCs w:val="1"/>
          <w:i w:val="1"/>
          <w:iCs w:val="1"/>
          <w:color w:val="auto"/>
        </w:rPr>
        <w:t xml:space="preserve">GMNA </w:t>
      </w:r>
      <w:r>
        <w:rPr>
          <w:rFonts w:ascii="Arial" w:cs="Arial" w:eastAsia="Arial" w:hAnsi="Arial"/>
          <w:sz w:val="16"/>
          <w:szCs w:val="16"/>
          <w:color w:val="auto"/>
        </w:rPr>
        <w:t>Industry sales in North America were 4.3 million units in the three months ended March 31, 2020, representing a decrease of 13.4%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corresponding period in 2019. U.S. industry sales were 3.6 million units in the three months ended March 31, 2020, representing a decrease of 13.0% compared to the corresponding period in 2019. As described above, we expect COVID-19 to result in a significant contraction of total North America industry volumes in 2020. However, industry volumes will ultimately depend upon, among other things, the duration, spread and intensity of the pandemic and related government responses, all of which are uncertain and difficult to predict in light of the rapidly evolving landscape.</w:t>
      </w:r>
    </w:p>
    <w:p>
      <w:pPr>
        <w:spacing w:after="0" w:line="16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Our total vehicle sales in the U.S., our largest market in North America, totaled 0.6 million units for market share of 17.3% in the three months ended March 31, 2020, representing an increase of 1.1 percentage points compared to the corresponding period in 2019. We continue to lead the U.S. industry in market share.</w:t>
      </w:r>
    </w:p>
    <w:p>
      <w:pPr>
        <w:spacing w:after="0" w:line="184"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As discussed above, in response to COVID-19, we suspended production across our manufacturing facilities in the U.S., Canada and Mexico in March 2020. We are working with a variety of stakeholders, including health, safety and medical experts, governments, employee representatives and our suppliers to determine when it is appropriate to restart production. While the situation remains highly uncertain, we currently expect that we will gradually resume critical manufacturing operations in North America beginning in May 2020. We continue to operate our parts distribution centers on a volunteer basis while following physical distancing guidance, implementing enhanced deep cleaning procedures and providing personal protective equipment to continue to protect our employees while ensuring our customers and dealers receive required maintenance and repair parts.</w:t>
      </w:r>
    </w:p>
    <w:p>
      <w:pPr>
        <w:spacing w:after="0" w:line="178" w:lineRule="exact"/>
        <w:rPr>
          <w:sz w:val="20"/>
          <w:szCs w:val="20"/>
          <w:color w:val="auto"/>
        </w:rPr>
      </w:pPr>
    </w:p>
    <w:p>
      <w:pPr>
        <w:ind w:right="420" w:firstLine="162"/>
        <w:spacing w:after="0" w:line="308" w:lineRule="auto"/>
        <w:rPr>
          <w:sz w:val="20"/>
          <w:szCs w:val="20"/>
          <w:color w:val="auto"/>
        </w:rPr>
      </w:pPr>
      <w:r>
        <w:rPr>
          <w:rFonts w:ascii="Arial" w:cs="Arial" w:eastAsia="Arial" w:hAnsi="Arial"/>
          <w:sz w:val="17"/>
          <w:szCs w:val="17"/>
          <w:color w:val="auto"/>
        </w:rPr>
        <w:t>The Unifor contract ratified in September 2016 covering certain hourly employees in Canada expires in September 2020. For discussion of the risks related to a significant labor disruption at one of our facilities, refer to Item 1A. Risk Factors of our 2019 Form 10-K.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b w:val="1"/>
          <w:bCs w:val="1"/>
          <w:i w:val="1"/>
          <w:iCs w:val="1"/>
          <w:color w:val="auto"/>
        </w:rPr>
        <w:t xml:space="preserve">GMI </w:t>
      </w:r>
      <w:r>
        <w:rPr>
          <w:rFonts w:ascii="Arial" w:cs="Arial" w:eastAsia="Arial" w:hAnsi="Arial"/>
          <w:sz w:val="16"/>
          <w:szCs w:val="16"/>
          <w:color w:val="auto"/>
        </w:rPr>
        <w:t>Industry sales in China were 3.8 million units in the three months ended March 31, 2020, representing a decrease of 38.1%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corresponding period in 2019. Our total vehicle sales in China were 0.5 million units for market share of 12.0% in the three months ended March 31, 2020, representing a decrease of 1.1 percentage points compared to the corresponding period in 2019. The sales across all brands decreased in the three months ended March 31, 2020, compared to the corresponding period in 2019, driven primarily by an industry downturn significantly impacted by the COVID-19 pandemic. We expect both GM and industry sales to gradually recover as the impact of the COVID-19 pandemic in China subsides, however, the ongoing global macro-economic impact of COVID-19 will place pressure on China's automotive industry. Our Automotive China JVs generated an equity loss of $0.2 billion in the three months ended March 31, 2020. A continuation of industry weakness and pricing pressures, a more challenging regulatory environment related to emissions, fuel consumption and new energy vehicles, and continued weakness in the Chinese Yuan against the U.S. Dollar will continue to place pressure on our operations in China. While we expect lower China equity income in the near term, we will continue to build upon our strong brands, network, and partnerships in China as well as continue to drive improvements in vehicle mix and cost.</w:t>
      </w:r>
    </w:p>
    <w:p>
      <w:pPr>
        <w:spacing w:after="0" w:line="16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Outside of China, industry sales were 6.2 million units in the three months ended March 31, 2020, representing a decrease of 6.4% compared to the corresponding period in 2019, primarily due to decreased sales in Japan and India. Our total vehicle sales outside of China were 0.3 million units for market share of 4.4% in the three months ended March 31, 2020, representing an increase of 0.1 percentage points compared to the corresponding period in 2019.</w:t>
      </w:r>
    </w:p>
    <w:p>
      <w:pPr>
        <w:spacing w:after="0" w:line="187"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In the three months ended March 31, 2020, we announced restructuring actions in GMI related to the wind-down of Holden sales, design and engineering operations in Australia and New Zealand, with cessation of Holden vehicle sales by 2021, the execution of binding term sheets with Great Wall Motors to sell our vehicle and powertrain manufacturing facilities in Thailand, and the wind-down of our vehicle sales operations in Thailand, targeted for completion by the end of 2020. These actions were taken to strengthen the Company's core business and focus investment on other opportunities that will derive the greatest returns for shareholders and support investment in future technologies. We recorded charges of $0.5 billion in the three months ended March 31, 2020 and expect to incur additional charges of $0.4 billion in the nine months ending December 31, 2020. We also recorded deferred tax charges of $0.2 billion in the three months ended March 31, 2020. We expect additional net cash outflows of approximately $0.3 billion to be substantially complete in the nine months ending December 31, 2020. The charges will primarily be considered special for EBIT-adjusted, EPS-diluted-adjusted and adjusted automotive free cash flow purposes. We intend to continue to provide servicing and spare parts to customers for an extended period of time in Australia, New Zealand and Thailand. Refer to Note 17 to our condensed consolidated statements for additional information related to these restructuring actions.</w:t>
      </w:r>
    </w:p>
    <w:p>
      <w:pPr>
        <w:spacing w:after="0" w:line="16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Cruise </w:t>
      </w:r>
      <w:r>
        <w:rPr>
          <w:rFonts w:ascii="Arial" w:cs="Arial" w:eastAsia="Arial" w:hAnsi="Arial"/>
          <w:sz w:val="18"/>
          <w:szCs w:val="18"/>
          <w:color w:val="auto"/>
        </w:rPr>
        <w:t>We are actively testing our autonomous vehicles in the U.S. Gated by safety and regulation, we continue to make significant progress towards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of a network of on-demand autonomous vehicles in the U.S.</w:t>
      </w:r>
    </w:p>
    <w:p>
      <w:pPr>
        <w:spacing w:after="0" w:line="17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Corporate </w:t>
      </w:r>
      <w:r>
        <w:rPr>
          <w:rFonts w:ascii="Arial" w:cs="Arial" w:eastAsia="Arial" w:hAnsi="Arial"/>
          <w:sz w:val="18"/>
          <w:szCs w:val="18"/>
          <w:color w:val="auto"/>
        </w:rPr>
        <w:t>Market price changes of our PSA warrants generated unrealized losses of $0.4 billion in the three months ended March 31, 2020,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gain of $0.1 billion in the corresponding period in 2019. Our mark-to-market securities totaled $0.6 billion at March 31, 2020, a decrease of $0.9 billion from December 2019, due to market price fluctuations and liquidations of securities.</w:t>
      </w:r>
    </w:p>
    <w:p>
      <w:pPr>
        <w:spacing w:after="0" w:line="184"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 xml:space="preserve">Vehicle Sales </w:t>
      </w:r>
      <w:r>
        <w:rPr>
          <w:rFonts w:ascii="Arial" w:cs="Arial" w:eastAsia="Arial" w:hAnsi="Arial"/>
          <w:sz w:val="16"/>
          <w:szCs w:val="16"/>
          <w:color w:val="auto"/>
        </w:rPr>
        <w:t>The principal factors that determine consumer vehicle preferences in the markets in which we operate include overall vehicle design,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available options, safety, reliability, fuel economy and functionality. Market leadership in individual countries in which we compete varies widely.</w:t>
      </w:r>
    </w:p>
    <w:p>
      <w:pPr>
        <w:spacing w:after="0" w:line="12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three months ended March 31, 2020, 32.4% of our wholesale vehicle sales volume was generated outside the U.S. The following table summarizes wholesale vehicle sales by automotive segment (vehicles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96"/>
        </w:trPr>
        <w:tc>
          <w:tcPr>
            <w:tcW w:w="4980" w:type="dxa"/>
            <w:vAlign w:val="bottom"/>
            <w:tcBorders>
              <w:bottom w:val="single" w:sz="8" w:color="CCEEFF"/>
            </w:tcBorders>
          </w:tcPr>
          <w:p>
            <w:pPr>
              <w:spacing w:after="0"/>
              <w:rPr>
                <w:sz w:val="17"/>
                <w:szCs w:val="17"/>
                <w:color w:val="auto"/>
              </w:rPr>
            </w:pPr>
          </w:p>
        </w:tc>
        <w:tc>
          <w:tcPr>
            <w:tcW w:w="226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March 31, 2020</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March 31, 2019</w:t>
            </w:r>
          </w:p>
        </w:tc>
        <w:tc>
          <w:tcPr>
            <w:tcW w:w="820" w:type="dxa"/>
            <w:vAlign w:val="bottom"/>
            <w:tcBorders>
              <w:bottom w:val="single" w:sz="8" w:color="auto"/>
            </w:tcBorders>
          </w:tcPr>
          <w:p>
            <w:pPr>
              <w:spacing w:after="0"/>
              <w:rPr>
                <w:sz w:val="17"/>
                <w:szCs w:val="17"/>
                <w:color w:val="auto"/>
              </w:rPr>
            </w:pPr>
          </w:p>
        </w:tc>
      </w:tr>
      <w:tr>
        <w:trPr>
          <w:trHeight w:val="249"/>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4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GMI</w:t>
            </w:r>
          </w:p>
        </w:tc>
        <w:tc>
          <w:tcPr>
            <w:tcW w:w="1440" w:type="dxa"/>
            <w:vAlign w:val="bottom"/>
          </w:tcPr>
          <w:p>
            <w:pPr>
              <w:ind w:left="106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49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9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08"/>
        </w:trPr>
        <w:tc>
          <w:tcPr>
            <w:tcW w:w="4980" w:type="dxa"/>
            <w:vAlign w:val="bottom"/>
          </w:tcPr>
          <w:p>
            <w:pPr>
              <w:spacing w:after="0"/>
              <w:rPr>
                <w:sz w:val="24"/>
                <w:szCs w:val="24"/>
                <w:color w:val="auto"/>
              </w:rPr>
            </w:pPr>
          </w:p>
        </w:tc>
        <w:tc>
          <w:tcPr>
            <w:tcW w:w="1440" w:type="dxa"/>
            <w:vAlign w:val="bottom"/>
          </w:tcPr>
          <w:p>
            <w:pPr>
              <w:ind w:left="5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total industry vehicle sales and our related competitive position by geographic region (vehicles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94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40" w:type="dxa"/>
            <w:vAlign w:val="bottom"/>
          </w:tcPr>
          <w:p>
            <w:pPr>
              <w:spacing w:after="0"/>
              <w:rPr>
                <w:sz w:val="22"/>
                <w:szCs w:val="22"/>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Industry</w:t>
            </w:r>
          </w:p>
        </w:tc>
        <w:tc>
          <w:tcPr>
            <w:tcW w:w="1100" w:type="dxa"/>
            <w:vAlign w:val="bottom"/>
          </w:tcPr>
          <w:p>
            <w:pPr>
              <w:jc w:val="right"/>
              <w:ind w:right="3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22"/>
                <w:szCs w:val="22"/>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Market Share</w:t>
            </w: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Industry</w:t>
            </w:r>
          </w:p>
        </w:tc>
        <w:tc>
          <w:tcPr>
            <w:tcW w:w="1100" w:type="dxa"/>
            <w:vAlign w:val="bottom"/>
          </w:tcPr>
          <w:p>
            <w:pPr>
              <w:jc w:val="right"/>
              <w:ind w:right="348"/>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22"/>
                <w:szCs w:val="22"/>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Market Share</w:t>
            </w:r>
          </w:p>
        </w:tc>
        <w:tc>
          <w:tcPr>
            <w:tcW w:w="0" w:type="dxa"/>
            <w:vAlign w:val="bottom"/>
          </w:tcPr>
          <w:p>
            <w:pPr>
              <w:spacing w:after="0"/>
              <w:rPr>
                <w:sz w:val="1"/>
                <w:szCs w:val="1"/>
                <w:color w:val="auto"/>
              </w:rPr>
            </w:pPr>
          </w:p>
        </w:tc>
      </w:tr>
      <w:tr>
        <w:trPr>
          <w:trHeight w:val="218"/>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North America</w:t>
            </w: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712</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North America</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4,284</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4,946</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11"/>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Asia/Pacific, Middle East and Africa</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China(a)</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6,214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5,357</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5,640</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Asia/Pacific, Middle East and Africa</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9,204</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11,854</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11"/>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South America</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396</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15"/>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South America</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863</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1,003</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04"/>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Total in GM markets</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14,351</w:t>
            </w:r>
          </w:p>
        </w:tc>
        <w:tc>
          <w:tcPr>
            <w:tcW w:w="1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1,457</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17,803</w:t>
            </w:r>
          </w:p>
        </w:tc>
        <w:tc>
          <w:tcPr>
            <w:tcW w:w="1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1,877</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22"/>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Europe</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3,991</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4,936</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9"/>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Worldwide(b)</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18,342</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1,457</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22,739</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1,878</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5"/>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United States</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9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40"/>
              <w:spacing w:after="0"/>
              <w:rPr>
                <w:sz w:val="20"/>
                <w:szCs w:val="20"/>
                <w:color w:val="auto"/>
              </w:rPr>
            </w:pPr>
            <w:r>
              <w:rPr>
                <w:rFonts w:ascii="Arial" w:cs="Arial" w:eastAsia="Arial" w:hAnsi="Arial"/>
                <w:sz w:val="14"/>
                <w:szCs w:val="14"/>
                <w:color w:val="auto"/>
              </w:rPr>
              <w:t>Cars</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879</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22"/>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Trucks</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Crossovers</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1,752</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1,959</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277</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15"/>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United States</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3,572</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4,107</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China(a)</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94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9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SGMS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SGMW</w:t>
            </w: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432</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China</w:t>
            </w: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3,847</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6,214</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sales by the Automotive China JVs: SAIC General Motors Sales Co., Ltd. (SGMS) and SAIC GM Wuling Automobile Co., Ltd. (SGMW).</w:t>
      </w:r>
    </w:p>
    <w:p>
      <w:pPr>
        <w:spacing w:after="0" w:line="15"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Cuba, Iran, North Korea, Sudan and Syria are subject to broad economic sanctions. Accordingly these countries are excluded from industry sales data and corresponding calculation of market share.</w:t>
      </w:r>
    </w:p>
    <w:p>
      <w:pPr>
        <w:spacing w:after="0" w:line="12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the three months ended March 31, 2020, we estimate we were the market share leader in each of North America and South America and had the number two market share in China.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3600" w:type="dxa"/>
            <w:vAlign w:val="bottom"/>
            <w:tcBorders>
              <w:bottom w:val="single" w:sz="8" w:color="auto"/>
            </w:tcBorders>
            <w:gridSpan w:val="3"/>
          </w:tcPr>
          <w:p>
            <w:pPr>
              <w:jc w:val="right"/>
              <w:ind w:right="1034"/>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640" w:type="dxa"/>
            <w:vAlign w:val="bottom"/>
          </w:tcPr>
          <w:p>
            <w:pPr>
              <w:spacing w:after="0"/>
              <w:rPr>
                <w:sz w:val="22"/>
                <w:szCs w:val="22"/>
                <w:color w:val="auto"/>
              </w:rPr>
            </w:pPr>
          </w:p>
        </w:tc>
        <w:tc>
          <w:tcPr>
            <w:tcW w:w="186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 2020</w:t>
            </w:r>
          </w:p>
        </w:tc>
        <w:tc>
          <w:tcPr>
            <w:tcW w:w="174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7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76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191</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GMI</w:t>
            </w:r>
          </w:p>
        </w:tc>
        <w:tc>
          <w:tcPr>
            <w:tcW w:w="1760" w:type="dxa"/>
            <w:vAlign w:val="bottom"/>
          </w:tcPr>
          <w:p>
            <w:pPr>
              <w:jc w:val="right"/>
              <w:ind w:right="116"/>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740" w:type="dxa"/>
            <w:vAlign w:val="bottom"/>
          </w:tcPr>
          <w:p>
            <w:pPr>
              <w:jc w:val="right"/>
              <w:ind w:right="94"/>
              <w:spacing w:after="0"/>
              <w:rPr>
                <w:sz w:val="20"/>
                <w:szCs w:val="20"/>
                <w:color w:val="auto"/>
              </w:rPr>
            </w:pPr>
            <w:r>
              <w:rPr>
                <w:rFonts w:ascii="Arial" w:cs="Arial" w:eastAsia="Arial" w:hAnsi="Arial"/>
                <w:sz w:val="18"/>
                <w:szCs w:val="18"/>
                <w:color w:val="auto"/>
              </w:rPr>
              <w:t>92</w:t>
            </w:r>
          </w:p>
        </w:tc>
      </w:tr>
      <w:tr>
        <w:trPr>
          <w:trHeight w:val="27"/>
        </w:trPr>
        <w:tc>
          <w:tcPr>
            <w:tcW w:w="76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7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283</w:t>
            </w:r>
          </w:p>
        </w:tc>
      </w:tr>
      <w:tr>
        <w:trPr>
          <w:trHeight w:val="20"/>
        </w:trPr>
        <w:tc>
          <w:tcPr>
            <w:tcW w:w="76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08"/>
        </w:trPr>
        <w:tc>
          <w:tcPr>
            <w:tcW w:w="76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r>
      <w:tr>
        <w:trPr>
          <w:trHeight w:val="243"/>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Fleet sales as a percentage of total vehicle sales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76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b w:val="1"/>
          <w:bCs w:val="1"/>
          <w:i w:val="1"/>
          <w:iCs w:val="1"/>
          <w:color w:val="auto"/>
        </w:rPr>
        <w:t xml:space="preserve">GM Financial </w:t>
      </w:r>
      <w:r>
        <w:rPr>
          <w:rFonts w:ascii="Arial" w:cs="Arial" w:eastAsia="Arial" w:hAnsi="Arial"/>
          <w:sz w:val="17"/>
          <w:szCs w:val="17"/>
          <w:color w:val="auto"/>
        </w:rPr>
        <w:t>We believe that offering a comprehensive suite of financing products will generate incremental sales of our vehicles, drive incremental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GM Financial earnings and help support our sales throughout various economic cycles. GM Financial's leasing program is exposed to residual values, which are heavily dependent on used vehicle prices. Used vehicle prices for the three months ended March 31, 2020 decreased slightly compared to the same period in 2019. Realized sales proceeds for the first two months of 2020 outpaced the same period in 2019; however, prices declined in late March, primarily due to impacts from the COVID-19 pandemic. GM Financial previously reported an expected decrease in used vehicle prices of 3% to 4% in 2020 compared to 2019; however, used vehicle prices have been significantly impacted as a result of the COVID-19 pandemic. Current industry forecasts project a decrease in used vehicle prices of 7% to 10% in 2020 compared to 2019, and a recovery sometime in 2021. GM Financial updated residual value estimates accordingly, and will increase the depreciation rate over the remaining term of the portfolio, the impact of which is most heavily weighted to leases maturing in 2020. In addition, the auctions GM Financial uses to remarket off-lease inventory are not currently operating efficiently. Sales proceeds from vehicles GM Financial has been able to remarket have decreased and may remain depressed when auction operations resume. Accordingly, GM Financial recorded an insignificant valuation adjustment to the carrying value of off-lease inventory held for sale. GM Financial cannot currently estimate the precise impact that the COVID-19 pandemic will ultimately have on used vehicle prices. If adverse economic impacts are sustained, used vehicle prices could decrease further, which could result in impairment of the GM Financial lease portfolio. The following table summarizes the estimated residual value based on our most recent estimates and the number of units included in GM Financial Equipment on operating leases, net by vehicle type (units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 2020</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December 31, 2019</w:t>
            </w:r>
          </w:p>
        </w:tc>
        <w:tc>
          <w:tcPr>
            <w:tcW w:w="1300" w:type="dxa"/>
            <w:vAlign w:val="bottom"/>
            <w:tcBorders>
              <w:bottom w:val="single" w:sz="8" w:color="auto"/>
            </w:tcBorders>
          </w:tcPr>
          <w:p>
            <w:pPr>
              <w:spacing w:after="0"/>
              <w:rPr>
                <w:sz w:val="16"/>
                <w:szCs w:val="16"/>
                <w:color w:val="auto"/>
              </w:rPr>
            </w:pPr>
          </w:p>
        </w:tc>
      </w:tr>
      <w:tr>
        <w:trPr>
          <w:trHeight w:val="263"/>
        </w:trPr>
        <w:tc>
          <w:tcPr>
            <w:tcW w:w="3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Residual Value</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Residual Value</w:t>
            </w:r>
          </w:p>
        </w:tc>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300" w:type="dxa"/>
            <w:vAlign w:val="bottom"/>
          </w:tcPr>
          <w:p>
            <w:pPr>
              <w:jc w:val="right"/>
              <w:ind w:right="233"/>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Trucks</w:t>
            </w: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7,097</w:t>
            </w:r>
          </w:p>
        </w:tc>
        <w:tc>
          <w:tcPr>
            <w:tcW w:w="1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7,256</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SUVs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Cars</w:t>
            </w: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2,841</w:t>
            </w:r>
          </w:p>
        </w:tc>
        <w:tc>
          <w:tcPr>
            <w:tcW w:w="1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3,276</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29,469</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30,399</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GM Financial's penetration of our retail sales in the U.S. decreased to 45% in the three months ended March 31, 2020 from 53% in the corresponding period in 2019. Penetration levels vary depending on incentive financing programs available and competing third-party financing products in the market. GM Financial's prime loan originations as a percentage of total loan originations in North America decreased to 65% in the three months ended March 31, 2020 from 74% in the three months ended March 31, 2019. In the three months ended March 31, 2020, GM Financial's revenue consisted of leased vehicle income of 69%, retail finance charge income of 24% and commercial finance charge income of 4%.</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Consolidated Results </w:t>
      </w:r>
      <w:r>
        <w:rPr>
          <w:rFonts w:ascii="Arial" w:cs="Arial" w:eastAsia="Arial" w:hAnsi="Arial"/>
          <w:sz w:val="17"/>
          <w:szCs w:val="17"/>
          <w:color w:val="auto"/>
        </w:rPr>
        <w:t>We review changes in our results of operations under five categories: volume, mix, price, cost and other. Volume measures the</w:t>
      </w:r>
      <w:r>
        <w:rPr>
          <w:rFonts w:ascii="Arial" w:cs="Arial" w:eastAsia="Arial" w:hAnsi="Arial"/>
          <w:sz w:val="17"/>
          <w:szCs w:val="17"/>
          <w:b w:val="1"/>
          <w:bCs w:val="1"/>
          <w:color w:val="auto"/>
        </w:rPr>
        <w:t xml:space="preserve"> </w:t>
      </w:r>
      <w:r>
        <w:rPr>
          <w:rFonts w:ascii="Arial" w:cs="Arial" w:eastAsia="Arial" w:hAnsi="Arial"/>
          <w:sz w:val="17"/>
          <w:szCs w:val="17"/>
          <w:color w:val="auto"/>
        </w:rPr>
        <w:t>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Due to the uncertainty related to the COVID-19 pandemic, our results in the three months ended March 31, 2020 in revenues and costs may not be indicative of results for the remainder of 2020. Refer to the regional sections of this MD&amp;A for additional information.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4"/>
              </w:rPr>
              <w:t>Favorable/</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6"/>
                <w:szCs w:val="6"/>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2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6"/>
                <w:szCs w:val="6"/>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w w:val="96"/>
              </w:rPr>
              <w:t>(Dollars in billions)</w:t>
            </w:r>
          </w:p>
        </w:tc>
        <w:tc>
          <w:tcPr>
            <w:tcW w:w="2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25,831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40" w:type="dxa"/>
            <w:vAlign w:val="bottom"/>
          </w:tcPr>
          <w:p>
            <w:pPr>
              <w:ind w:left="40"/>
              <w:spacing w:after="0"/>
              <w:rPr>
                <w:sz w:val="20"/>
                <w:szCs w:val="20"/>
                <w:color w:val="auto"/>
              </w:rPr>
            </w:pPr>
            <w:r>
              <w:rPr>
                <w:rFonts w:ascii="Arial" w:cs="Arial" w:eastAsia="Arial" w:hAnsi="Arial"/>
                <w:sz w:val="16"/>
                <w:szCs w:val="16"/>
                <w:color w:val="auto"/>
              </w:rPr>
              <w:t>GMI</w:t>
            </w:r>
          </w:p>
        </w:tc>
        <w:tc>
          <w:tcPr>
            <w:tcW w:w="20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3,280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3,850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(14.8)%</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3"/>
              <w:spacing w:after="0"/>
              <w:rPr>
                <w:sz w:val="20"/>
                <w:szCs w:val="20"/>
                <w:color w:val="auto"/>
              </w:rPr>
            </w:pPr>
            <w:r>
              <w:rPr>
                <w:rFonts w:ascii="Arial" w:cs="Arial" w:eastAsia="Arial" w:hAnsi="Arial"/>
                <w:sz w:val="16"/>
                <w:szCs w:val="16"/>
                <w:color w:val="auto"/>
              </w:rPr>
              <w:t>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4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29,149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31,261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3"/>
              <w:spacing w:after="0"/>
              <w:rPr>
                <w:sz w:val="20"/>
                <w:szCs w:val="20"/>
                <w:color w:val="auto"/>
              </w:rPr>
            </w:pPr>
            <w:r>
              <w:rPr>
                <w:rFonts w:ascii="Arial" w:cs="Arial" w:eastAsia="Arial" w:hAnsi="Arial"/>
                <w:sz w:val="16"/>
                <w:szCs w:val="16"/>
                <w:color w:val="auto"/>
              </w:rPr>
              <w:t>1.1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Cruise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ind w:left="360"/>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40"/>
              <w:spacing w:after="0"/>
              <w:rPr>
                <w:sz w:val="20"/>
                <w:szCs w:val="20"/>
                <w:color w:val="auto"/>
              </w:rPr>
            </w:pPr>
            <w:r>
              <w:rPr>
                <w:rFonts w:ascii="Arial" w:cs="Arial" w:eastAsia="Arial" w:hAnsi="Arial"/>
                <w:sz w:val="16"/>
                <w:szCs w:val="16"/>
                <w:color w:val="auto"/>
              </w:rPr>
              <w:t>GM Financial</w:t>
            </w:r>
          </w:p>
        </w:tc>
        <w:tc>
          <w:tcPr>
            <w:tcW w:w="20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3,561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3,620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Eliminations/reclassifications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rPr>
                <w:sz w:val="20"/>
                <w:szCs w:val="20"/>
                <w:color w:val="auto"/>
              </w:rPr>
            </w:pPr>
            <w:r>
              <w:rPr>
                <w:rFonts w:ascii="Arial" w:cs="Arial" w:eastAsia="Arial" w:hAnsi="Arial"/>
                <w:sz w:val="16"/>
                <w:szCs w:val="16"/>
                <w:color w:val="auto"/>
              </w:rPr>
              <w:t>Total net sales and revenue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32,709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34,878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3"/>
              <w:spacing w:after="0"/>
              <w:rPr>
                <w:sz w:val="20"/>
                <w:szCs w:val="20"/>
                <w:color w:val="auto"/>
              </w:rPr>
            </w:pPr>
            <w:r>
              <w:rPr>
                <w:rFonts w:ascii="Arial" w:cs="Arial" w:eastAsia="Arial" w:hAnsi="Arial"/>
                <w:sz w:val="16"/>
                <w:szCs w:val="16"/>
                <w:color w:val="auto"/>
              </w:rPr>
              <w:t>1.1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40" w:type="dxa"/>
            <w:vAlign w:val="bottom"/>
          </w:tcPr>
          <w:p>
            <w:pPr>
              <w:spacing w:after="0"/>
              <w:rPr>
                <w:sz w:val="20"/>
                <w:szCs w:val="20"/>
                <w:color w:val="auto"/>
              </w:rPr>
            </w:pPr>
            <w:r>
              <w:rPr>
                <w:rFonts w:ascii="Arial" w:cs="Arial" w:eastAsia="Arial" w:hAnsi="Arial"/>
                <w:sz w:val="16"/>
                <w:szCs w:val="16"/>
                <w:color w:val="auto"/>
              </w:rPr>
              <w:t>n.m. = not meaningful</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37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Automotive and Other Cost of Sales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60" w:type="dxa"/>
            <w:vAlign w:val="bottom"/>
            <w:gridSpan w:val="4"/>
            <w:vMerge w:val="restart"/>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4"/>
              </w:rPr>
              <w:t>Favorable/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6"/>
                <w:szCs w:val="6"/>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2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6"/>
                <w:szCs w:val="6"/>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w w:val="96"/>
              </w:rPr>
              <w:t>(Dollars in billions)</w:t>
            </w:r>
          </w:p>
        </w:tc>
        <w:tc>
          <w:tcPr>
            <w:tcW w:w="2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22,553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2,418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040" w:type="dxa"/>
            <w:vAlign w:val="bottom"/>
          </w:tcPr>
          <w:p>
            <w:pPr>
              <w:ind w:left="40"/>
              <w:spacing w:after="0"/>
              <w:rPr>
                <w:sz w:val="20"/>
                <w:szCs w:val="20"/>
                <w:color w:val="auto"/>
              </w:rPr>
            </w:pPr>
            <w:r>
              <w:rPr>
                <w:rFonts w:ascii="Arial" w:cs="Arial" w:eastAsia="Arial" w:hAnsi="Arial"/>
                <w:sz w:val="16"/>
                <w:szCs w:val="16"/>
                <w:color w:val="auto"/>
              </w:rPr>
              <w:t>GMI</w:t>
            </w:r>
          </w:p>
        </w:tc>
        <w:tc>
          <w:tcPr>
            <w:tcW w:w="20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3,883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3,029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(28.2)%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0.5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
              <w:spacing w:after="0"/>
              <w:rPr>
                <w:sz w:val="20"/>
                <w:szCs w:val="20"/>
                <w:color w:val="auto"/>
              </w:rPr>
            </w:pPr>
            <w:r>
              <w:rPr>
                <w:rFonts w:ascii="Arial" w:cs="Arial" w:eastAsia="Arial" w:hAnsi="Arial"/>
                <w:sz w:val="16"/>
                <w:szCs w:val="16"/>
                <w:color w:val="auto"/>
              </w:rPr>
              <w:t>(0.3)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ind w:left="360"/>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040" w:type="dxa"/>
            <w:vAlign w:val="bottom"/>
          </w:tcPr>
          <w:p>
            <w:pPr>
              <w:ind w:left="40"/>
              <w:spacing w:after="0"/>
              <w:rPr>
                <w:sz w:val="20"/>
                <w:szCs w:val="20"/>
                <w:color w:val="auto"/>
              </w:rPr>
            </w:pPr>
            <w:r>
              <w:rPr>
                <w:rFonts w:ascii="Arial" w:cs="Arial" w:eastAsia="Arial" w:hAnsi="Arial"/>
                <w:sz w:val="16"/>
                <w:szCs w:val="16"/>
                <w:color w:val="auto"/>
              </w:rPr>
              <w:t>Cruise</w:t>
            </w:r>
          </w:p>
        </w:tc>
        <w:tc>
          <w:tcPr>
            <w:tcW w:w="20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6.2 %</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gridSpan w:val="2"/>
            <w:shd w:val="clear" w:color="auto" w:fill="CCEEFF"/>
          </w:tcPr>
          <w:p>
            <w:pPr>
              <w:ind w:left="360"/>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40" w:type="dxa"/>
            <w:vAlign w:val="bottom"/>
          </w:tcPr>
          <w:p>
            <w:pPr>
              <w:ind w:left="40"/>
              <w:spacing w:after="0"/>
              <w:rPr>
                <w:sz w:val="20"/>
                <w:szCs w:val="20"/>
                <w:color w:val="auto"/>
              </w:rPr>
            </w:pPr>
            <w:r>
              <w:rPr>
                <w:rFonts w:ascii="Arial" w:cs="Arial" w:eastAsia="Arial" w:hAnsi="Arial"/>
                <w:sz w:val="16"/>
                <w:szCs w:val="16"/>
                <w:color w:val="auto"/>
              </w:rPr>
              <w:t>Total automotive and other</w:t>
            </w: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26,726</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28,229</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1,503</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20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5.3 %</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2.4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
              <w:spacing w:after="0"/>
              <w:rPr>
                <w:sz w:val="20"/>
                <w:szCs w:val="20"/>
                <w:color w:val="auto"/>
              </w:rPr>
            </w:pPr>
            <w:r>
              <w:rPr>
                <w:rFonts w:ascii="Arial" w:cs="Arial" w:eastAsia="Arial" w:hAnsi="Arial"/>
                <w:sz w:val="16"/>
                <w:szCs w:val="16"/>
                <w:color w:val="auto"/>
              </w:rPr>
              <w:t>(0.8)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47"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color w:val="auto"/>
        </w:rPr>
        <w:t>In the three months ended March 31, 2020, unfavorable Cost was primarily due to: (1) a benefit of $0.9 billion related to the retrospective recoveries of indirect taxes in Brazil in 2019; and (2) charges of $0.4 billion primarily in asset impairments and dealer restructuring charges in Australia, New Zealand, and Thailand; partially offset by (3) charges of $0.8 billion primarily related to accelerated depreciation resulting from the transformation activities in 2019; and (4) favorable cost of $0.2 billion primarily related to cost savings associated with transformation activities. In the three months ended March 31, 2020 favorable Other was due to the foreign currency effect resulting from the weakening of the Brazilian Real and other currencies against the U.S. Dollar.</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and other selling, general and administrative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Favorable/</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6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66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w w:val="92"/>
              </w:rPr>
              <w:t>March 31, 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w w:val="92"/>
              </w:rPr>
              <w:t>March 31, 2019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0"/>
              </w:rPr>
              <w:t>(Unfavorable)</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Automotive and other selling, general and administrative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1,970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2,099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
        </w:trPr>
        <w:tc>
          <w:tcPr>
            <w:tcW w:w="6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In the three months ended March 31, 2020, Automotive and other selling, general and administrative expense decreased primarily due to decreased advertising and other costs of $0.1 billion primarily related to cost savings associated with transformation activities.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Favorable/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6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88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4"/>
        </w:trPr>
        <w:tc>
          <w:tcPr>
            <w:tcW w:w="65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92"/>
              </w:rPr>
              <w:t>March 31, 2020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w w:val="92"/>
              </w:rPr>
              <w:t>March 31, 2019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8"/>
              </w:rPr>
              <w:t>(Unfavorable)</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805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7"/>
        </w:trPr>
        <w:tc>
          <w:tcPr>
            <w:tcW w:w="6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the three months ended March 31, 2020, Interest income and other non-operating income, net decreased primarily due to losses related to PSA warrants and lower gains in our investment in Lyft of $0.8 billion, partially offset by several other insignificant items.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gains (losses) related to our investment in Lyft and PSA warrants: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7"/>
          </w:tcPr>
          <w:p>
            <w:pPr>
              <w:jc w:val="right"/>
              <w:ind w:right="317"/>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9"/>
              </w:rPr>
              <w:t>Favorable/</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6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2020</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3"/>
                <w:szCs w:val="13"/>
                <w:b w:val="1"/>
                <w:bCs w:val="1"/>
                <w:color w:val="auto"/>
              </w:rPr>
              <w:t>March 31, 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Gains related to Lyft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1040" w:type="dxa"/>
            <w:vAlign w:val="bottom"/>
            <w:tcBorders>
              <w:bottom w:val="single" w:sz="8" w:color="CCEEFF"/>
            </w:tcBorders>
            <w:gridSpan w:val="3"/>
            <w:shd w:val="clear" w:color="auto" w:fill="CCEEFF"/>
          </w:tcPr>
          <w:p>
            <w:pPr>
              <w:jc w:val="right"/>
              <w:ind w:right="717"/>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Gains (losses) related to PSA warrants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color w:val="auto"/>
                <w:w w:val="90"/>
              </w:rPr>
              <w:t>(417)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(556)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 on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0"/>
              </w:rPr>
              <w:t>(411)</w:t>
            </w:r>
          </w:p>
        </w:tc>
        <w:tc>
          <w:tcPr>
            <w:tcW w:w="1040" w:type="dxa"/>
            <w:vAlign w:val="bottom"/>
            <w:gridSpan w:val="3"/>
            <w:shd w:val="clear" w:color="auto" w:fill="CCEEFF"/>
          </w:tcPr>
          <w:p>
            <w:pPr>
              <w:jc w:val="right"/>
              <w:ind w:right="717"/>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i w:val="1"/>
                <w:iCs w:val="1"/>
                <w:color w:val="auto"/>
              </w:rPr>
              <w:t>Income Tax Expense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6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right"/>
              <w:ind w:right="657"/>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24"/>
                <w:szCs w:val="24"/>
                <w:color w:val="auto"/>
              </w:rPr>
            </w:pPr>
          </w:p>
        </w:tc>
        <w:tc>
          <w:tcPr>
            <w:tcW w:w="960" w:type="dxa"/>
            <w:vAlign w:val="bottom"/>
            <w:gridSpan w:val="4"/>
            <w:vMerge w:val="restart"/>
          </w:tcPr>
          <w:p>
            <w:pPr>
              <w:jc w:val="right"/>
              <w:ind w:right="160"/>
              <w:spacing w:after="0"/>
              <w:rPr>
                <w:sz w:val="20"/>
                <w:szCs w:val="20"/>
                <w:color w:val="auto"/>
              </w:rPr>
            </w:pPr>
            <w:r>
              <w:rPr>
                <w:rFonts w:ascii="Arial" w:cs="Arial" w:eastAsia="Arial" w:hAnsi="Arial"/>
                <w:sz w:val="13"/>
                <w:szCs w:val="13"/>
                <w:b w:val="1"/>
                <w:bCs w:val="1"/>
                <w:color w:val="auto"/>
              </w:rPr>
              <w:t>Favorable/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6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40" w:type="dxa"/>
            <w:vAlign w:val="bottom"/>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64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92"/>
              </w:rPr>
              <w:t>March 31, 2020</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3"/>
                <w:szCs w:val="13"/>
                <w:b w:val="1"/>
                <w:bCs w:val="1"/>
                <w:color w:val="auto"/>
                <w:w w:val="88"/>
              </w:rPr>
              <w:t>March 31, 2019</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rPr>
              <w:t>(Unfavorable)</w:t>
            </w:r>
          </w:p>
        </w:tc>
        <w:tc>
          <w:tcPr>
            <w:tcW w:w="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6"/>
                <w:szCs w:val="16"/>
                <w:color w:val="auto"/>
              </w:rPr>
              <w:t>137</w:t>
            </w:r>
          </w:p>
        </w:tc>
        <w:tc>
          <w:tcPr>
            <w:tcW w:w="680" w:type="dxa"/>
            <w:vAlign w:val="bottom"/>
            <w:tcBorders>
              <w:bottom w:val="single" w:sz="8" w:color="CCEEFF"/>
            </w:tcBorders>
            <w:gridSpan w:val="2"/>
            <w:shd w:val="clear" w:color="auto" w:fill="CCEEFF"/>
          </w:tcPr>
          <w:p>
            <w:pPr>
              <w:jc w:val="right"/>
              <w:ind w:right="397"/>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0"/>
              </w:rPr>
              <w:t>(220)</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________</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20" w:type="dxa"/>
            <w:vAlign w:val="bottom"/>
            <w:gridSpan w:val="2"/>
          </w:tcPr>
          <w:p>
            <w:pPr>
              <w:spacing w:after="0"/>
              <w:rPr>
                <w:sz w:val="20"/>
                <w:szCs w:val="20"/>
                <w:color w:val="auto"/>
              </w:rPr>
            </w:pPr>
            <w:r>
              <w:rPr>
                <w:rFonts w:ascii="Arial" w:cs="Arial" w:eastAsia="Arial" w:hAnsi="Arial"/>
                <w:sz w:val="16"/>
                <w:szCs w:val="16"/>
                <w:color w:val="auto"/>
              </w:rPr>
              <w:t>n.m. = not meaningful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March 31, 2020, Income tax expense increased primarily due to the establishment of a valuation allowance and the absence of 2019 U.S. tax benefits from foreign activity.</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For the three months ended March 31, 2020, our ETR-adjusted was 17.1%. Adjusted effective tax rate guidance for the year ending December 31, 2020 is not provided due to uncertainty around the business impact of the COVID-19 pandemic.</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16 to our condensed consolidated financial statements for additional information related to Income tax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388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auto"/>
        </w:rPr>
        <w:t>Three Months Ended</w:t>
      </w:r>
    </w:p>
    <w:tbl>
      <w:tblPr>
        <w:tblLayout w:type="fixed"/>
        <w:tblInd w:w="40" w:type="dxa"/>
        <w:tblCellMar>
          <w:top w:w="0" w:type="dxa"/>
          <w:left w:w="0" w:type="dxa"/>
          <w:bottom w:w="0" w:type="dxa"/>
          <w:right w:w="0" w:type="dxa"/>
        </w:tblCellMar>
      </w:tblPr>
      <w:tr>
        <w:trPr>
          <w:trHeight w:val="47"/>
        </w:trPr>
        <w:tc>
          <w:tcPr>
            <w:tcW w:w="23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restart"/>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Favorable /</w:t>
            </w: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8"/>
              </w:rPr>
              <w:t>March 31, 2020</w:t>
            </w:r>
          </w:p>
        </w:tc>
        <w:tc>
          <w:tcPr>
            <w:tcW w:w="260" w:type="dxa"/>
            <w:vAlign w:val="bottom"/>
          </w:tcPr>
          <w:p>
            <w:pPr>
              <w:spacing w:after="0"/>
              <w:rPr>
                <w:sz w:val="5"/>
                <w:szCs w:val="5"/>
                <w:color w:val="auto"/>
              </w:rPr>
            </w:pPr>
          </w:p>
        </w:tc>
        <w:tc>
          <w:tcPr>
            <w:tcW w:w="12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8"/>
              </w:rPr>
              <w:t>March 31, 2019</w:t>
            </w: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2380" w:type="dxa"/>
            <w:vAlign w:val="bottom"/>
          </w:tcPr>
          <w:p>
            <w:pPr>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25,831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27,365</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EBIT-adjusted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2,194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1,896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EBIT-adjusted margin</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(Vehicles in thousands)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380" w:type="dxa"/>
            <w:vAlign w:val="bottom"/>
          </w:tcPr>
          <w:p>
            <w:pPr>
              <w:spacing w:after="0"/>
              <w:rPr>
                <w:sz w:val="20"/>
                <w:szCs w:val="20"/>
                <w:color w:val="auto"/>
              </w:rPr>
            </w:pPr>
            <w:r>
              <w:rPr>
                <w:rFonts w:ascii="Arial" w:cs="Arial" w:eastAsia="Arial" w:hAnsi="Arial"/>
                <w:sz w:val="18"/>
                <w:szCs w:val="18"/>
                <w:color w:val="auto"/>
              </w:rPr>
              <w:t>Wholesale vehicle sales</w:t>
            </w:r>
          </w:p>
        </w:tc>
        <w:tc>
          <w:tcPr>
            <w:tcW w:w="160" w:type="dxa"/>
            <w:vAlign w:val="bottom"/>
          </w:tcPr>
          <w:p>
            <w:pPr>
              <w:spacing w:after="0"/>
              <w:rPr>
                <w:sz w:val="22"/>
                <w:szCs w:val="22"/>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775</w:t>
            </w:r>
          </w:p>
        </w:tc>
        <w:tc>
          <w:tcPr>
            <w:tcW w:w="260" w:type="dxa"/>
            <w:vAlign w:val="bottom"/>
          </w:tcPr>
          <w:p>
            <w:pPr>
              <w:spacing w:after="0"/>
              <w:rPr>
                <w:sz w:val="22"/>
                <w:szCs w:val="22"/>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859</w:t>
            </w:r>
          </w:p>
        </w:tc>
        <w:tc>
          <w:tcPr>
            <w:tcW w:w="280" w:type="dxa"/>
            <w:vAlign w:val="bottom"/>
          </w:tcPr>
          <w:p>
            <w:pPr>
              <w:spacing w:after="0"/>
              <w:rPr>
                <w:sz w:val="22"/>
                <w:szCs w:val="22"/>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Variance Due To</w:t>
      </w:r>
    </w:p>
    <w:p>
      <w:pPr>
        <w:spacing w:after="0" w:line="123" w:lineRule="exact"/>
        <w:rPr>
          <w:sz w:val="20"/>
          <w:szCs w:val="20"/>
          <w:color w:val="auto"/>
        </w:rPr>
      </w:pPr>
    </w:p>
    <w:p>
      <w:pPr>
        <w:ind w:left="80"/>
        <w:spacing w:after="0"/>
        <w:tabs>
          <w:tab w:leader="none" w:pos="900" w:val="left"/>
          <w:tab w:leader="none" w:pos="1520" w:val="left"/>
          <w:tab w:leader="none" w:pos="2200" w:val="left"/>
          <w:tab w:leader="none" w:pos="2820" w:val="left"/>
        </w:tabs>
        <w:rPr>
          <w:sz w:val="20"/>
          <w:szCs w:val="20"/>
          <w:color w:val="auto"/>
        </w:rPr>
      </w:pPr>
      <w:r>
        <w:rPr>
          <w:rFonts w:ascii="Arial" w:cs="Arial" w:eastAsia="Arial" w:hAnsi="Arial"/>
          <w:sz w:val="14"/>
          <w:szCs w:val="14"/>
          <w:b w:val="1"/>
          <w:bCs w:val="1"/>
          <w:color w:val="auto"/>
        </w:rPr>
        <w:t>Volume</w:t>
      </w:r>
      <w:r>
        <w:rPr>
          <w:sz w:val="20"/>
          <w:szCs w:val="20"/>
          <w:color w:val="auto"/>
        </w:rPr>
        <w:tab/>
      </w:r>
      <w:r>
        <w:rPr>
          <w:rFonts w:ascii="Arial" w:cs="Arial" w:eastAsia="Arial" w:hAnsi="Arial"/>
          <w:sz w:val="14"/>
          <w:szCs w:val="14"/>
          <w:b w:val="1"/>
          <w:bCs w:val="1"/>
          <w:color w:val="auto"/>
        </w:rPr>
        <w:t>Mix</w:t>
      </w:r>
      <w:r>
        <w:rPr>
          <w:sz w:val="20"/>
          <w:szCs w:val="20"/>
          <w:color w:val="auto"/>
        </w:rPr>
        <w:tab/>
      </w:r>
      <w:r>
        <w:rPr>
          <w:rFonts w:ascii="Arial" w:cs="Arial" w:eastAsia="Arial" w:hAnsi="Arial"/>
          <w:sz w:val="14"/>
          <w:szCs w:val="14"/>
          <w:b w:val="1"/>
          <w:bCs w:val="1"/>
          <w:color w:val="auto"/>
        </w:rPr>
        <w:t>Price</w:t>
      </w:r>
      <w:r>
        <w:rPr>
          <w:sz w:val="20"/>
          <w:szCs w:val="20"/>
          <w:color w:val="auto"/>
        </w:rPr>
        <w:tab/>
      </w:r>
      <w:r>
        <w:rPr>
          <w:rFonts w:ascii="Arial" w:cs="Arial" w:eastAsia="Arial" w:hAnsi="Arial"/>
          <w:sz w:val="14"/>
          <w:szCs w:val="14"/>
          <w:b w:val="1"/>
          <w:bCs w:val="1"/>
          <w:color w:val="auto"/>
        </w:rPr>
        <w:t>Cost</w:t>
      </w:r>
      <w:r>
        <w:rPr>
          <w:sz w:val="20"/>
          <w:szCs w:val="20"/>
          <w:color w:val="auto"/>
        </w:rPr>
        <w:tab/>
      </w:r>
      <w:r>
        <w:rPr>
          <w:rFonts w:ascii="Arial" w:cs="Arial" w:eastAsia="Arial" w:hAnsi="Arial"/>
          <w:sz w:val="13"/>
          <w:szCs w:val="13"/>
          <w:b w:val="1"/>
          <w:bCs w:val="1"/>
          <w:color w:val="auto"/>
        </w:rPr>
        <w:t>Other</w:t>
      </w:r>
    </w:p>
    <w:p>
      <w:pPr>
        <w:spacing w:after="0" w:line="123"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(Dollars in billions)</w:t>
      </w:r>
    </w:p>
    <w:p>
      <w:pPr>
        <w:spacing w:after="0" w:line="50" w:lineRule="exact"/>
        <w:rPr>
          <w:sz w:val="20"/>
          <w:szCs w:val="20"/>
          <w:color w:val="auto"/>
        </w:rPr>
      </w:pPr>
    </w:p>
    <w:p>
      <w:pPr>
        <w:spacing w:after="0"/>
        <w:tabs>
          <w:tab w:leader="none" w:pos="240" w:val="left"/>
          <w:tab w:leader="none" w:pos="760" w:val="left"/>
          <w:tab w:leader="none" w:pos="1440" w:val="left"/>
          <w:tab w:leader="none" w:pos="2760" w:val="left"/>
          <w:tab w:leader="none" w:pos="3000" w:val="left"/>
        </w:tabs>
        <w:rPr>
          <w:sz w:val="20"/>
          <w:szCs w:val="20"/>
          <w:color w:val="auto"/>
        </w:rPr>
      </w:pPr>
      <w:r>
        <w:rPr>
          <w:rFonts w:ascii="Arial" w:cs="Arial" w:eastAsia="Arial" w:hAnsi="Arial"/>
          <w:sz w:val="18"/>
          <w:szCs w:val="18"/>
          <w:color w:val="auto"/>
        </w:rPr>
        <w:t>$</w:t>
        <w:tab/>
        <w:t>(2.4)</w:t>
        <w:tab/>
        <w:t>$ 0.8</w:t>
        <w:tab/>
        <w:t>$ 0.1</w:t>
      </w:r>
      <w:r>
        <w:rPr>
          <w:sz w:val="20"/>
          <w:szCs w:val="20"/>
          <w:color w:val="auto"/>
        </w:rPr>
        <w:tab/>
      </w:r>
      <w:r>
        <w:rPr>
          <w:rFonts w:ascii="Arial" w:cs="Arial" w:eastAsia="Arial" w:hAnsi="Arial"/>
          <w:sz w:val="18"/>
          <w:szCs w:val="18"/>
          <w:color w:val="auto"/>
        </w:rPr>
        <w:t>$</w:t>
        <w:tab/>
        <w:t>—</w:t>
      </w:r>
    </w:p>
    <w:p>
      <w:pPr>
        <w:spacing w:after="0" w:line="63" w:lineRule="exact"/>
        <w:rPr>
          <w:sz w:val="20"/>
          <w:szCs w:val="20"/>
          <w:color w:val="auto"/>
        </w:rPr>
      </w:pPr>
    </w:p>
    <w:p>
      <w:pPr>
        <w:spacing w:after="0"/>
        <w:tabs>
          <w:tab w:leader="none" w:pos="240" w:val="left"/>
          <w:tab w:leader="none" w:pos="760" w:val="left"/>
          <w:tab w:leader="none" w:pos="1440" w:val="left"/>
          <w:tab w:leader="none" w:pos="2100" w:val="left"/>
          <w:tab w:leader="none" w:pos="2760" w:val="left"/>
          <w:tab w:leader="none" w:pos="3000" w:val="left"/>
        </w:tabs>
        <w:rPr>
          <w:sz w:val="20"/>
          <w:szCs w:val="20"/>
          <w:color w:val="auto"/>
        </w:rPr>
      </w:pPr>
      <w:r>
        <w:rPr>
          <w:rFonts w:ascii="Arial" w:cs="Arial" w:eastAsia="Arial" w:hAnsi="Arial"/>
          <w:sz w:val="18"/>
          <w:szCs w:val="18"/>
          <w:color w:val="auto"/>
        </w:rPr>
        <w:t>$</w:t>
        <w:tab/>
        <w:t>(0.6)</w:t>
        <w:tab/>
        <w:t>$ 0.3</w:t>
        <w:tab/>
        <w:t>$ 0.1</w:t>
        <w:tab/>
        <w:t>$ 0.6</w:t>
        <w:tab/>
        <w:t>$</w:t>
        <w:tab/>
        <w:t>—</w:t>
      </w:r>
    </w:p>
    <w:p>
      <w:pPr>
        <w:spacing w:after="0" w:line="1033" w:lineRule="exact"/>
        <w:rPr>
          <w:sz w:val="20"/>
          <w:szCs w:val="20"/>
          <w:color w:val="auto"/>
        </w:rPr>
      </w:pPr>
    </w:p>
    <w:p>
      <w:pPr>
        <w:sectPr>
          <w:pgSz w:w="11900" w:h="16838" w:orient="portrait"/>
          <w:cols w:equalWidth="0" w:num="2">
            <w:col w:w="7680" w:space="260"/>
            <w:col w:w="3300"/>
          </w:cols>
          <w:pgMar w:left="320" w:top="125" w:right="339" w:bottom="1440" w:gutter="0" w:footer="0" w:header="0"/>
          <w:type w:val="continuous"/>
        </w:sectPr>
      </w:pPr>
    </w:p>
    <w:p>
      <w:pPr>
        <w:spacing w:after="0" w:line="6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GMNA Total Net Sales and Revenue </w:t>
      </w:r>
      <w:r>
        <w:rPr>
          <w:rFonts w:ascii="Arial" w:cs="Arial" w:eastAsia="Arial" w:hAnsi="Arial"/>
          <w:sz w:val="18"/>
          <w:szCs w:val="18"/>
          <w:color w:val="auto"/>
        </w:rPr>
        <w:t>In the three months ended March 31, 2020, Total net sales and revenue decreased primarily due to: (1)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wholesale volumes across most vehicle lines as a result of suspending production due to the COVID-19 pandemic partially offset by increased sales of full-size SUVs and pickup trucks due to downtime in 2019; partially offset by (2) favorable mix associated with decreased sales of crossover vehicles and passenger cars and increased sales of full-size SUVs and pickup trucks.</w:t>
      </w:r>
    </w:p>
    <w:p>
      <w:pPr>
        <w:spacing w:after="0" w:line="187"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b w:val="1"/>
          <w:bCs w:val="1"/>
          <w:i w:val="1"/>
          <w:iCs w:val="1"/>
          <w:color w:val="auto"/>
        </w:rPr>
        <w:t xml:space="preserve">GMNA EBIT-Adjusted </w:t>
      </w:r>
      <w:r>
        <w:rPr>
          <w:rFonts w:ascii="Arial" w:cs="Arial" w:eastAsia="Arial" w:hAnsi="Arial"/>
          <w:sz w:val="16"/>
          <w:szCs w:val="16"/>
          <w:color w:val="auto"/>
        </w:rPr>
        <w:t>In the three months ended March 31, 2020, EBIT-adjusted increased primarily due to: (1) favorable Cost due to decreased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advertising, manufacturing and administrative costs of $0.3 billion as a result of transformation activities, increased non-service pension income of $0.1 billion and favorable material performance of $0.1 billion; and (2) favorable mix; partially offset by (3) decreased net wholesale volumes.</w:t>
      </w:r>
    </w:p>
    <w:p>
      <w:pPr>
        <w:sectPr>
          <w:pgSz w:w="11900" w:h="16838" w:orient="portrait"/>
          <w:cols w:equalWidth="0" w:num="1">
            <w:col w:w="11240"/>
          </w:cols>
          <w:pgMar w:left="320" w:top="125" w:right="339" w:bottom="1440" w:gutter="0" w:footer="0" w:header="0"/>
          <w:type w:val="continuous"/>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2143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14312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47"/>
        </w:trPr>
        <w:tc>
          <w:tcPr>
            <w:tcW w:w="24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vMerge w:val="restart"/>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Favorable /</w:t>
            </w: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5"/>
                <w:szCs w:val="5"/>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March 31, 2019</w:t>
            </w: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8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(Unfavorable)</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240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rPr>
              <w:t>3,280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3,850</w:t>
            </w: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0"/>
        </w:trPr>
        <w:tc>
          <w:tcPr>
            <w:tcW w:w="240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(551)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3"/>
                <w:szCs w:val="23"/>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2400" w:type="dxa"/>
            <w:vAlign w:val="bottom"/>
          </w:tcPr>
          <w:p>
            <w:pPr>
              <w:ind w:left="40"/>
              <w:spacing w:after="0"/>
              <w:rPr>
                <w:sz w:val="20"/>
                <w:szCs w:val="20"/>
                <w:color w:val="auto"/>
              </w:rPr>
            </w:pPr>
            <w:r>
              <w:rPr>
                <w:rFonts w:ascii="Arial" w:cs="Arial" w:eastAsia="Arial" w:hAnsi="Arial"/>
                <w:sz w:val="18"/>
                <w:szCs w:val="18"/>
                <w:color w:val="auto"/>
              </w:rPr>
              <w:t>EBIT (loss)-adjusted margin</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400" w:type="dxa"/>
            <w:vAlign w:val="bottom"/>
          </w:tcPr>
          <w:p>
            <w:pPr>
              <w:ind w:left="40"/>
              <w:spacing w:after="0"/>
              <w:rPr>
                <w:sz w:val="20"/>
                <w:szCs w:val="20"/>
                <w:color w:val="auto"/>
              </w:rPr>
            </w:pPr>
            <w:r>
              <w:rPr>
                <w:rFonts w:ascii="Arial" w:cs="Arial" w:eastAsia="Arial" w:hAnsi="Arial"/>
                <w:sz w:val="18"/>
                <w:szCs w:val="18"/>
                <w:i w:val="1"/>
                <w:iCs w:val="1"/>
                <w:color w:val="auto"/>
              </w:rPr>
              <w:t>Equity income (loss) —</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0"/>
              <w:spacing w:after="0"/>
              <w:rPr>
                <w:sz w:val="20"/>
                <w:szCs w:val="20"/>
                <w:color w:val="auto"/>
              </w:rPr>
            </w:pPr>
            <w:r>
              <w:rPr>
                <w:rFonts w:ascii="Arial" w:cs="Arial" w:eastAsia="Arial" w:hAnsi="Arial"/>
                <w:sz w:val="18"/>
                <w:szCs w:val="18"/>
                <w:i w:val="1"/>
                <w:iCs w:val="1"/>
                <w:color w:val="auto"/>
              </w:rPr>
              <w:t>Automotive China</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i w:val="1"/>
                <w:iCs w:val="1"/>
                <w:color w:val="auto"/>
              </w:rPr>
              <w:t>(167)</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200" w:type="dxa"/>
            <w:vAlign w:val="bottom"/>
          </w:tcPr>
          <w:p>
            <w:pPr>
              <w:jc w:val="right"/>
              <w:ind w:right="93"/>
              <w:spacing w:after="0"/>
              <w:rPr>
                <w:sz w:val="20"/>
                <w:szCs w:val="20"/>
                <w:color w:val="auto"/>
              </w:rPr>
            </w:pPr>
            <w:r>
              <w:rPr>
                <w:rFonts w:ascii="Arial" w:cs="Arial" w:eastAsia="Arial" w:hAnsi="Arial"/>
                <w:sz w:val="18"/>
                <w:szCs w:val="18"/>
                <w:i w:val="1"/>
                <w:iCs w:val="1"/>
                <w:color w:val="auto"/>
              </w:rPr>
              <w:t>376</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60" w:type="dxa"/>
            <w:vAlign w:val="bottom"/>
          </w:tcPr>
          <w:p>
            <w:pPr>
              <w:jc w:val="right"/>
              <w:ind w:right="95"/>
              <w:spacing w:after="0"/>
              <w:rPr>
                <w:sz w:val="20"/>
                <w:szCs w:val="20"/>
                <w:color w:val="auto"/>
              </w:rPr>
            </w:pPr>
            <w:r>
              <w:rPr>
                <w:rFonts w:ascii="Arial" w:cs="Arial" w:eastAsia="Arial" w:hAnsi="Arial"/>
                <w:sz w:val="18"/>
                <w:szCs w:val="18"/>
                <w:i w:val="1"/>
                <w:iCs w:val="1"/>
                <w:color w:val="auto"/>
              </w:rPr>
              <w:t>(543)</w:t>
            </w:r>
          </w:p>
        </w:tc>
        <w:tc>
          <w:tcPr>
            <w:tcW w:w="120" w:type="dxa"/>
            <w:vAlign w:val="bottom"/>
          </w:tcPr>
          <w:p>
            <w:pPr>
              <w:spacing w:after="0"/>
              <w:rPr>
                <w:sz w:val="20"/>
                <w:szCs w:val="20"/>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56"/>
        </w:trPr>
        <w:tc>
          <w:tcPr>
            <w:tcW w:w="2400" w:type="dxa"/>
            <w:vAlign w:val="bottom"/>
          </w:tcPr>
          <w:p>
            <w:pPr>
              <w:ind w:left="40"/>
              <w:spacing w:after="0"/>
              <w:rPr>
                <w:sz w:val="20"/>
                <w:szCs w:val="20"/>
                <w:color w:val="auto"/>
              </w:rPr>
            </w:pPr>
            <w:r>
              <w:rPr>
                <w:rFonts w:ascii="Arial" w:cs="Arial" w:eastAsia="Arial" w:hAnsi="Arial"/>
                <w:sz w:val="18"/>
                <w:szCs w:val="18"/>
                <w:i w:val="1"/>
                <w:iCs w:val="1"/>
                <w:color w:val="auto"/>
              </w:rPr>
              <w:t>EBIT (loss)-adjusted —</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00"/>
              <w:spacing w:after="0"/>
              <w:rPr>
                <w:sz w:val="20"/>
                <w:szCs w:val="20"/>
                <w:color w:val="auto"/>
              </w:rPr>
            </w:pPr>
            <w:r>
              <w:rPr>
                <w:rFonts w:ascii="Arial" w:cs="Arial" w:eastAsia="Arial" w:hAnsi="Arial"/>
                <w:sz w:val="18"/>
                <w:szCs w:val="18"/>
                <w:i w:val="1"/>
                <w:iCs w:val="1"/>
                <w:color w:val="auto"/>
              </w:rPr>
              <w:t>excluding Equity income</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0"/>
              <w:spacing w:after="0"/>
              <w:rPr>
                <w:sz w:val="20"/>
                <w:szCs w:val="20"/>
                <w:color w:val="auto"/>
              </w:rPr>
            </w:pPr>
            <w:r>
              <w:rPr>
                <w:rFonts w:ascii="Arial" w:cs="Arial" w:eastAsia="Arial" w:hAnsi="Arial"/>
                <w:sz w:val="18"/>
                <w:szCs w:val="18"/>
                <w:i w:val="1"/>
                <w:iCs w:val="1"/>
                <w:color w:val="auto"/>
              </w:rPr>
              <w:t>(loss)</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i w:val="1"/>
                <w:iCs w:val="1"/>
                <w:color w:val="auto"/>
              </w:rPr>
              <w:t>(384)</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i w:val="1"/>
                <w:iCs w:val="1"/>
                <w:color w:val="auto"/>
              </w:rPr>
              <w:t>(345)</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60" w:type="dxa"/>
            <w:vAlign w:val="bottom"/>
          </w:tcPr>
          <w:p>
            <w:pPr>
              <w:jc w:val="right"/>
              <w:ind w:right="95"/>
              <w:spacing w:after="0"/>
              <w:rPr>
                <w:sz w:val="20"/>
                <w:szCs w:val="20"/>
                <w:color w:val="auto"/>
              </w:rPr>
            </w:pPr>
            <w:r>
              <w:rPr>
                <w:rFonts w:ascii="Arial" w:cs="Arial" w:eastAsia="Arial" w:hAnsi="Arial"/>
                <w:sz w:val="18"/>
                <w:szCs w:val="18"/>
                <w:i w:val="1"/>
                <w:iCs w:val="1"/>
                <w:color w:val="auto"/>
              </w:rPr>
              <w:t>(39)</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(11.3)%</w:t>
            </w:r>
          </w:p>
        </w:tc>
        <w:tc>
          <w:tcPr>
            <w:tcW w:w="0" w:type="dxa"/>
            <w:vAlign w:val="bottom"/>
          </w:tcPr>
          <w:p>
            <w:pPr>
              <w:spacing w:after="0"/>
              <w:rPr>
                <w:sz w:val="1"/>
                <w:szCs w:val="1"/>
                <w:color w:val="auto"/>
              </w:rPr>
            </w:pPr>
          </w:p>
        </w:tc>
      </w:tr>
      <w:tr>
        <w:trPr>
          <w:trHeight w:val="285"/>
        </w:trPr>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(Vehicles in thousands)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40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160" w:type="dxa"/>
            <w:vAlign w:val="bottom"/>
          </w:tcPr>
          <w:p>
            <w:pPr>
              <w:spacing w:after="0"/>
              <w:rPr>
                <w:sz w:val="22"/>
                <w:szCs w:val="22"/>
                <w:color w:val="auto"/>
              </w:rPr>
            </w:pP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22"/>
                <w:szCs w:val="22"/>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20"/>
                <w:szCs w:val="20"/>
                <w:color w:val="auto"/>
              </w:rPr>
            </w:pPr>
            <w:r>
              <w:rPr>
                <w:rFonts w:ascii="Arial" w:cs="Arial" w:eastAsia="Arial" w:hAnsi="Arial"/>
                <w:sz w:val="16"/>
                <w:szCs w:val="16"/>
                <w:color w:val="auto"/>
              </w:rPr>
              <w:t>__________</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00" w:type="dxa"/>
            <w:vAlign w:val="bottom"/>
          </w:tcPr>
          <w:p>
            <w:pPr>
              <w:spacing w:after="0"/>
              <w:rPr>
                <w:sz w:val="20"/>
                <w:szCs w:val="20"/>
                <w:color w:val="auto"/>
              </w:rPr>
            </w:pPr>
            <w:r>
              <w:rPr>
                <w:rFonts w:ascii="Arial" w:cs="Arial" w:eastAsia="Arial" w:hAnsi="Arial"/>
                <w:sz w:val="16"/>
                <w:szCs w:val="16"/>
                <w:color w:val="auto"/>
              </w:rPr>
              <w:t>n.m. = not meaningful</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Variance Due To</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Volume</w:t>
            </w: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Mix</w:t>
            </w: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Price</w:t>
            </w:r>
          </w:p>
        </w:tc>
        <w:tc>
          <w:tcPr>
            <w:tcW w:w="6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Cost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Other</w:t>
            </w:r>
          </w:p>
        </w:tc>
      </w:tr>
      <w:tr>
        <w:trPr>
          <w:trHeight w:val="258"/>
        </w:trPr>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billions)</w:t>
            </w: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5"/>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9"/>
              <w:spacing w:after="0"/>
              <w:rPr>
                <w:sz w:val="20"/>
                <w:szCs w:val="20"/>
                <w:color w:val="auto"/>
              </w:rPr>
            </w:pPr>
            <w:r>
              <w:rPr>
                <w:rFonts w:ascii="Arial" w:cs="Arial" w:eastAsia="Arial" w:hAnsi="Arial"/>
                <w:sz w:val="18"/>
                <w:szCs w:val="18"/>
                <w:color w:val="auto"/>
              </w:rPr>
              <w:t>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 (0.3)</w:t>
            </w:r>
          </w:p>
        </w:tc>
      </w:tr>
      <w:tr>
        <w:trPr>
          <w:trHeight w:val="270"/>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9"/>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0.1</w:t>
            </w: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 (0.7)</w:t>
            </w:r>
          </w:p>
        </w:tc>
      </w:tr>
    </w:tbl>
    <w:p>
      <w:pPr>
        <w:spacing w:after="0" w:line="2610" w:lineRule="exact"/>
        <w:rPr>
          <w:sz w:val="20"/>
          <w:szCs w:val="20"/>
          <w:color w:val="auto"/>
        </w:rPr>
      </w:pPr>
    </w:p>
    <w:p>
      <w:pPr>
        <w:sectPr>
          <w:pgSz w:w="11900" w:h="16838" w:orient="portrait"/>
          <w:cols w:equalWidth="0" w:num="2">
            <w:col w:w="7680" w:space="240"/>
            <w:col w:w="3320"/>
          </w:cols>
          <w:pgMar w:left="320" w:top="125" w:right="339" w:bottom="1440" w:gutter="0" w:footer="0" w:header="0"/>
          <w:type w:val="continuous"/>
        </w:sectPr>
      </w:pPr>
    </w:p>
    <w:p>
      <w:pPr>
        <w:spacing w:after="0" w:line="3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(loss), which is included in EBIT (loss)-adjusted above.</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GMI Total Net Sales and Revenue </w:t>
      </w:r>
      <w:r>
        <w:rPr>
          <w:rFonts w:ascii="Arial" w:cs="Arial" w:eastAsia="Arial" w:hAnsi="Arial"/>
          <w:sz w:val="18"/>
          <w:szCs w:val="18"/>
          <w:color w:val="auto"/>
        </w:rPr>
        <w:t>In the three months ended March 31, 2020, Total net sales and revenue decreased primarily due to: (1)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primarily due to lower industry volumes and the COVID-19 pandemic primarily in Asia/Pacific and Ecuador; and (2) unfavorable Other primarily due to the foreign currency effect resulting from the weakening of the Brazilian Real and Argentine Peso against the U.S. Dollar, partially offset by (3) favorable mix in Brazil, Asia/Pacific and the Middle East.</w:t>
      </w:r>
    </w:p>
    <w:p>
      <w:pPr>
        <w:spacing w:after="0" w:line="18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GMI EBIT (Loss)-Adjusted </w:t>
      </w:r>
      <w:r>
        <w:rPr>
          <w:rFonts w:ascii="Arial" w:cs="Arial" w:eastAsia="Arial" w:hAnsi="Arial"/>
          <w:sz w:val="18"/>
          <w:szCs w:val="18"/>
          <w:color w:val="auto"/>
        </w:rPr>
        <w:t>In the three months ended March 31, 2020, EBIT (loss)-adjusted increased primarily due to unfavorable volume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unfavorable Other primarily due to decreased equity income and the foreign currency effect resulting from the weakening of the Brazilian Real and various other currencies against the U.S. Dollar.</w:t>
      </w:r>
    </w:p>
    <w:p>
      <w:pPr>
        <w:spacing w:after="0" w:line="18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Chevrolet and Cadillac brands. In the coming years we plan to leverage our global architectures to increase the number of product offerings under the Buick, Chevrolet and Cadillac brands in China and continue to grow our business under the local Baojun and Wuling brands, with Baojun focusing its expansion in less developed cities and markets. We operate in the Chinese market through a number of joint ventures and maintaining strong relationships with our joint venture partners is an important part of our China growth strategy.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5"/>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22"/>
                <w:szCs w:val="22"/>
                <w:color w:val="auto"/>
              </w:rPr>
            </w:pPr>
          </w:p>
        </w:tc>
        <w:tc>
          <w:tcPr>
            <w:tcW w:w="1440" w:type="dxa"/>
            <w:vAlign w:val="bottom"/>
          </w:tcPr>
          <w:p>
            <w:pPr>
              <w:jc w:val="right"/>
              <w:ind w:right="275"/>
              <w:spacing w:after="0"/>
              <w:rPr>
                <w:sz w:val="20"/>
                <w:szCs w:val="20"/>
                <w:color w:val="auto"/>
              </w:rPr>
            </w:pPr>
            <w:r>
              <w:rPr>
                <w:rFonts w:ascii="Arial" w:cs="Arial" w:eastAsia="Arial" w:hAnsi="Arial"/>
                <w:sz w:val="14"/>
                <w:szCs w:val="14"/>
                <w:b w:val="1"/>
                <w:bCs w:val="1"/>
                <w:color w:val="auto"/>
              </w:rPr>
              <w:t>March 31, 2019</w:t>
            </w:r>
          </w:p>
        </w:tc>
      </w:tr>
      <w:tr>
        <w:trPr>
          <w:trHeight w:val="249"/>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 including vehicles exported to markets outside of China</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4,321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10,146</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767</w:t>
            </w:r>
          </w:p>
        </w:tc>
      </w:tr>
      <w:tr>
        <w:trPr>
          <w:trHeight w:val="648"/>
        </w:trPr>
        <w:tc>
          <w:tcPr>
            <w:tcW w:w="7760" w:type="dxa"/>
            <w:vAlign w:val="bottom"/>
          </w:tcPr>
          <w:p>
            <w:pPr>
              <w:jc w:val="right"/>
              <w:ind w:right="195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Cruise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Favorable /</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5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vMerge w:val="restart"/>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8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7"/>
              </w:rPr>
              <w:t>(Unfavorable)</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sales and revenue(a)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EBIT (loss)-adjusted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26"/>
        </w:trPr>
        <w:tc>
          <w:tcPr>
            <w:tcW w:w="5720" w:type="dxa"/>
            <w:vAlign w:val="bottom"/>
          </w:tcPr>
          <w:p>
            <w:pPr>
              <w:jc w:val="right"/>
              <w:ind w:right="4819"/>
              <w:spacing w:after="0"/>
              <w:rPr>
                <w:sz w:val="20"/>
                <w:szCs w:val="20"/>
                <w:color w:val="auto"/>
              </w:rPr>
            </w:pPr>
            <w:r>
              <w:rPr>
                <w:rFonts w:ascii="Arial" w:cs="Arial" w:eastAsia="Arial" w:hAnsi="Arial"/>
                <w:sz w:val="16"/>
                <w:szCs w:val="16"/>
                <w:color w:val="auto"/>
                <w:w w:val="89"/>
              </w:rPr>
              <w:t>__________</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line="257"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Reclassified to Interest income and other non-operating income, net in our condensed consolidated income statements in the three months ended March 31, 2020 and 2019.</w:t>
      </w:r>
    </w:p>
    <w:p>
      <w:pPr>
        <w:spacing w:after="0" w:line="15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Cruise EBIT (Loss)-Adjusted </w:t>
      </w:r>
      <w:r>
        <w:rPr>
          <w:rFonts w:ascii="Arial" w:cs="Arial" w:eastAsia="Arial" w:hAnsi="Arial"/>
          <w:sz w:val="18"/>
          <w:szCs w:val="18"/>
          <w:color w:val="auto"/>
        </w:rPr>
        <w:t>In the three months ended March 31, 2020, EBIT (loss)-adjusted increased primarily due to increased costs as we progress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towards the commercialization of autonomous vehicles.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0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4"/>
        </w:trPr>
        <w:tc>
          <w:tcPr>
            <w:tcW w:w="55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Increase/ (Decrease)</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r>
      <w:tr>
        <w:trPr>
          <w:trHeight w:val="236"/>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3,561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3,620</w:t>
            </w:r>
          </w:p>
        </w:tc>
        <w:tc>
          <w:tcPr>
            <w:tcW w:w="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5560" w:type="dxa"/>
            <w:vAlign w:val="bottom"/>
          </w:tcPr>
          <w:p>
            <w:pPr>
              <w:ind w:left="40"/>
              <w:spacing w:after="0"/>
              <w:rPr>
                <w:sz w:val="20"/>
                <w:szCs w:val="20"/>
                <w:color w:val="auto"/>
              </w:rPr>
            </w:pPr>
            <w:r>
              <w:rPr>
                <w:rFonts w:ascii="Arial" w:cs="Arial" w:eastAsia="Arial" w:hAnsi="Arial"/>
                <w:sz w:val="16"/>
                <w:szCs w:val="16"/>
                <w:color w:val="auto"/>
              </w:rPr>
              <w:t>Provision for loan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82"/>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175</w:t>
            </w: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880" w:type="dxa"/>
            <w:vAlign w:val="bottom"/>
          </w:tcPr>
          <w:p>
            <w:pPr>
              <w:ind w:left="380"/>
              <w:spacing w:after="0"/>
              <w:rPr>
                <w:sz w:val="20"/>
                <w:szCs w:val="20"/>
                <w:color w:val="auto"/>
              </w:rPr>
            </w:pPr>
            <w:r>
              <w:rPr>
                <w:rFonts w:ascii="Arial" w:cs="Arial" w:eastAsia="Arial" w:hAnsi="Arial"/>
                <w:sz w:val="16"/>
                <w:szCs w:val="16"/>
                <w:color w:val="auto"/>
              </w:rPr>
              <w:t>n.m.</w:t>
            </w:r>
          </w:p>
        </w:tc>
      </w:tr>
      <w:tr>
        <w:trPr>
          <w:trHeight w:val="33"/>
        </w:trPr>
        <w:tc>
          <w:tcPr>
            <w:tcW w:w="5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EBT-adjusted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359</w:t>
            </w:r>
          </w:p>
        </w:tc>
        <w:tc>
          <w:tcPr>
            <w:tcW w:w="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37"/>
        </w:trPr>
        <w:tc>
          <w:tcPr>
            <w:tcW w:w="5560" w:type="dxa"/>
            <w:vAlign w:val="bottom"/>
          </w:tcPr>
          <w:p>
            <w:pPr>
              <w:ind w:left="40"/>
              <w:spacing w:after="0"/>
              <w:rPr>
                <w:sz w:val="20"/>
                <w:szCs w:val="20"/>
                <w:color w:val="auto"/>
              </w:rPr>
            </w:pPr>
            <w:r>
              <w:rPr>
                <w:rFonts w:ascii="Arial" w:cs="Arial" w:eastAsia="Arial" w:hAnsi="Arial"/>
                <w:sz w:val="16"/>
                <w:szCs w:val="16"/>
                <w:color w:val="auto"/>
              </w:rPr>
              <w:t>Average debt outstanding (dollars in billions)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82"/>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92.3</w:t>
            </w: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5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rate of interest paid</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179"/>
        </w:trPr>
        <w:tc>
          <w:tcPr>
            <w:tcW w:w="556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6"/>
        </w:trPr>
        <w:tc>
          <w:tcPr>
            <w:tcW w:w="5560" w:type="dxa"/>
            <w:vAlign w:val="bottom"/>
          </w:tcPr>
          <w:p>
            <w:pPr>
              <w:spacing w:after="0"/>
              <w:rPr>
                <w:sz w:val="20"/>
                <w:szCs w:val="20"/>
                <w:color w:val="auto"/>
              </w:rPr>
            </w:pPr>
            <w:r>
              <w:rPr>
                <w:rFonts w:ascii="Arial" w:cs="Arial" w:eastAsia="Arial" w:hAnsi="Arial"/>
                <w:sz w:val="16"/>
                <w:szCs w:val="16"/>
                <w:color w:val="auto"/>
              </w:rPr>
              <w:t>n.m. = not meaningful</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19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three months ended March 31, 2020, total revenue decreased $0.1 billion primarily due to a decrease in the leased vehicle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GM Financial EBT-Adjusted </w:t>
      </w:r>
      <w:r>
        <w:rPr>
          <w:rFonts w:ascii="Arial" w:cs="Arial" w:eastAsia="Arial" w:hAnsi="Arial"/>
          <w:sz w:val="18"/>
          <w:szCs w:val="18"/>
          <w:color w:val="auto"/>
        </w:rPr>
        <w:t>In the three months ended March 31, 2020, EBT-adjusted decreased primarily due to: (1) increased provision for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losses of $0.3 billion primarily due to an increase in expected charge-offs and a decrease in expected recoveries as a result of economic impacts from the COVID-19 pandemic, inclusive of new CECL standard impacts; partially offset by (2) a decrease of $0.1 billion in interest expense due to a lower effective rate of interest on debt resulting from falling benchmark interest rates, as well as a decrease in the average debt outstanding; and (3) increased leased vehicle income net of leased vehicle expenses of $0.1 billion primarily due to higher yield on the portfolio, partially offset by a decrease in the average balance of the lease portfolio.</w:t>
      </w:r>
    </w:p>
    <w:p>
      <w:pPr>
        <w:spacing w:after="0" w:line="18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Liquidity and Capital Resources </w:t>
      </w:r>
      <w:r>
        <w:rPr>
          <w:rFonts w:ascii="Arial" w:cs="Arial" w:eastAsia="Arial" w:hAnsi="Arial"/>
          <w:sz w:val="16"/>
          <w:szCs w:val="16"/>
          <w:color w:val="auto"/>
        </w:rPr>
        <w:t>As described in the “Overview” section of this MD&amp;A, we estimate the COVID-19 pandemic had an impact on EBIT-adjusted of approximately $1.4 billion in the three months ended March 31, 2020, and we expect it will have a material impact on future periods, including our cash flows from operating activities and liquidity. Government measures and other restrictions designed to prevent the spread of COVID-19 have disrupted the normal operations of many businesses, including ours. The extent of COVID-19’s impact on our liquidity is rapidly evolving and will depend upon, among other things, the duration, spread and intensity of the pandemic and related government responses such as required physical distancing, restrictions on business operations and travel, the pace of recovery of economic activity and the impact to consumers, all of which are uncertain and difficult to predict. Refer to Item 1A. Risk Factors for a full discussion of the risks associated with the COVID-19 pandemic.</w:t>
      </w:r>
    </w:p>
    <w:p>
      <w:pPr>
        <w:spacing w:after="0" w:line="16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January 2020, our Automotive China JVs suspended manufacturing operations and in March 2020, we suspended the majority of our global manufacturing operations to combat the spread of COVID-19. In addition, our dealers have experienced slower showroom traffic and reduced retail demand for our vehicles. To preserve financial flexibility in light of the current uncertainty in global markets resulting from the COVID-19 pandemic, we borrowed $15.9 billion under our revolving credit facilities. In response to the uncertainties created by the pandemic, we are implementing a number of austerity measures to reduce costs, such as limiting advertising and other third-party spending, deferring salaried employee compensation and delaying non-critical projects, including certain future product programs.</w:t>
      </w:r>
    </w:p>
    <w:p>
      <w:pPr>
        <w:spacing w:after="0" w:line="19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Despite the negative impact COVID-19 continues to have on our liquidity, we believe our current levels of cash, cash equivalents, and marketable debt securities, which include the borrowings under our revolving credit facilities, and other liquidity actions currently available to us are sufficient to meet our liquidity requirements into the three months ending December 31, 2020, even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without the resumption of critical manufacturing operations in North America. We also maintain access to the capital markets and may issue debt or equity securities, which may provide an additional source of liquidity. Inclusive of our austerity measures, we have ongoing cash costs of approximately $2.0 billion per month including tax, interest and pension payments, excluding changes in managed working capital. We estimate our breakeven point for Adjusted automotive free cash flow purposes, excluding changes in managed working capital, at 25% reduced demand from 2019 levels which implies a U.S. industry level of approximately 13 million units. We have substantial cash requirements going forward, which we plan to fund through our total available liquidity, cash flows from operating activities and additional liquidity measures, if determined to be necessary. Our ability to raise additional capital may be adversely impacted by potential worsening global economic conditions and the recent disruptions to, and volatility in, the credit and financial markets in the U.S. and worldwide resulting from the ongoing COVID-19 pandemic.</w:t>
      </w:r>
    </w:p>
    <w:p>
      <w:pPr>
        <w:spacing w:after="0" w:line="178"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Our known current and future material uses of cash relate to funding near-term operations through the current economic cycle including: (1) ongoing cash costs including payments associated with previously announced vehicle recalls, the settlements of the multi-district litigation and any other recall-related contingencies, payments to service debt and other long-term obligations, including repayment of amounts drawn on our revolving credit facilities and discretionary and mandatory contributions to our pension plans; (2) capital expenditures and payments for engineering and product development activities, which we expect will be significantly less than previously forecasted for the remainder of 2020 due to our austerity measures; and (3) funding our negative working capital. Our future uses of cash will be focused on the three objectives of our capital allocation program: (1) reinvest in our business at an average target ROIC-adjusted rate of 20% or greater; (2) maintain a strong investment-grade balance sheet, including a target average automotive cash balance of $18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166"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Our liquidity plans are subject to a number of risks and uncertainties, including those described in the "Forward-Looking Statements" section of this MD&amp;A, Item 1A. Risk Factors in this Form 10-Q and Item 1A. Risk Factors of our 2019 Form 10-K, some of which are outside of our control.</w:t>
      </w:r>
    </w:p>
    <w:p>
      <w:pPr>
        <w:spacing w:after="0" w:line="146"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Cash flows occur amongst our Automotive, Cruise and GM Financial operations that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dividends issued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176"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Automotive Liquidity </w:t>
      </w:r>
      <w:r>
        <w:rPr>
          <w:rFonts w:ascii="Arial" w:cs="Arial" w:eastAsia="Arial" w:hAnsi="Arial"/>
          <w:sz w:val="17"/>
          <w:szCs w:val="17"/>
          <w:color w:val="auto"/>
        </w:rPr>
        <w:t>Total available liquidity includes cash, cash equivalents, marketable debt securities and funds available under credit facilities.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available liquidity is subject to seasonal fluctuations and includes balances held by various business units and subsidiaries worldwide that are needed to fund their operations. In response to the COVID-19 pandemic, we have taken immediate actions to provide for additional liquidity including drawing $15.9 billion on our credit facilities and implementing austerity measures. Additional initiatives are being considered that could further materially support automotive liquidity at June 30, 2020, if executed. We have changed the management of our liquidity by borrowing on our credit facilities, changing our investment portfolio composition and taking significant austerity measures to provide better flexibility in response to COVID-19, however, we have not significantly changed our investment guidelines since December 31, 2019.</w:t>
      </w:r>
    </w:p>
    <w:p>
      <w:pPr>
        <w:spacing w:after="0" w:line="177"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Our automotive borrowing capacity under credit facilities totaled $17.5 billion at March 31, 2020 and December 31, 2019. This amount consisted of three revolving credit facilities. These facilities consist of a three-year, $4.0 billion facility, a five-year, $10.5 billion facility and a three-year, $3.0 billion facility, which is currently planned to reduce to $2.0 billion in July 2020. The three-year, $4.0 billion facility allows for borrowings in U.S. Dollars and other currencies and includes a letter of credit sub-facility of $1.1 billion. The five-year, $10.5 billion and three-year, $3.0 billion facilities allow for borrowings in U.S. Dollars and other currencies. Total borrowing capacity under our automotive credit facilities does not include a 364-day, $2.0 billion facility that has been allocated for exclusive use by GM Financial and allows for borrowings in U.S. Dollars only.</w:t>
      </w:r>
    </w:p>
    <w:p>
      <w:pPr>
        <w:spacing w:after="0" w:line="19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April 2020, we renewed our 364-day, $2.0 billion facility dedicated for exclusive use by GM Financial for an additional 364-day term and extended $3.6 billion of the three-year, $4.0 billion facility for an additional year expiring in April 2022. The remaining portion will expire in April 2021, unless extended. As part of the extension of the three-year, $4.0 billion facility, we have agreed not to execute any share repurchases until we no longer have outstanding borrowings under the revolving credit facilities, except for the three-year, $3.0 billion facility. In addition, we are restricted from paying dividends on our common shares if outstanding borrowings under the revolving credit facilities exceed $5.0 billion, with the exception of the three-year, $3.0 billion facility.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color w:val="auto"/>
        </w:rPr>
        <w:t>In the three months ended March 31, 2020, we borrowed $3.4 billion against our three-year, $4.0 billion facility, $2.0 billion against our three-year, $3.0 billion facility and $10.5 billion against our five-year, $10.5 billion facility to preserve financial flexibility in response to the current uncertainty in global markets and the adverse economic environment resulting from the COVID-19 pandemic. We did not have any borrowings against our facilities at December 31, 2019. We had letters of credit outstanding under our sub-facility of $0.1 billion and $0.2 billion at March 31, 2020 and December 31, 2019. Refer to Note 11 to our condensed consolidated financial statements for additional information on the contractual maturities of our debt obligations.</w:t>
      </w:r>
    </w:p>
    <w:p>
      <w:pPr>
        <w:spacing w:after="0" w:line="16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If available capacity permits, GM Financial has access to our automotive credit facilities, except for the three-year, $3.0 billion facility. In addition, GM Financial has exclusive use of the 364-day, $2.0 billion facility. GM Financial did not have borrowings outstanding against any facilities at March 31, 2020 and December 31, 2019. We had intercompany loans from GM Financial of $0.6 billion and $0.5 billion at March 31, 2020 and December 31, 2019, which primarily consisted of commercial loans to dealers we consolidate, and we had no intercompany loans to GM Financial. Refer to Note 5 of our condensed consolidated financial statements for additional information.</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Financial's Board of Directors declared and paid a dividend of $0.4 billion on its common stock in March 2020. We expect to receive an additional dividend of $0.4 billion on GM Financial common stock in the nine months ending December 31, 2020. Future dividends from GM Financial will depend on several factors including business and economic conditions, its financial condition, earnings, liquidity requirements and leverage ratio. In addition, we expect to continue to receive dividends from our Automotive China JVs on a normal cadence.</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Several of our loan facilities, including our revolving credit facilities, require compliance with certain financial and operational covenants as well as regular reporting to lenders. We have reviewed our covenants in effect as of March 31, 2020 along with those that went into effect in April 2020 as part of the renewal and extension of our credit facilities and determined we are in compliance and expect to remain in compliance in the future.</w:t>
      </w:r>
    </w:p>
    <w:p>
      <w:pPr>
        <w:spacing w:after="0" w:line="16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January 2017 we announced that our Board of Directors had authorized the purchase of up to $5.0 billion of our common stock with no expiration date as part of our common stock repurchase program. We have completed $1.7 billion of the $5.0 billion program through March 31, 2020. In April 2020 we agreed not to execute any share repurchases until we no longer have outstanding borrowings under the revolving credit facilities, except for the three-year, $3.0 billion facility.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available liquidity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6"/>
                <w:szCs w:val="16"/>
                <w:color w:val="auto"/>
              </w:rPr>
            </w:pPr>
          </w:p>
        </w:tc>
        <w:tc>
          <w:tcPr>
            <w:tcW w:w="1480" w:type="dxa"/>
            <w:vAlign w:val="bottom"/>
          </w:tcPr>
          <w:p>
            <w:pPr>
              <w:jc w:val="right"/>
              <w:ind w:right="172"/>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49"/>
        </w:trPr>
        <w:tc>
          <w:tcPr>
            <w:tcW w:w="7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cash and cash equivalents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Marketable debt securities</w:t>
            </w:r>
          </w:p>
        </w:tc>
        <w:tc>
          <w:tcPr>
            <w:tcW w:w="2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cash, cash equivalents and marketable debt securities(a)</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w:t>
            </w: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Cruise cash and cash equivalents(b)</w:t>
            </w:r>
          </w:p>
        </w:tc>
        <w:tc>
          <w:tcPr>
            <w:tcW w:w="2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Cruise marketable debt securities(b)</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3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6"/>
        </w:trPr>
        <w:tc>
          <w:tcPr>
            <w:tcW w:w="752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2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34.5</w:t>
            </w:r>
          </w:p>
        </w:tc>
        <w:tc>
          <w:tcPr>
            <w:tcW w:w="3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under credit facilities</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7"/>
        </w:trPr>
        <w:tc>
          <w:tcPr>
            <w:tcW w:w="7520" w:type="dxa"/>
            <w:vAlign w:val="bottom"/>
          </w:tcPr>
          <w:p>
            <w:pPr>
              <w:ind w:left="40"/>
              <w:spacing w:after="0"/>
              <w:rPr>
                <w:sz w:val="20"/>
                <w:szCs w:val="20"/>
                <w:color w:val="auto"/>
              </w:rPr>
            </w:pPr>
            <w:r>
              <w:rPr>
                <w:rFonts w:ascii="Arial" w:cs="Arial" w:eastAsia="Arial" w:hAnsi="Arial"/>
                <w:sz w:val="18"/>
                <w:szCs w:val="18"/>
                <w:color w:val="auto"/>
              </w:rPr>
              <w:t>Total available liquidity(a)</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35.8</w:t>
            </w:r>
          </w:p>
        </w:tc>
        <w:tc>
          <w:tcPr>
            <w:tcW w:w="3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may not sum due to rounding.</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are designated exclusively for the use of Cruise.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40" w:type="dxa"/>
            <w:vAlign w:val="bottom"/>
          </w:tcPr>
          <w:p>
            <w:pPr>
              <w:ind w:left="3400"/>
              <w:spacing w:after="0"/>
              <w:rPr>
                <w:sz w:val="20"/>
                <w:szCs w:val="20"/>
                <w:color w:val="auto"/>
              </w:rPr>
            </w:pPr>
            <w:r>
              <w:rPr>
                <w:rFonts w:ascii="Arial" w:cs="Arial" w:eastAsia="Arial" w:hAnsi="Arial"/>
                <w:sz w:val="18"/>
                <w:szCs w:val="18"/>
                <w:b w:val="1"/>
                <w:bCs w:val="1"/>
                <w:color w:val="auto"/>
              </w:rPr>
              <w:t>GENERAL MOTORS COMPANY AND SUBSIDIARIES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9440" w:type="dxa"/>
            <w:vAlign w:val="bottom"/>
          </w:tcPr>
          <w:p>
            <w:pPr>
              <w:ind w:left="180"/>
              <w:spacing w:after="0"/>
              <w:rPr>
                <w:sz w:val="20"/>
                <w:szCs w:val="20"/>
                <w:color w:val="auto"/>
              </w:rPr>
            </w:pPr>
            <w:r>
              <w:rPr>
                <w:rFonts w:ascii="Arial" w:cs="Arial" w:eastAsia="Arial" w:hAnsi="Arial"/>
                <w:sz w:val="18"/>
                <w:szCs w:val="18"/>
                <w:color w:val="auto"/>
                <w:w w:val="98"/>
              </w:rPr>
              <w:t>The following table summarizes the changes in our Automotive available liquidity (excluding Cruise, dollars in billions):</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54"/>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92"/>
        </w:trPr>
        <w:tc>
          <w:tcPr>
            <w:tcW w:w="9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Borrowings against credit facilities</w:t>
            </w:r>
          </w:p>
        </w:tc>
        <w:tc>
          <w:tcPr>
            <w:tcW w:w="18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non-operating(a)</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Decrease in available credit facilities</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9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automotive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 includes $0.5 billion of proceeds from the sale of the vast majority of our Lyft shares.</w:t>
      </w: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9"/>
        </w:trPr>
        <w:tc>
          <w:tcPr>
            <w:tcW w:w="6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21"/>
                <w:szCs w:val="21"/>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21"/>
                <w:szCs w:val="21"/>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Change</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Depreciation, amortization and impairment charges</w:t>
            </w:r>
          </w:p>
        </w:tc>
        <w:tc>
          <w:tcPr>
            <w:tcW w:w="2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OPEB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 liabilities and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
        </w:trPr>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provided by (used in) operating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the three months ended March 31, 2020, the increase in Net automotive cash provided by operating activities was primarily due to: (1) favorable working capital primarily due to favorable accounts receivable of $4.6 billion, partially offset by unfavorable accounts payable of $2.2 billion; and (2) favorable dividend received from GM Financial of $0.4 billion; partially offset by (3) several other insignificant items.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22"/>
                <w:szCs w:val="22"/>
                <w:color w:val="auto"/>
              </w:rPr>
            </w:pPr>
          </w:p>
        </w:tc>
        <w:tc>
          <w:tcPr>
            <w:tcW w:w="820" w:type="dxa"/>
            <w:vAlign w:val="bottom"/>
          </w:tcPr>
          <w:p>
            <w:pPr>
              <w:jc w:val="right"/>
              <w:ind w:right="19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Acquisitions and liquidations of marketable securities, net(a)</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used in investing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 includes $0.5 billion of proceeds from the sale of the vast majority of our Lyft shares for the three months ended March 31, 2020.</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3"/>
        </w:trPr>
        <w:tc>
          <w:tcPr>
            <w:tcW w:w="6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against credit facilities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proceeds from short-term debt</w:t>
            </w:r>
          </w:p>
        </w:tc>
        <w:tc>
          <w:tcPr>
            <w:tcW w:w="2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provided by financing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i w:val="1"/>
          <w:iCs w:val="1"/>
          <w:color w:val="auto"/>
        </w:rPr>
        <w:t xml:space="preserve">Adjusted Automotive Free Cash Flow </w:t>
      </w:r>
      <w:r>
        <w:rPr>
          <w:rFonts w:ascii="Arial" w:cs="Arial" w:eastAsia="Arial" w:hAnsi="Arial"/>
          <w:sz w:val="17"/>
          <w:szCs w:val="17"/>
          <w:color w:val="auto"/>
        </w:rPr>
        <w:t>We measure adjusted automotive free cash flow as automotive operating cash flow from operations less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expenditures adjusted for management actions. For the three months ended March 31, 2020, net automotive cash provided by operating activities under U.S. GAAP was $0.3 billion, capital expenditures were $1.2 billion, and adjustments for management actions were insignificant.</w:t>
      </w:r>
    </w:p>
    <w:p>
      <w:pPr>
        <w:spacing w:after="0" w:line="16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For the three months ended March 31, 2019, net automotive cash used in operating activities under U.S. GAAP was $2.2 billion, capital expenditures were $2.0 billion, and an adjustment for management actions related to transformation activities primarily in GMNA was $0.3 billion.</w:t>
      </w:r>
    </w:p>
    <w:p>
      <w:pPr>
        <w:spacing w:after="0" w:line="146"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i w:val="1"/>
          <w:iCs w:val="1"/>
          <w:color w:val="auto"/>
        </w:rPr>
        <w:t xml:space="preserve">Status of Credit Ratings </w:t>
      </w:r>
      <w:r>
        <w:rPr>
          <w:rFonts w:ascii="Arial" w:cs="Arial" w:eastAsia="Arial" w:hAnsi="Arial"/>
          <w:sz w:val="18"/>
          <w:szCs w:val="18"/>
          <w:color w:val="auto"/>
        </w:rPr>
        <w:t>We receive ratings from four independent credit rating agencies: DBRS Limited, Fitch Ratings (Fitch), Moody's Investor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(Moody's) and Standard &amp; Poor's (S&amp;P). All four credit rating agencies currently rate our corporate credit at investment grade. The following table summarizes our credit ratings at April 20, 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vMerge w:val="restart"/>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Revolving Credit</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Senior Unsecured</w:t>
            </w:r>
          </w:p>
        </w:tc>
        <w:tc>
          <w:tcPr>
            <w:tcW w:w="100" w:type="dxa"/>
            <w:vAlign w:val="bottom"/>
            <w:vMerge w:val="restart"/>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Outlook</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Facilities</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DBRS Limited</w:t>
            </w:r>
          </w:p>
        </w:tc>
        <w:tc>
          <w:tcPr>
            <w:tcW w:w="1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BBB (high)</w:t>
            </w:r>
          </w:p>
        </w:tc>
        <w:tc>
          <w:tcPr>
            <w:tcW w:w="1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BBB (high)</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4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Under review with negative implications</w:t>
            </w: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Fitch</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BBB</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Stable</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1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Investment Grade</w:t>
            </w: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Baa2</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Baa3</w:t>
            </w:r>
          </w:p>
        </w:tc>
        <w:tc>
          <w:tcPr>
            <w:tcW w:w="4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Under review for downgrade</w:t>
            </w: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S&amp;P</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BBB</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Credit watch with negative implications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In March 2020 Moody’s, S&amp;P and DBRS Limited placed our ratings under review for downgrade, on credit watch with negative implications and under review with negative implications. Fitch’s credit ratings remained unchanged since December 31, 2019.</w:t>
      </w:r>
    </w:p>
    <w:p>
      <w:pPr>
        <w:spacing w:after="0" w:line="17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Cruise Liquidity </w:t>
      </w:r>
      <w:r>
        <w:rPr>
          <w:rFonts w:ascii="Arial" w:cs="Arial" w:eastAsia="Arial" w:hAnsi="Arial"/>
          <w:sz w:val="18"/>
          <w:szCs w:val="18"/>
          <w:color w:val="auto"/>
        </w:rPr>
        <w:t>The changes in our Cruise available liquidity in the three months ended March 31, 2020 were driven by operating cash flow.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Cruise's autonomous vehicles are ready for commercial deployment, Softbank Vision Fund (AIV M2), L.P. is obligated to purchase additional Cruise convertible preferred shares for $1.35 billion.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Cruise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3"/>
        </w:trPr>
        <w:tc>
          <w:tcPr>
            <w:tcW w:w="66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Change</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r>
    </w:tbl>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b w:val="1"/>
          <w:bCs w:val="1"/>
          <w:i w:val="1"/>
          <w:iCs w:val="1"/>
          <w:color w:val="auto"/>
        </w:rPr>
        <w:t xml:space="preserve">Automotive Financing – GM Financial Liquidity </w:t>
      </w:r>
      <w:r>
        <w:rPr>
          <w:rFonts w:ascii="Arial" w:cs="Arial" w:eastAsia="Arial" w:hAnsi="Arial"/>
          <w:sz w:val="18"/>
          <w:szCs w:val="18"/>
          <w:color w:val="auto"/>
        </w:rPr>
        <w:t>GM Financial's primary sources of cash are finance charge income, leasing income and proceeds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sale of terminated leased vehicles, net distributions from credit facilities, securitizations, secured and unsecured borrowings and collections and recoveries on finance receivables. GM Financial's primary uses of cash are purchases of retail finance receivables and leased vehicles, the funding of commercial finance receivables, repayment of secured and unsecured debt, funding credit enhancement requirements in connection with securitizations and secured credit facilities, interest costs, and operating expenses.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2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Borrowing capacity on revolving credit facility, exclusive to GM Financial</w:t>
            </w:r>
          </w:p>
        </w:tc>
        <w:tc>
          <w:tcPr>
            <w:tcW w:w="2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available liquidity(a)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Amounts may not sum due to rounding.</w:t>
      </w:r>
    </w:p>
    <w:p>
      <w:pPr>
        <w:spacing w:after="0" w:line="20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2020, GM Financial's available liquidity was relatively unchanged from December 31, 2019. However, GM Financial’s cash and cash equivalents increased and borrowing capacity decreased due to increased utilization of credit facilities during the three months ended March 31, 2020 to preserve financial flexibility in response to the current uncertainty in global markets and the current economic environment resulting from the COVID-19 pandemic. GM Financial</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structures liquidity to cover an extended period without access to new debt financing transactions or other capital markets activity while continuing forecasted originations.</w:t>
      </w:r>
    </w:p>
    <w:p>
      <w:pPr>
        <w:spacing w:after="0" w:line="170"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did not have any borrowings outstanding against our credit facility designated for their exclusive use or the remainder of our revolving credit facilities at March 31, 2020 and December 31, 2019. Refer to the Automotive Liquidity section of this MD&amp;A for additional details.</w:t>
      </w:r>
    </w:p>
    <w:p>
      <w:pPr>
        <w:spacing w:after="0" w:line="14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In the normal course of business, in addition to using its available cash, GM Financial utilizes borrowings under its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secured or unsecured, and GM Financial repays these borrowings as appropriate under its cash management strategy. At March 31, 2020 secured, committed unsecured and uncommitted unsecured credit facilities totaled $26.0 billion, $0.5 billion and $1.8 billion with advances outstanding of $14.3 billion, $0.2 billion and $1.8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66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Change</w:t>
            </w: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7.0</w:t>
            </w:r>
          </w:p>
        </w:tc>
      </w:tr>
      <w:tr>
        <w:trPr>
          <w:trHeight w:val="27"/>
        </w:trPr>
        <w:tc>
          <w:tcPr>
            <w:tcW w:w="6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March 31, 2020, Net cash provided by operating activities increased primarily due to an increase in net collateral held for derivative positions of $0.1 billion as a result of favorable changes in interest rates on GM Financial's collateralized derivative portfolio.</w:t>
      </w:r>
    </w:p>
    <w:p>
      <w:pPr>
        <w:spacing w:after="0" w:line="14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2020, Net cash used in investing activities increased primarily due to decreased collections and recoveries on finance receivables of $1.5 billion partially offset by decreased purchases of finance receivables of $0.3 billion.</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2020, Net cash provided by financing activities increased primarily due to an increase in borrowings of $8.0 billion partially offset by an increase in debt repayments of $0.6 billion and dividend payments of $0.4 billion.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Contractual Obligations and Other Long-Term Liabilities </w:t>
      </w:r>
      <w:r>
        <w:rPr>
          <w:rFonts w:ascii="Arial" w:cs="Arial" w:eastAsia="Arial" w:hAnsi="Arial"/>
          <w:sz w:val="18"/>
          <w:szCs w:val="18"/>
          <w:color w:val="auto"/>
        </w:rPr>
        <w:t>We have minimum commitments under contractual obligations, including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 purchase obligation is defined as an agreement to purchase goods or services that is enforceable and legally binding on us and that specifies all significant terms, including fixed or minimum quantities to be purchased or fixed minimum price provisions and the approximate timing of the transaction. Based on these definitions, the following table includes only those contracts that include fixed or minimum obligations. The majority of our purchases are not included in the table as they are made under purchase orders that are requirements-based and accordingly do not specify minimum quantities. The following table summarizes aggregated information about our outstanding contractual obligations and other long-term liabilities at March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April 1, 2020 to</w:t>
            </w:r>
          </w:p>
        </w:tc>
        <w:tc>
          <w:tcPr>
            <w:tcW w:w="240" w:type="dxa"/>
            <w:vAlign w:val="bottom"/>
          </w:tcPr>
          <w:p>
            <w:pPr>
              <w:spacing w:after="0"/>
              <w:rPr>
                <w:sz w:val="13"/>
                <w:szCs w:val="13"/>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8"/>
              </w:rPr>
              <w:t>2022-2023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5"/>
              </w:rPr>
              <w:t>2024-2025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2026 and after</w:t>
            </w:r>
          </w:p>
        </w:tc>
        <w:tc>
          <w:tcPr>
            <w:tcW w:w="220" w:type="dxa"/>
            <w:vAlign w:val="bottom"/>
          </w:tcPr>
          <w:p>
            <w:pPr>
              <w:spacing w:after="0"/>
              <w:rPr>
                <w:sz w:val="13"/>
                <w:szCs w:val="13"/>
                <w:color w:val="auto"/>
              </w:rPr>
            </w:pPr>
          </w:p>
        </w:tc>
        <w:tc>
          <w:tcPr>
            <w:tcW w:w="8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debt(a)</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30,424</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Automotive Financing debt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36,122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23,383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20,235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10,869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95,780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Automotive interest payments(b)</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13,416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Financing interest payments(c)</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6,660</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Postretirement benefits(d)</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Other contractual commitments: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Material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43"/>
        </w:trPr>
        <w:tc>
          <w:tcPr>
            <w:tcW w:w="3820" w:type="dxa"/>
            <w:vAlign w:val="bottom"/>
          </w:tcPr>
          <w:p>
            <w:pPr>
              <w:ind w:left="200"/>
              <w:spacing w:after="0"/>
              <w:rPr>
                <w:sz w:val="20"/>
                <w:szCs w:val="20"/>
                <w:color w:val="auto"/>
              </w:rPr>
            </w:pPr>
            <w:r>
              <w:rPr>
                <w:rFonts w:ascii="Arial" w:cs="Arial" w:eastAsia="Arial" w:hAnsi="Arial"/>
                <w:sz w:val="18"/>
                <w:szCs w:val="18"/>
                <w:color w:val="auto"/>
              </w:rPr>
              <w:t>Marketing</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97"/>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contractual commitments(e)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44,210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29,293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43,125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13,903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24,668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155,199</w:t>
            </w:r>
          </w:p>
        </w:tc>
        <w:tc>
          <w:tcPr>
            <w:tcW w:w="0" w:type="dxa"/>
            <w:vAlign w:val="bottom"/>
          </w:tcPr>
          <w:p>
            <w:pPr>
              <w:spacing w:after="0"/>
              <w:rPr>
                <w:sz w:val="1"/>
                <w:szCs w:val="1"/>
                <w:color w:val="auto"/>
              </w:rPr>
            </w:pPr>
          </w:p>
        </w:tc>
      </w:tr>
      <w:tr>
        <w:trPr>
          <w:trHeight w:val="108"/>
        </w:trPr>
        <w:tc>
          <w:tcPr>
            <w:tcW w:w="38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Non-contractual benefits(f)</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11,198</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__________</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Payments due in 2022 include $3.0 billion drawn on our three-year, $4.0 billion facility renewed in April 2020 for an additional year expiring in April 2022.</w:t>
      </w:r>
    </w:p>
    <w:p>
      <w:pPr>
        <w:spacing w:after="0" w:line="9"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Amounts include automotive interest payments based on contractual terms and current interest rates on our debt and finance lease obligations. Automotive interest payments based on variable interest rates were determined using the interest rate in effect at March 31, 2020.</w:t>
      </w:r>
    </w:p>
    <w:p>
      <w:pPr>
        <w:jc w:val="both"/>
        <w:ind w:left="34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GM Financial interest payments were determined using the interest rate in effect at March 31, 2020 for floating rate debt and the contractual rates for fixed rate debt. GM Financial interest payments on floating rate tranches of the securitization notes payable were converted to a fixed rate based on the floating rate plus any expected hedge payments.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Amounts include OPEB payments under the contract term of the current labor agreements in North America and do not include pension funding obligations.</w:t>
      </w:r>
    </w:p>
    <w:p>
      <w:pPr>
        <w:spacing w:after="0" w:line="16" w:lineRule="exact"/>
        <w:rPr>
          <w:rFonts w:ascii="Arial" w:cs="Arial" w:eastAsia="Arial" w:hAnsi="Arial"/>
          <w:sz w:val="15"/>
          <w:szCs w:val="15"/>
          <w:color w:val="auto"/>
        </w:rPr>
      </w:pPr>
    </w:p>
    <w:p>
      <w:pPr>
        <w:ind w:left="34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Amounts do not include future cash payments for purchase obligations and certain other accrued expenditures (unless listed in the table above) that were recorded in Accounts payable, Accrued liabilities and Other liabilities in our condensed consolidated financial statements at March 31, 2020.</w:t>
      </w:r>
    </w:p>
    <w:p>
      <w:pPr>
        <w:jc w:val="both"/>
        <w:ind w:left="340" w:hanging="332"/>
        <w:spacing w:after="0" w:line="251"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Amounts include all expected future payments for both current and expected future service at March 31, 2020 for OPEB obligations for salaried and hourly employees extending beyond the current North American union contract agreements, workers' compensation and extended disability benefits. Amounts do not include pension funding obligations.</w:t>
      </w:r>
    </w:p>
    <w:p>
      <w:pPr>
        <w:spacing w:after="0" w:line="16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table above does not reflect product warranty and related liabilities, certified pre-owned, extended warranty and free maintenance of $8.2 billion and unrecognized tax benefits of $0.7 billion due to the uncertainty regarding the future cash outflows potentially associated with these amounts. In addition, future cash outflows related to previously announced restructuring actions are not included in the table above. Refer to Note 17 of our condensed consolidated financial statements for additional information.</w:t>
      </w:r>
    </w:p>
    <w:p>
      <w:pPr>
        <w:spacing w:after="0" w:line="18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Critical Accounting Estimates </w:t>
      </w:r>
      <w:r>
        <w:rPr>
          <w:rFonts w:ascii="Arial" w:cs="Arial" w:eastAsia="Arial" w:hAnsi="Arial"/>
          <w:sz w:val="16"/>
          <w:szCs w:val="16"/>
          <w:color w:val="auto"/>
        </w:rPr>
        <w:t>The condensed consolidated financial statements are prepared in conformity with U.S. GAAP, which requires the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2019 Form 10-K, as supplemented by the subsequent discussions of the allowance for loan losses on GM Financial receivables and the residual value of GM Financial leased vehicles.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GM Financial Allowance for Loan Losses </w:t>
      </w:r>
      <w:r>
        <w:rPr>
          <w:rFonts w:ascii="Arial" w:cs="Arial" w:eastAsia="Arial" w:hAnsi="Arial"/>
          <w:sz w:val="16"/>
          <w:szCs w:val="16"/>
          <w:color w:val="auto"/>
        </w:rPr>
        <w:t>Refer to Note 2 to our condensed consolidated financial statements for additional information regarding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allowance for loan losses on retail and commercial finance receivables. The GM Financial retail finance receivables portfolio consists of smaller-balance, homogeneous loans that are carried at amortized cost, net of allowance for loan losses. The allowance for loan losses on retail finance receivables reflects net credit losses expected to be incurred over the remaining life of the retail finance receivables. We believe that the allowance is adequate to cover expected credit losses on the retail finance receivables; however, because the allowance for loan losses is based on estimates, there can be no assurance that the ultimate charge-off amount will not exceed such estimates or that our credit loss assumptions will not increase.</w:t>
      </w:r>
    </w:p>
    <w:p>
      <w:pPr>
        <w:spacing w:after="0" w:line="110" w:lineRule="exact"/>
        <w:rPr>
          <w:sz w:val="20"/>
          <w:szCs w:val="20"/>
          <w:color w:val="auto"/>
        </w:rPr>
      </w:pPr>
    </w:p>
    <w:p>
      <w:pPr>
        <w:jc w:val="both"/>
        <w:ind w:right="20" w:firstLine="162"/>
        <w:spacing w:after="0" w:line="259" w:lineRule="auto"/>
        <w:rPr>
          <w:sz w:val="20"/>
          <w:szCs w:val="20"/>
          <w:color w:val="auto"/>
        </w:rPr>
      </w:pPr>
      <w:r>
        <w:rPr>
          <w:rFonts w:ascii="Arial" w:cs="Arial" w:eastAsia="Arial" w:hAnsi="Arial"/>
          <w:sz w:val="18"/>
          <w:szCs w:val="18"/>
          <w:color w:val="auto"/>
        </w:rPr>
        <w:t>As of March 31, 2020, GM Financial updated the forecast of economic factors for potential impacts from the COVID-19 pandemic. In addition, GM Financial lowered the forecast of expected recovery rates on repossessions. In aggregate, these updates resulted in an increase in the allowance for loan losses on the GM Financial retail finance receivables portfolio of $0.2 billion at March 31, 2020. Actual economic data and recovery rates that are lower than those we forecast would result in an increase to the allowance for loan losses.</w:t>
      </w:r>
    </w:p>
    <w:p>
      <w:pPr>
        <w:spacing w:after="0" w:line="13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GM Financial commercial finance receivables portfolio consists of floorplan financing as well as dealer loans, which are loans to finance improvements to dealership facilities, to provide working capital, and to purchase and/or finance dealership real estate. The allowance for loan losses on commercial finance receivables is also based on estimates that, effective January 1, 2020, include historical loss experience for the consolidated portfolio, as well as the forecast for industry vehicle sales. There can be no assurance that the ultimate charge-off amount will not exceed such estimates or that our credit loss assumptions will not increase.</w:t>
      </w:r>
    </w:p>
    <w:p>
      <w:pPr>
        <w:spacing w:after="0" w:line="188" w:lineRule="exact"/>
        <w:rPr>
          <w:sz w:val="20"/>
          <w:szCs w:val="20"/>
          <w:color w:val="auto"/>
        </w:rPr>
      </w:pPr>
    </w:p>
    <w:p>
      <w:pPr>
        <w:jc w:val="both"/>
        <w:ind w:firstLine="162"/>
        <w:spacing w:after="0" w:line="284" w:lineRule="auto"/>
        <w:rPr>
          <w:sz w:val="20"/>
          <w:szCs w:val="20"/>
          <w:color w:val="auto"/>
        </w:rPr>
      </w:pPr>
      <w:r>
        <w:rPr>
          <w:rFonts w:ascii="Arial" w:cs="Arial" w:eastAsia="Arial" w:hAnsi="Arial"/>
          <w:sz w:val="16"/>
          <w:szCs w:val="16"/>
          <w:b w:val="1"/>
          <w:bCs w:val="1"/>
          <w:i w:val="1"/>
          <w:iCs w:val="1"/>
          <w:color w:val="auto"/>
        </w:rPr>
        <w:t xml:space="preserve">Residual Value of GM Financial Leased Vehicles </w:t>
      </w:r>
      <w:r>
        <w:rPr>
          <w:rFonts w:ascii="Arial" w:cs="Arial" w:eastAsia="Arial" w:hAnsi="Arial"/>
          <w:sz w:val="16"/>
          <w:szCs w:val="16"/>
          <w:color w:val="auto"/>
        </w:rPr>
        <w:t>At March 31, 2020, the estimated residual value of GM Financial’s leased vehicles at the end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lease term was $29.5 billion. Depreciation reduces the carrying value of each leased asset in GM Financial’s operating lease portfolio over time from its original acquisition value to its expected residual value at the end of the lease term. GM Financial reviewed the lease portfolio for indicators of impairment and determined that no impairment indicators were present at March 31, 2020. GM Financial updated residual value estimates on the lease portfolio to reflect the decrease in forecasted used vehicle prices due to economic impacts from the COVID-19 pandemic. If adverse economic impacts are sustained, used vehicle prices could decrease further, which could result in an impairment of the GM Financial lease portfolio. If an impairment exists, GM Financial would determine any shortfall in recoverability of the leased vehicle asset groups by year, make and model. Recoverability is calculated as the excess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 the sum of remaining lease payments plus estimated residual value; over (2) leased vehicles, net less deferred revenue.</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This report and the other reports filed by us with the SEC from time to time, as well as statements incorporated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we file with the SEC, include, among others, the following: (1) our ability to deliver new products, services and customer experiences in response to increased competition in the automotive industry; (2) our ability to timely fund and introduce new and improved vehicle models that are able to attract a sufficient number of consumers; (3) the success of our crossovers, SUVs and full-size pickup trucks; (4) our ability to successfully and cost-effectively restructure our operations in the U.S. and various other countries and initiate additional cost reduction actions with minimal disruption; (5) our ability to reduce the cost of manufacturing electric vehicles and drive increased consumer adoption; (6) the unique technological, operational, regulatory and competitive risks related to the timing and commercialization of autonomous vehicles; (7) global automobile market sales volume, which can be volatile; (8) our significant business in China, which is subject to unique operational, competitive, regulatory and economic risks; (9) our joint ventures, which we cannot operate solely for our benefit and over which we may have limited control; (10) the international scale and footprint of our operations, which exposes us to a variety of unique political, economic, competitive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public health crises, including the occurrence of a contagious disease or illness, such as the novel coronavirus, changes in foreign exchange rates and interest rates, economic downturns in foreign countries, differing local product preferences and product requirements, compliance with U.S. and foreign countries' export controls and economic sanctions, differing labor regulations, requirements and union relationships, differing dealer and franchise regulations and relationships, and difficulties in obtaining financing in foreign countries; (11) 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significant disruption, including any work stoppages, at any of our manufacturing facilities; (12) the ability of our suppliers to deliver parts, systems and components without disruption and at such times to allow us to meet production schedules; (13) prices of raw materials used by us and our suppliers; (14) our highly competitive industry, which is characterized by excess manufacturing capacity and the use of incentives and the introduction of new and improved vehicle models by our competitors; (15) the possibility that competitors may independently develop products and services similar to ours or that our intellectual property rights are not sufficient to prevent competitors from developing or selling those products or services; (16) our ability to manage risks related to security breaches and other disruptions to our information technology systems and networked products, including connected vehicles and in-vehicle systems; (17) our ability to comply with increasingly complex, restrictive and punitive regulations relating to our enterprise data practices, including the collection, use, sharing and security of the Personal Identifiable Information of our customers, employees, or suppliers; (18) our ability to comply with extensive laws, regulations and policies applicable to our operations and products, including those relating to fuel economy and emissions and autonomous vehicles; (19) costs and risks associated with litigation and government investigations; (20) the costs and effect on our reputation of product safety recalls and alleged defects in products and services; (21) any additional tax expense or exposure; (22) our continued ability to develop captive financing capability through GM Financial; and (23) any significant increase in our pension funding requirements. A further list and description of these risks, uncertainties and other factors can be found in our 2019 Form 10-K and our subsequent filings with the SEC.</w:t>
      </w:r>
    </w:p>
    <w:p>
      <w:pPr>
        <w:spacing w:after="0" w:line="17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18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There have been no significant changes in our exposure to market risk since December 31, 2019. For further discussion on market risk, refer to Item 7A of our 2019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7"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Our management, with the participation of our CEO and CFO, evaluated the effectiveness of our disclosure controls and procedures (as defined in Rules 13a-15(e) or 15d-15(e) promulgated under the Exchange Act) at March 31, 2020 as required by paragraph (b) of Rules 13a-15 or 15d-15. Based on this evaluation, our CEO and CFO concluded that our disclosure controls and procedures were effective at March 31, 2020.</w:t>
      </w:r>
    </w:p>
    <w:p>
      <w:pPr>
        <w:spacing w:after="0" w:line="161" w:lineRule="exact"/>
        <w:rPr>
          <w:sz w:val="20"/>
          <w:szCs w:val="20"/>
          <w:color w:val="auto"/>
        </w:rPr>
      </w:pPr>
    </w:p>
    <w:p>
      <w:pPr>
        <w:jc w:val="both"/>
        <w:ind w:firstLine="162"/>
        <w:spacing w:after="0" w:line="303"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There have not been any changes in our internal control over financial reporting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ended March 31, 2020 that have materially affected, or are reasonably likely to materially affect, our internal control over financial reporting. However, due to the onset of the COVID-19 global pandemic, we are monitoring our control environment with increased vigilance to ensure changes as a result of physical distancing are addressed and all increased risks are mitigated. For additional information refer to Item 1A. Risk Factors.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discussion under "Litigation-Related Liability and Tax Administrative Matters" in Note 15 to our condensed consolidated financial statements is incorporated by reference into this Part II – Item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b w:val="1"/>
          <w:bCs w:val="1"/>
          <w:i w:val="1"/>
          <w:iCs w:val="1"/>
          <w:color w:val="auto"/>
        </w:rPr>
        <w:t xml:space="preserve">The COVID-19 pandemic may disrupt our business and operations, which could materially adversely impact our business, financial condition, liquidity and results of operations. </w:t>
      </w:r>
      <w:r>
        <w:rPr>
          <w:rFonts w:ascii="Arial" w:cs="Arial" w:eastAsia="Arial" w:hAnsi="Arial"/>
          <w:sz w:val="17"/>
          <w:szCs w:val="17"/>
          <w:color w:val="auto"/>
        </w:rPr>
        <w:t>Pandemics, epidemics or disease outbreaks in the U.S. or globally may disrupt our business, which could materially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 our results of operations, financial condition, liquidity and future expectations. In January 2020, the World Health Organization declared the COVID-19 outbreak a public health emergency and in March 2020 declared it a global pandemic. While initially the outbreak was largely concentrated in China, it has since spread globally and has caused significant disruption to the global economy, including the automotive industry. In response, we implemented work-from-home protocols for employees who can work remotely and systematically suspended the majority of our global manufacturing operations. During the three months ended March 31, 2020, our Automotive China JVs’ manufacturing operations were also suspended for a period of time and have recently resumed production. As of the date of this report, our manufacturing operations in North America and certain other regions remain suspended. While we are reevaluating production status on a week-by-week basis, we currently expect to gradually resume critical manufacturing operations in North America beginning in May 2020. The resumption of our manufacturing operations will be made in consultation with our entire value chain, including unions, suppliers, dealers and other stakeholders. Resuming production will be facilitated by enhanced public health procedures, including temperature screening of employees before entry into facilities, shift adjustments to allow for physical distancing, deep cleaning of facilities after each shift, and the provision of personal protective equipment.</w:t>
      </w:r>
    </w:p>
    <w:p>
      <w:pPr>
        <w:spacing w:after="0" w:line="186"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The full extent to which the COVID-19 pandemic will impact our operations will depend on future developments, which are highly uncertain and cannot be predicted with confidence, including the duration and severity of the outbreak or subsequent outbreaks. In particular, if COVID-19 continues to spread or re-emerges, particularly in North America where our profits are most concentrated, resulting in a prolonged period of travel, commercial, social and other similar restrictions, we could experience among other things: (1) global supply disruptions; (2) labor disruptions; (3) an inability to manufacture; (4) an inability to sell to our customers; (5) a decline in showroom traffic and customer demand during and following the pandemic; (6) customer defaults on automobile loans and leases; (7) lower than expected pricing on vehicles sold at auction; and (8) an impaired ability to access credit and the capital markets. Further, we expect the COVID-19 pandemic, and the related adverse economic impact, will result in a significant contraction of total industry volumes in 2020. We also have substantial cash requirements going forward, including: (1) ongoing cash costs including payments associated with previously announced vehicle recalls, the settlements of the multi-district litigation and any other recall-related contingencies, payments to service debt and other long-term obligations, including repayment of amounts drawn on our revolving credit facilities and mandatory contributions to our pension plans; (2) capital expenditures and payments for engineering and product development activities; and (3) funding our negative working capital. We cannot predict with confidence whether our current liquidity will be sufficient to fund our ongoing needs because the duration of the COVID-19 pandemic and the extent to which it will impact our operations is highly uncertain and will depend on future developments. Any resulting financial impact cannot be reasonably estimated at this time, but the COVID-19 pandemic could continue to have a material impact on our business, financial condition and results of operations. For a further discussion of the impact of COVID-19 on our liquidity, refer to the “Liquidity and Capital Resources” section in Item 2. Management’s Discussion and Analysis of Financial Condition and Results of Operations.</w:t>
      </w:r>
    </w:p>
    <w:p>
      <w:pPr>
        <w:spacing w:after="0" w:line="17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As the COVID-19 pandemic continues to adversely affect our operating and financial results, it may also heighten many of the other risks described in Item 1A. Risk Factors in our 2019 Form 10-K. In particular, see the risk factors regarding global automobile sales volumes, scale and footprint of our operations, disruptions at our manufacturing facilities, disruptions in our suppliers’ operations, and reliance on GM Financial.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Purchases of Equity Securities </w:t>
      </w:r>
      <w:r>
        <w:rPr>
          <w:rFonts w:ascii="Arial" w:cs="Arial" w:eastAsia="Arial" w:hAnsi="Arial"/>
          <w:sz w:val="17"/>
          <w:szCs w:val="17"/>
          <w:color w:val="auto"/>
        </w:rPr>
        <w:t>The following table summarizes our purchases of common stock in the three months ended March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12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Purchased(a)</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May Yet be Purchased Under</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Programs(b)</w:t>
            </w:r>
          </w:p>
        </w:tc>
        <w:tc>
          <w:tcPr>
            <w:tcW w:w="12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2020 through January 31, 2020</w:t>
            </w: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28,331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35.82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February 1, 2020 through February 29, 2020</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2,480,515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21"/>
                <w:szCs w:val="21"/>
                <w:color w:val="auto"/>
              </w:rPr>
            </w:pP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2020 through March 31, 2020</w:t>
            </w: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3,240,152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3,238,308</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5,748,998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3,238,308</w:t>
            </w: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8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Shares purchased consist of shares delivered by employees or directors to us for the payment of taxes resulting from the issuance of common stock upon the vesting of RSUs, Performance Stock Units and Restricted Stock Awards relating to compensation plans. Refer to our 2019 Form 10-K for additional details on employee stock incentive plans.</w:t>
      </w:r>
    </w:p>
    <w:p>
      <w:pPr>
        <w:spacing w:after="0" w:line="1" w:lineRule="exact"/>
        <w:rPr>
          <w:rFonts w:ascii="Arial" w:cs="Arial" w:eastAsia="Arial" w:hAnsi="Arial"/>
          <w:sz w:val="16"/>
          <w:szCs w:val="16"/>
          <w:color w:val="auto"/>
        </w:rPr>
      </w:pPr>
    </w:p>
    <w:p>
      <w:pPr>
        <w:jc w:val="both"/>
        <w:ind w:left="340" w:hanging="332"/>
        <w:spacing w:after="0" w:line="251"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January 2017, we announced that our Board of Directors had authorized the purchase of up to $5.0 billion of our common stock with no expiration date. Beginning March 3, 2020 to March 11, 2020, total share purchases under this program were $90 million. In April 2020 we agreed not to execute any share repurchases until we no longer have outstanding borrowings under the revolving credit facilities, except for the three-year, $3.0 billion facility.</w:t>
      </w:r>
    </w:p>
    <w:p>
      <w:pPr>
        <w:spacing w:after="0" w:line="160" w:lineRule="exact"/>
        <w:rPr>
          <w:rFonts w:ascii="Arial" w:cs="Arial" w:eastAsia="Arial" w:hAnsi="Arial"/>
          <w:sz w:val="16"/>
          <w:szCs w:val="16"/>
          <w:color w:val="auto"/>
        </w:rPr>
      </w:pPr>
    </w:p>
    <w:p>
      <w:pPr>
        <w:ind w:left="504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120" w:type="dxa"/>
            <w:vAlign w:val="bottom"/>
            <w:gridSpan w:val="7"/>
          </w:tcPr>
          <w:p>
            <w:pPr>
              <w:ind w:left="960"/>
              <w:spacing w:after="0"/>
              <w:rPr>
                <w:sz w:val="20"/>
                <w:szCs w:val="20"/>
                <w:color w:val="auto"/>
              </w:rPr>
            </w:pPr>
            <w:r>
              <w:rPr>
                <w:rFonts w:ascii="Arial" w:cs="Arial" w:eastAsia="Arial" w:hAnsi="Arial"/>
                <w:sz w:val="18"/>
                <w:szCs w:val="18"/>
                <w:b w:val="1"/>
                <w:bCs w:val="1"/>
                <w:color w:val="auto"/>
              </w:rPr>
              <w:t>GENERAL MOTORS COMPANY AND SUBSIDIARIES</w:t>
            </w:r>
          </w:p>
        </w:tc>
        <w:tc>
          <w:tcPr>
            <w:tcW w:w="1680" w:type="dxa"/>
            <w:vAlign w:val="bottom"/>
          </w:tcPr>
          <w:p>
            <w:pPr>
              <w:spacing w:after="0"/>
              <w:rPr>
                <w:sz w:val="20"/>
                <w:szCs w:val="20"/>
                <w:color w:val="auto"/>
              </w:rPr>
            </w:pPr>
          </w:p>
        </w:tc>
      </w:tr>
      <w:tr>
        <w:trPr>
          <w:trHeight w:val="846"/>
        </w:trPr>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Item 6. Exhibits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60"/>
        </w:trPr>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4"/>
        </w:trPr>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120" w:type="dxa"/>
            <w:vAlign w:val="bottom"/>
            <w:gridSpan w:val="7"/>
          </w:tcPr>
          <w:p>
            <w:pPr>
              <w:ind w:left="2500"/>
              <w:spacing w:after="0"/>
              <w:rPr>
                <w:sz w:val="20"/>
                <w:szCs w:val="20"/>
                <w:color w:val="auto"/>
              </w:rPr>
            </w:pPr>
            <w:r>
              <w:rPr>
                <w:rFonts w:ascii="Arial" w:cs="Arial" w:eastAsia="Arial" w:hAnsi="Arial"/>
                <w:sz w:val="18"/>
                <w:szCs w:val="18"/>
                <w:b w:val="1"/>
                <w:bCs w:val="1"/>
                <w:color w:val="auto"/>
              </w:rPr>
              <w:t>Exhibit Name</w:t>
            </w:r>
          </w:p>
        </w:tc>
        <w:tc>
          <w:tcPr>
            <w:tcW w:w="1680" w:type="dxa"/>
            <w:vAlign w:val="bottom"/>
          </w:tcPr>
          <w:p>
            <w:pPr>
              <w:spacing w:after="0"/>
              <w:rPr>
                <w:sz w:val="20"/>
                <w:szCs w:val="20"/>
                <w:color w:val="auto"/>
              </w:rPr>
            </w:pPr>
          </w:p>
        </w:tc>
      </w:tr>
      <w:tr>
        <w:trPr>
          <w:trHeight w:val="27"/>
        </w:trPr>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196"/>
        </w:trPr>
        <w:tc>
          <w:tcPr>
            <w:tcW w:w="1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6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Restated Certificate of Incorporation of General Motors Company dated December 7, 2010, incorporated herein</w:t>
              </w:r>
            </w:hyperlink>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Incorporated by</w:t>
            </w:r>
          </w:p>
        </w:tc>
      </w:tr>
      <w:tr>
        <w:trPr>
          <w:trHeight w:val="196"/>
        </w:trPr>
        <w:tc>
          <w:tcPr>
            <w:tcW w:w="1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40" w:type="dxa"/>
            <w:vAlign w:val="bottom"/>
            <w:tcBorders>
              <w:bottom w:val="single" w:sz="8" w:color="0000FF"/>
            </w:tcBorders>
            <w:gridSpan w:val="7"/>
            <w:shd w:val="clear" w:color="auto" w:fill="CCEEFF"/>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by reference to Exhibit 3.2 to the Current Report on Form 8-K of General Motors Company filed December 13,</w:t>
              </w:r>
            </w:hyperlink>
          </w:p>
        </w:tc>
        <w:tc>
          <w:tcPr>
            <w:tcW w:w="120" w:type="dxa"/>
            <w:vAlign w:val="bottom"/>
            <w:tcBorders>
              <w:bottom w:val="single" w:sz="8" w:color="CCEEFF"/>
            </w:tcBorders>
            <w:gridSpan w:val="3"/>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Reference</w:t>
            </w:r>
          </w:p>
        </w:tc>
      </w:tr>
      <w:tr>
        <w:trPr>
          <w:trHeight w:val="196"/>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20"/>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2010</w:t>
              </w:r>
            </w:hyperlink>
          </w:p>
        </w:tc>
        <w:tc>
          <w:tcPr>
            <w:tcW w:w="1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48"/>
        </w:trPr>
        <w:tc>
          <w:tcPr>
            <w:tcW w:w="1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r>
      <w:tr>
        <w:trPr>
          <w:trHeight w:val="203"/>
        </w:trPr>
        <w:tc>
          <w:tcPr>
            <w:tcW w:w="124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80" w:type="dxa"/>
            <w:vAlign w:val="bottom"/>
            <w:tcBorders>
              <w:bottom w:val="single" w:sz="8" w:color="0000FF"/>
            </w:tcBorders>
            <w:gridSpan w:val="4"/>
          </w:tcPr>
          <w:p>
            <w:pPr>
              <w:spacing w:after="0" w:line="202" w:lineRule="exact"/>
              <w:rPr>
                <w:rFonts w:ascii="Arial" w:cs="Arial" w:eastAsia="Arial" w:hAnsi="Arial"/>
                <w:sz w:val="18"/>
                <w:szCs w:val="18"/>
                <w:color w:val="0000FF"/>
                <w:w w:val="89"/>
              </w:rPr>
            </w:pPr>
            <w:hyperlink r:id="rId18">
              <w:r>
                <w:rPr>
                  <w:rFonts w:ascii="Arial" w:cs="Arial" w:eastAsia="Arial" w:hAnsi="Arial"/>
                  <w:sz w:val="18"/>
                  <w:szCs w:val="18"/>
                  <w:color w:val="0000FF"/>
                  <w:w w:val="89"/>
                </w:rPr>
                <w:t>General Motors Company Amended and Restated Bylaws, as amended August 14, 2018, incorporated by</w:t>
              </w:r>
            </w:hyperlink>
          </w:p>
        </w:tc>
        <w:tc>
          <w:tcPr>
            <w:tcW w:w="580" w:type="dxa"/>
            <w:vAlign w:val="bottom"/>
            <w:gridSpan w:val="6"/>
          </w:tcPr>
          <w:p>
            <w:pPr>
              <w:spacing w:after="0"/>
              <w:rPr>
                <w:sz w:val="17"/>
                <w:szCs w:val="17"/>
                <w:color w:val="auto"/>
              </w:rPr>
            </w:pPr>
          </w:p>
        </w:tc>
        <w:tc>
          <w:tcPr>
            <w:tcW w:w="1680" w:type="dxa"/>
            <w:vAlign w:val="bottom"/>
          </w:tcPr>
          <w:p>
            <w:pPr>
              <w:ind w:left="140"/>
              <w:spacing w:after="0" w:line="202" w:lineRule="exact"/>
              <w:rPr>
                <w:sz w:val="20"/>
                <w:szCs w:val="20"/>
                <w:color w:val="auto"/>
              </w:rPr>
            </w:pPr>
            <w:r>
              <w:rPr>
                <w:rFonts w:ascii="Arial" w:cs="Arial" w:eastAsia="Arial" w:hAnsi="Arial"/>
                <w:sz w:val="18"/>
                <w:szCs w:val="18"/>
                <w:color w:val="auto"/>
              </w:rPr>
              <w:t>Incorporated by</w:t>
            </w: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reference to Exhibit 3.1 to the Current Report on Form 8-K of General Motors Company filed on August 20,</w:t>
              </w:r>
            </w:hyperlink>
          </w:p>
        </w:tc>
        <w:tc>
          <w:tcPr>
            <w:tcW w:w="340" w:type="dxa"/>
            <w:vAlign w:val="bottom"/>
            <w:gridSpan w:val="4"/>
          </w:tcPr>
          <w:p>
            <w:pPr>
              <w:spacing w:after="0"/>
              <w:rPr>
                <w:sz w:val="17"/>
                <w:szCs w:val="17"/>
                <w:color w:val="auto"/>
              </w:rPr>
            </w:pPr>
          </w:p>
        </w:tc>
        <w:tc>
          <w:tcPr>
            <w:tcW w:w="1680" w:type="dxa"/>
            <w:vAlign w:val="bottom"/>
          </w:tcPr>
          <w:p>
            <w:pPr>
              <w:ind w:left="140"/>
              <w:spacing w:after="0" w:line="196" w:lineRule="exact"/>
              <w:rPr>
                <w:sz w:val="20"/>
                <w:szCs w:val="20"/>
                <w:color w:val="auto"/>
              </w:rPr>
            </w:pPr>
            <w:r>
              <w:rPr>
                <w:rFonts w:ascii="Arial" w:cs="Arial" w:eastAsia="Arial" w:hAnsi="Arial"/>
                <w:sz w:val="18"/>
                <w:szCs w:val="18"/>
                <w:color w:val="auto"/>
              </w:rPr>
              <w:t>Reference</w:t>
            </w: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3"/>
          </w:tcPr>
          <w:p>
            <w:pPr>
              <w:ind w:left="20"/>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2018</w:t>
              </w:r>
            </w:hyperlink>
          </w:p>
        </w:tc>
        <w:tc>
          <w:tcPr>
            <w:tcW w:w="18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8"/>
        </w:trPr>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203"/>
        </w:trPr>
        <w:tc>
          <w:tcPr>
            <w:tcW w:w="12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64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Form of Performance Share Unit Award Agreement under the General Motors Company 2017 Long-Term</w:t>
              </w:r>
            </w:hyperlink>
          </w:p>
        </w:tc>
        <w:tc>
          <w:tcPr>
            <w:tcW w:w="520" w:type="dxa"/>
            <w:vAlign w:val="bottom"/>
            <w:tcBorders>
              <w:bottom w:val="single" w:sz="8" w:color="CCEEFF"/>
            </w:tcBorders>
            <w:gridSpan w:val="5"/>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Filed Herewith</w:t>
            </w:r>
          </w:p>
        </w:tc>
      </w:tr>
      <w:tr>
        <w:trPr>
          <w:trHeight w:val="243"/>
        </w:trPr>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Incentive Plan</w:t>
              </w:r>
            </w:hyperlink>
          </w:p>
        </w:tc>
        <w:tc>
          <w:tcPr>
            <w:tcW w:w="7120" w:type="dxa"/>
            <w:vAlign w:val="bottom"/>
            <w:tcBorders>
              <w:bottom w:val="single" w:sz="8" w:color="CCEEFF"/>
            </w:tcBorders>
            <w:gridSpan w:val="7"/>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03"/>
        </w:trPr>
        <w:tc>
          <w:tcPr>
            <w:tcW w:w="1240" w:type="dxa"/>
            <w:vAlign w:val="bottom"/>
          </w:tcPr>
          <w:p>
            <w:pPr>
              <w:ind w:left="40"/>
              <w:spacing w:after="0" w:line="202"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60" w:type="dxa"/>
            <w:vAlign w:val="bottom"/>
            <w:tcBorders>
              <w:bottom w:val="single" w:sz="8" w:color="0000FF"/>
            </w:tcBorders>
            <w:gridSpan w:val="10"/>
          </w:tcPr>
          <w:p>
            <w:pPr>
              <w:spacing w:after="0" w:line="202" w:lineRule="exact"/>
              <w:rPr>
                <w:rFonts w:ascii="Arial" w:cs="Arial" w:eastAsia="Arial" w:hAnsi="Arial"/>
                <w:sz w:val="18"/>
                <w:szCs w:val="18"/>
                <w:color w:val="0000FF"/>
                <w:w w:val="94"/>
              </w:rPr>
            </w:pPr>
            <w:hyperlink w:anchor="page60">
              <w:r>
                <w:rPr>
                  <w:rFonts w:ascii="Arial" w:cs="Arial" w:eastAsia="Arial" w:hAnsi="Arial"/>
                  <w:sz w:val="18"/>
                  <w:szCs w:val="18"/>
                  <w:color w:val="0000FF"/>
                  <w:w w:val="94"/>
                </w:rPr>
                <w:t>Form of Non-Qualified Stock Option Award Agreement under the General Motors Company 2017 Long-Term</w:t>
              </w:r>
            </w:hyperlink>
          </w:p>
        </w:tc>
        <w:tc>
          <w:tcPr>
            <w:tcW w:w="1680" w:type="dxa"/>
            <w:vAlign w:val="bottom"/>
          </w:tcPr>
          <w:p>
            <w:pPr>
              <w:ind w:left="140"/>
              <w:spacing w:after="0" w:line="202" w:lineRule="exact"/>
              <w:rPr>
                <w:sz w:val="20"/>
                <w:szCs w:val="20"/>
                <w:color w:val="auto"/>
              </w:rPr>
            </w:pPr>
            <w:r>
              <w:rPr>
                <w:rFonts w:ascii="Arial" w:cs="Arial" w:eastAsia="Arial" w:hAnsi="Arial"/>
                <w:sz w:val="18"/>
                <w:szCs w:val="18"/>
                <w:color w:val="auto"/>
              </w:rPr>
              <w:t>Filed Herewith</w:t>
            </w: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60" w:type="dxa"/>
            <w:vAlign w:val="bottom"/>
            <w:gridSpan w:val="10"/>
          </w:tcPr>
          <w:p>
            <w:pPr>
              <w:spacing w:after="0" w:line="196" w:lineRule="exact"/>
              <w:rPr>
                <w:rFonts w:ascii="Arial" w:cs="Arial" w:eastAsia="Arial" w:hAnsi="Arial"/>
                <w:sz w:val="18"/>
                <w:szCs w:val="18"/>
                <w:color w:val="0000FF"/>
              </w:rPr>
            </w:pPr>
            <w:hyperlink w:anchor="page60">
              <w:r>
                <w:rPr>
                  <w:rFonts w:ascii="Arial" w:cs="Arial" w:eastAsia="Arial" w:hAnsi="Arial"/>
                  <w:sz w:val="18"/>
                  <w:szCs w:val="18"/>
                  <w:color w:val="0000FF"/>
                </w:rPr>
                <w:t>Incentive Plan</w:t>
              </w:r>
            </w:hyperlink>
          </w:p>
        </w:tc>
        <w:tc>
          <w:tcPr>
            <w:tcW w:w="1680" w:type="dxa"/>
            <w:vAlign w:val="bottom"/>
          </w:tcPr>
          <w:p>
            <w:pPr>
              <w:spacing w:after="0"/>
              <w:rPr>
                <w:sz w:val="17"/>
                <w:szCs w:val="17"/>
                <w:color w:val="auto"/>
              </w:rPr>
            </w:pPr>
          </w:p>
        </w:tc>
      </w:tr>
      <w:tr>
        <w:trPr>
          <w:trHeight w:val="48"/>
        </w:trPr>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Section 302 Certification of the Chief Executive Officer</w:t>
              </w:r>
            </w:hyperlink>
          </w:p>
        </w:tc>
        <w:tc>
          <w:tcPr>
            <w:tcW w:w="1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Filed Herewith</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60" w:type="dxa"/>
            <w:vAlign w:val="bottom"/>
            <w:gridSpan w:val="10"/>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Section 302 Certification of the Chief Financial Officer</w:t>
              </w:r>
            </w:hyperlink>
          </w:p>
        </w:tc>
        <w:tc>
          <w:tcPr>
            <w:tcW w:w="168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7"/>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3"/>
        </w:trPr>
        <w:tc>
          <w:tcPr>
            <w:tcW w:w="12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140" w:type="dxa"/>
            <w:vAlign w:val="bottom"/>
            <w:tcBorders>
              <w:bottom w:val="single" w:sz="8" w:color="0000FF"/>
            </w:tcBorders>
            <w:gridSpan w:val="9"/>
            <w:shd w:val="clear" w:color="auto" w:fill="CCEEFF"/>
          </w:tcPr>
          <w:p>
            <w:pPr>
              <w:spacing w:after="0" w:line="202" w:lineRule="exact"/>
              <w:rPr>
                <w:rFonts w:ascii="Arial" w:cs="Arial" w:eastAsia="Arial" w:hAnsi="Arial"/>
                <w:sz w:val="18"/>
                <w:szCs w:val="18"/>
                <w:color w:val="0000FF"/>
                <w:w w:val="93"/>
              </w:rPr>
            </w:pPr>
            <w:hyperlink w:anchor="page67">
              <w:r>
                <w:rPr>
                  <w:rFonts w:ascii="Arial" w:cs="Arial" w:eastAsia="Arial" w:hAnsi="Arial"/>
                  <w:sz w:val="18"/>
                  <w:szCs w:val="18"/>
                  <w:color w:val="0000FF"/>
                  <w:w w:val="93"/>
                </w:rPr>
                <w:t>Certification Pursuant to 18 U.S.C. Section 1350, As Adopted Pursuant to Section 906 of the Sarbanes-Oxley</w:t>
              </w:r>
            </w:hyperlink>
          </w:p>
        </w:tc>
        <w:tc>
          <w:tcPr>
            <w:tcW w:w="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Furnished with this</w:t>
            </w:r>
          </w:p>
        </w:tc>
      </w:tr>
      <w:tr>
        <w:trPr>
          <w:trHeight w:val="243"/>
        </w:trPr>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92"/>
              </w:rPr>
            </w:pPr>
            <w:hyperlink w:anchor="page67">
              <w:r>
                <w:rPr>
                  <w:rFonts w:ascii="Arial" w:cs="Arial" w:eastAsia="Arial" w:hAnsi="Arial"/>
                  <w:sz w:val="18"/>
                  <w:szCs w:val="18"/>
                  <w:color w:val="0000FF"/>
                  <w:w w:val="92"/>
                </w:rPr>
                <w:t>Act of 2002</w:t>
              </w:r>
            </w:hyperlink>
          </w:p>
        </w:tc>
        <w:tc>
          <w:tcPr>
            <w:tcW w:w="7300" w:type="dxa"/>
            <w:vAlign w:val="bottom"/>
            <w:tcBorders>
              <w:bottom w:val="single" w:sz="8" w:color="CCEEFF"/>
            </w:tcBorders>
            <w:gridSpan w:val="8"/>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Report</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60" w:type="dxa"/>
            <w:vAlign w:val="bottom"/>
            <w:gridSpan w:val="10"/>
          </w:tcPr>
          <w:p>
            <w:pPr>
              <w:spacing w:after="0"/>
              <w:rPr>
                <w:sz w:val="20"/>
                <w:szCs w:val="20"/>
                <w:color w:val="auto"/>
              </w:rPr>
            </w:pPr>
            <w:r>
              <w:rPr>
                <w:rFonts w:ascii="Arial" w:cs="Arial" w:eastAsia="Arial" w:hAnsi="Arial"/>
                <w:sz w:val="18"/>
                <w:szCs w:val="18"/>
                <w:color w:val="auto"/>
                <w:w w:val="94"/>
              </w:rPr>
              <w:t>The following financial information from the Company’s Quarterly Report on Form 10-Q for the quarter ended</w:t>
            </w:r>
          </w:p>
        </w:tc>
        <w:tc>
          <w:tcPr>
            <w:tcW w:w="168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60" w:type="dxa"/>
            <w:vAlign w:val="bottom"/>
            <w:gridSpan w:val="10"/>
          </w:tcPr>
          <w:p>
            <w:pPr>
              <w:spacing w:after="0"/>
              <w:rPr>
                <w:sz w:val="20"/>
                <w:szCs w:val="20"/>
                <w:color w:val="auto"/>
              </w:rPr>
            </w:pPr>
            <w:r>
              <w:rPr>
                <w:rFonts w:ascii="Arial" w:cs="Arial" w:eastAsia="Arial" w:hAnsi="Arial"/>
                <w:sz w:val="18"/>
                <w:szCs w:val="18"/>
                <w:color w:val="auto"/>
              </w:rPr>
              <w:t>March 31, 2020, formatted in Inline Extensible Business Reporting Language (iXBRL) includes: (i) the</w:t>
            </w:r>
          </w:p>
        </w:tc>
        <w:tc>
          <w:tcPr>
            <w:tcW w:w="16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60" w:type="dxa"/>
            <w:vAlign w:val="bottom"/>
            <w:gridSpan w:val="10"/>
          </w:tcPr>
          <w:p>
            <w:pPr>
              <w:spacing w:after="0"/>
              <w:rPr>
                <w:sz w:val="20"/>
                <w:szCs w:val="20"/>
                <w:color w:val="auto"/>
              </w:rPr>
            </w:pPr>
            <w:r>
              <w:rPr>
                <w:rFonts w:ascii="Arial" w:cs="Arial" w:eastAsia="Arial" w:hAnsi="Arial"/>
                <w:sz w:val="18"/>
                <w:szCs w:val="18"/>
                <w:color w:val="auto"/>
                <w:w w:val="92"/>
              </w:rPr>
              <w:t>Condensed Consolidated Income Statements, (ii) the Condensed Consolidated Statements of Comprehensive</w:t>
            </w:r>
          </w:p>
        </w:tc>
        <w:tc>
          <w:tcPr>
            <w:tcW w:w="16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60" w:type="dxa"/>
            <w:vAlign w:val="bottom"/>
            <w:gridSpan w:val="10"/>
          </w:tcPr>
          <w:p>
            <w:pPr>
              <w:spacing w:after="0"/>
              <w:rPr>
                <w:sz w:val="20"/>
                <w:szCs w:val="20"/>
                <w:color w:val="auto"/>
              </w:rPr>
            </w:pPr>
            <w:r>
              <w:rPr>
                <w:rFonts w:ascii="Arial" w:cs="Arial" w:eastAsia="Arial" w:hAnsi="Arial"/>
                <w:sz w:val="18"/>
                <w:szCs w:val="18"/>
                <w:color w:val="auto"/>
                <w:w w:val="90"/>
              </w:rPr>
              <w:t>Income, (iii) the Condensed Consolidated Balance Sheets, (iv) the Condensed Consolidated Statements of Cash</w:t>
            </w:r>
          </w:p>
        </w:tc>
        <w:tc>
          <w:tcPr>
            <w:tcW w:w="16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60" w:type="dxa"/>
            <w:vAlign w:val="bottom"/>
            <w:gridSpan w:val="10"/>
          </w:tcPr>
          <w:p>
            <w:pPr>
              <w:spacing w:after="0"/>
              <w:rPr>
                <w:sz w:val="20"/>
                <w:szCs w:val="20"/>
                <w:color w:val="auto"/>
              </w:rPr>
            </w:pPr>
            <w:r>
              <w:rPr>
                <w:rFonts w:ascii="Arial" w:cs="Arial" w:eastAsia="Arial" w:hAnsi="Arial"/>
                <w:sz w:val="18"/>
                <w:szCs w:val="18"/>
                <w:color w:val="auto"/>
                <w:w w:val="94"/>
              </w:rPr>
              <w:t>Flows, (v) the Condensed Consolidated Statements of Equity and (vi) Notes to the Condensed Consolidated</w:t>
            </w:r>
          </w:p>
        </w:tc>
        <w:tc>
          <w:tcPr>
            <w:tcW w:w="168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60" w:type="dxa"/>
            <w:vAlign w:val="bottom"/>
            <w:gridSpan w:val="10"/>
          </w:tcPr>
          <w:p>
            <w:pPr>
              <w:spacing w:after="0"/>
              <w:rPr>
                <w:sz w:val="20"/>
                <w:szCs w:val="20"/>
                <w:color w:val="auto"/>
              </w:rPr>
            </w:pPr>
            <w:r>
              <w:rPr>
                <w:rFonts w:ascii="Arial" w:cs="Arial" w:eastAsia="Arial" w:hAnsi="Arial"/>
                <w:sz w:val="18"/>
                <w:szCs w:val="18"/>
                <w:color w:val="auto"/>
              </w:rPr>
              <w:t>Financial Statements</w:t>
            </w:r>
          </w:p>
        </w:tc>
        <w:tc>
          <w:tcPr>
            <w:tcW w:w="1680" w:type="dxa"/>
            <w:vAlign w:val="bottom"/>
          </w:tcPr>
          <w:p>
            <w:pPr>
              <w:spacing w:after="0"/>
              <w:rPr>
                <w:sz w:val="20"/>
                <w:szCs w:val="20"/>
                <w:color w:val="auto"/>
              </w:rPr>
            </w:pPr>
          </w:p>
        </w:tc>
      </w:tr>
      <w:tr>
        <w:trPr>
          <w:trHeight w:val="27"/>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160" w:type="dxa"/>
            <w:vAlign w:val="bottom"/>
            <w:gridSpan w:val="10"/>
            <w:shd w:val="clear" w:color="auto" w:fill="CCEEFF"/>
          </w:tcPr>
          <w:p>
            <w:pPr>
              <w:spacing w:after="0"/>
              <w:rPr>
                <w:sz w:val="20"/>
                <w:szCs w:val="20"/>
                <w:color w:val="auto"/>
              </w:rPr>
            </w:pPr>
            <w:r>
              <w:rPr>
                <w:rFonts w:ascii="Arial" w:cs="Arial" w:eastAsia="Arial" w:hAnsi="Arial"/>
                <w:sz w:val="18"/>
                <w:szCs w:val="18"/>
                <w:color w:val="auto"/>
                <w:w w:val="95"/>
              </w:rPr>
              <w:t>The cover page from the Company's Quarterly Report on Form 10-Q for the quarter ended March 31, 2020,</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Filed Herewith</w:t>
            </w:r>
          </w:p>
        </w:tc>
      </w:tr>
      <w:tr>
        <w:trPr>
          <w:trHeight w:val="230"/>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1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formatted as Inline XBRL and contained in Exhibit 101</w:t>
            </w:r>
          </w:p>
        </w:tc>
        <w:tc>
          <w:tcPr>
            <w:tcW w:w="1680" w:type="dxa"/>
            <w:vAlign w:val="bottom"/>
            <w:shd w:val="clear" w:color="auto" w:fill="CCEEFF"/>
          </w:tcPr>
          <w:p>
            <w:pPr>
              <w:spacing w:after="0"/>
              <w:rPr>
                <w:sz w:val="20"/>
                <w:szCs w:val="20"/>
                <w:color w:val="auto"/>
              </w:rPr>
            </w:pPr>
          </w:p>
        </w:tc>
      </w:tr>
      <w:tr>
        <w:trPr>
          <w:trHeight w:val="27"/>
        </w:trPr>
        <w:tc>
          <w:tcPr>
            <w:tcW w:w="1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6"/>
          <w:szCs w:val="16"/>
          <w:color w:val="auto"/>
        </w:rPr>
        <w:t>__________</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Management contracts or compensatory plans and arrangements.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right="50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880"/>
        <w:spacing w:after="0"/>
        <w:tabs>
          <w:tab w:leader="none" w:pos="6320" w:val="left"/>
        </w:tabs>
        <w:rPr>
          <w:sz w:val="20"/>
          <w:szCs w:val="20"/>
          <w:color w:val="auto"/>
        </w:rPr>
      </w:pPr>
      <w:r>
        <w:rPr>
          <w:rFonts w:ascii="Arial" w:cs="Arial" w:eastAsia="Arial" w:hAnsi="Arial"/>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31750</wp:posOffset>
            </wp:positionV>
            <wp:extent cx="29914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7"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Christopher T. Hatto, Vice President, Global Business Solutions</w:t>
      </w:r>
    </w:p>
    <w:p>
      <w:pPr>
        <w:spacing w:after="0" w:line="4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and Chief Accounting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6, 2020</w:t>
      </w:r>
    </w:p>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0"/>
          </w:cols>
          <w:pgMar w:left="320" w:top="125" w:right="6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Motors Company</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2017 Long-Term Incentive Plan</w:t>
      </w:r>
    </w:p>
    <w:p>
      <w:pPr>
        <w:ind w:left="3880"/>
        <w:spacing w:after="0"/>
        <w:rPr>
          <w:sz w:val="20"/>
          <w:szCs w:val="20"/>
          <w:color w:val="auto"/>
        </w:rPr>
      </w:pPr>
      <w:r>
        <w:rPr>
          <w:rFonts w:ascii="Arial" w:cs="Arial" w:eastAsia="Arial" w:hAnsi="Arial"/>
          <w:sz w:val="20"/>
          <w:szCs w:val="20"/>
          <w:b w:val="1"/>
          <w:bCs w:val="1"/>
          <w:color w:val="auto"/>
        </w:rPr>
        <w:t>Award Document for [Insert Date] Grant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10" w:lineRule="exact"/>
        <w:rPr>
          <w:sz w:val="20"/>
          <w:szCs w:val="20"/>
          <w:color w:val="auto"/>
        </w:rPr>
      </w:pPr>
    </w:p>
    <w:p>
      <w:pPr>
        <w:ind w:right="280"/>
        <w:spacing w:after="0" w:line="293" w:lineRule="auto"/>
        <w:rPr>
          <w:sz w:val="20"/>
          <w:szCs w:val="20"/>
          <w:color w:val="auto"/>
        </w:rPr>
      </w:pPr>
      <w:r>
        <w:rPr>
          <w:rFonts w:ascii="Arial" w:cs="Arial" w:eastAsia="Arial" w:hAnsi="Arial"/>
          <w:sz w:val="19"/>
          <w:szCs w:val="19"/>
          <w:color w:val="auto"/>
        </w:rPr>
        <w:t>This letter (“</w:t>
      </w:r>
      <w:r>
        <w:rPr>
          <w:rFonts w:ascii="Arial" w:cs="Arial" w:eastAsia="Arial" w:hAnsi="Arial"/>
          <w:sz w:val="19"/>
          <w:szCs w:val="19"/>
          <w:b w:val="1"/>
          <w:bCs w:val="1"/>
          <w:color w:val="auto"/>
        </w:rPr>
        <w:t>Award Document</w:t>
      </w:r>
      <w:r>
        <w:rPr>
          <w:rFonts w:ascii="Arial" w:cs="Arial" w:eastAsia="Arial" w:hAnsi="Arial"/>
          <w:sz w:val="19"/>
          <w:szCs w:val="19"/>
          <w:color w:val="auto"/>
        </w:rPr>
        <w:t>”) describes the details under which you are being granted an Award of Performance Share Units (“</w:t>
      </w:r>
      <w:r>
        <w:rPr>
          <w:rFonts w:ascii="Arial" w:cs="Arial" w:eastAsia="Arial" w:hAnsi="Arial"/>
          <w:sz w:val="19"/>
          <w:szCs w:val="19"/>
          <w:b w:val="1"/>
          <w:bCs w:val="1"/>
          <w:color w:val="auto"/>
        </w:rPr>
        <w:t>PSUs</w:t>
      </w:r>
      <w:r>
        <w:rPr>
          <w:rFonts w:ascii="Arial" w:cs="Arial" w:eastAsia="Arial" w:hAnsi="Arial"/>
          <w:sz w:val="19"/>
          <w:szCs w:val="19"/>
          <w:color w:val="auto"/>
        </w:rPr>
        <w:t>”) under the General Motors Company 2017 Long-Term Incentive Plan (as amended from time to time, the “</w:t>
      </w:r>
      <w:r>
        <w:rPr>
          <w:rFonts w:ascii="Arial" w:cs="Arial" w:eastAsia="Arial" w:hAnsi="Arial"/>
          <w:sz w:val="19"/>
          <w:szCs w:val="19"/>
          <w:b w:val="1"/>
          <w:bCs w:val="1"/>
          <w:color w:val="auto"/>
        </w:rPr>
        <w:t>Plan</w:t>
      </w:r>
      <w:r>
        <w:rPr>
          <w:rFonts w:ascii="Arial" w:cs="Arial" w:eastAsia="Arial" w:hAnsi="Arial"/>
          <w:sz w:val="19"/>
          <w:szCs w:val="19"/>
          <w:color w:val="auto"/>
        </w:rPr>
        <w:t>”).</w:t>
      </w:r>
    </w:p>
    <w:p>
      <w:pPr>
        <w:spacing w:after="0" w:line="148"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A copy of the Plan can be found on the Solium Shareworks site. Capitalized terms used in this Award Document have the meanings given in the Plan unless noted otherwise.</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Issuer</w:t>
            </w:r>
          </w:p>
        </w:tc>
        <w:tc>
          <w:tcPr>
            <w:tcW w:w="83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General Motors Company, a Delaware corporation</w:t>
            </w:r>
          </w:p>
        </w:tc>
      </w:tr>
      <w:tr>
        <w:trPr>
          <w:trHeight w:val="23"/>
        </w:trPr>
        <w:tc>
          <w:tcPr>
            <w:tcW w:w="2400" w:type="dxa"/>
            <w:vAlign w:val="bottom"/>
            <w:tcBorders>
              <w:left w:val="single" w:sz="8" w:color="00000A"/>
              <w:bottom w:val="single" w:sz="8" w:color="00000A"/>
              <w:right w:val="single" w:sz="8" w:color="00000A"/>
            </w:tcBorders>
          </w:tcPr>
          <w:p>
            <w:pPr>
              <w:spacing w:after="0"/>
              <w:rPr>
                <w:sz w:val="2"/>
                <w:szCs w:val="2"/>
                <w:color w:val="auto"/>
              </w:rPr>
            </w:pPr>
          </w:p>
        </w:tc>
        <w:tc>
          <w:tcPr>
            <w:tcW w:w="8380" w:type="dxa"/>
            <w:vAlign w:val="bottom"/>
            <w:tcBorders>
              <w:bottom w:val="single" w:sz="8" w:color="00000A"/>
              <w:right w:val="single" w:sz="8" w:color="00000A"/>
            </w:tcBorders>
          </w:tcPr>
          <w:p>
            <w:pPr>
              <w:spacing w:after="0"/>
              <w:rPr>
                <w:sz w:val="2"/>
                <w:szCs w:val="2"/>
                <w:color w:val="auto"/>
              </w:rPr>
            </w:pPr>
          </w:p>
        </w:tc>
      </w:tr>
      <w:tr>
        <w:trPr>
          <w:trHeight w:val="254"/>
        </w:trPr>
        <w:tc>
          <w:tcPr>
            <w:tcW w:w="2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Number of Target Units</w:t>
            </w:r>
          </w:p>
        </w:tc>
        <w:tc>
          <w:tcPr>
            <w:tcW w:w="83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Your number of “</w:t>
            </w:r>
            <w:r>
              <w:rPr>
                <w:rFonts w:ascii="Arial" w:cs="Arial" w:eastAsia="Arial" w:hAnsi="Arial"/>
                <w:sz w:val="20"/>
                <w:szCs w:val="20"/>
                <w:b w:val="1"/>
                <w:bCs w:val="1"/>
                <w:color w:val="auto"/>
              </w:rPr>
              <w:t>Target Units</w:t>
            </w:r>
            <w:r>
              <w:rPr>
                <w:rFonts w:ascii="Arial" w:cs="Arial" w:eastAsia="Arial" w:hAnsi="Arial"/>
                <w:sz w:val="20"/>
                <w:szCs w:val="20"/>
                <w:color w:val="auto"/>
              </w:rPr>
              <w:t>” is [Insert Number] PSUs</w:t>
            </w:r>
          </w:p>
        </w:tc>
      </w:tr>
      <w:tr>
        <w:trPr>
          <w:trHeight w:val="239"/>
        </w:trPr>
        <w:tc>
          <w:tcPr>
            <w:tcW w:w="2400" w:type="dxa"/>
            <w:vAlign w:val="bottom"/>
            <w:tcBorders>
              <w:left w:val="single" w:sz="8" w:color="00000A"/>
              <w:bottom w:val="single" w:sz="8" w:color="00000A"/>
              <w:right w:val="single" w:sz="8" w:color="00000A"/>
            </w:tcBorders>
          </w:tcPr>
          <w:p>
            <w:pPr>
              <w:spacing w:after="0"/>
              <w:rPr>
                <w:sz w:val="20"/>
                <w:szCs w:val="20"/>
                <w:color w:val="auto"/>
              </w:rPr>
            </w:pPr>
          </w:p>
        </w:tc>
        <w:tc>
          <w:tcPr>
            <w:tcW w:w="8380" w:type="dxa"/>
            <w:vAlign w:val="bottom"/>
            <w:tcBorders>
              <w:bottom w:val="single" w:sz="8" w:color="00000A"/>
              <w:right w:val="single" w:sz="8" w:color="00000A"/>
            </w:tcBorders>
          </w:tcPr>
          <w:p>
            <w:pPr>
              <w:spacing w:after="0"/>
              <w:rPr>
                <w:sz w:val="20"/>
                <w:szCs w:val="20"/>
                <w:color w:val="auto"/>
              </w:rPr>
            </w:pPr>
          </w:p>
        </w:tc>
      </w:tr>
      <w:tr>
        <w:trPr>
          <w:trHeight w:val="254"/>
        </w:trPr>
        <w:tc>
          <w:tcPr>
            <w:tcW w:w="2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Grant Date</w:t>
            </w:r>
          </w:p>
        </w:tc>
        <w:tc>
          <w:tcPr>
            <w:tcW w:w="83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[Insert Date]</w:t>
            </w:r>
          </w:p>
        </w:tc>
      </w:tr>
      <w:tr>
        <w:trPr>
          <w:trHeight w:val="23"/>
        </w:trPr>
        <w:tc>
          <w:tcPr>
            <w:tcW w:w="2400" w:type="dxa"/>
            <w:vAlign w:val="bottom"/>
            <w:tcBorders>
              <w:left w:val="single" w:sz="8" w:color="00000A"/>
              <w:bottom w:val="single" w:sz="8" w:color="00000A"/>
              <w:right w:val="single" w:sz="8" w:color="00000A"/>
            </w:tcBorders>
          </w:tcPr>
          <w:p>
            <w:pPr>
              <w:spacing w:after="0"/>
              <w:rPr>
                <w:sz w:val="2"/>
                <w:szCs w:val="2"/>
                <w:color w:val="auto"/>
              </w:rPr>
            </w:pPr>
          </w:p>
        </w:tc>
        <w:tc>
          <w:tcPr>
            <w:tcW w:w="8380" w:type="dxa"/>
            <w:vAlign w:val="bottom"/>
            <w:tcBorders>
              <w:bottom w:val="single" w:sz="8" w:color="00000A"/>
              <w:right w:val="single" w:sz="8" w:color="00000A"/>
            </w:tcBorders>
          </w:tcPr>
          <w:p>
            <w:pPr>
              <w:spacing w:after="0"/>
              <w:rPr>
                <w:sz w:val="2"/>
                <w:szCs w:val="2"/>
                <w:color w:val="auto"/>
              </w:rPr>
            </w:pPr>
          </w:p>
        </w:tc>
      </w:tr>
      <w:tr>
        <w:trPr>
          <w:trHeight w:val="254"/>
        </w:trPr>
        <w:tc>
          <w:tcPr>
            <w:tcW w:w="2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Performance Period</w:t>
            </w:r>
          </w:p>
        </w:tc>
        <w:tc>
          <w:tcPr>
            <w:tcW w:w="83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[Insert Date] through [Insert Date]</w:t>
            </w:r>
          </w:p>
        </w:tc>
      </w:tr>
      <w:tr>
        <w:trPr>
          <w:trHeight w:val="23"/>
        </w:trPr>
        <w:tc>
          <w:tcPr>
            <w:tcW w:w="2400" w:type="dxa"/>
            <w:vAlign w:val="bottom"/>
            <w:tcBorders>
              <w:left w:val="single" w:sz="8" w:color="00000A"/>
              <w:bottom w:val="single" w:sz="8" w:color="00000A"/>
              <w:right w:val="single" w:sz="8" w:color="00000A"/>
            </w:tcBorders>
          </w:tcPr>
          <w:p>
            <w:pPr>
              <w:spacing w:after="0"/>
              <w:rPr>
                <w:sz w:val="2"/>
                <w:szCs w:val="2"/>
                <w:color w:val="auto"/>
              </w:rPr>
            </w:pPr>
          </w:p>
        </w:tc>
        <w:tc>
          <w:tcPr>
            <w:tcW w:w="8380" w:type="dxa"/>
            <w:vAlign w:val="bottom"/>
            <w:tcBorders>
              <w:bottom w:val="single" w:sz="8" w:color="00000A"/>
              <w:right w:val="single" w:sz="8" w:color="00000A"/>
            </w:tcBorders>
          </w:tcPr>
          <w:p>
            <w:pPr>
              <w:spacing w:after="0"/>
              <w:rPr>
                <w:sz w:val="2"/>
                <w:szCs w:val="2"/>
                <w:color w:val="auto"/>
              </w:rPr>
            </w:pPr>
          </w:p>
        </w:tc>
      </w:tr>
      <w:tr>
        <w:trPr>
          <w:trHeight w:val="254"/>
        </w:trPr>
        <w:tc>
          <w:tcPr>
            <w:tcW w:w="2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w w:val="99"/>
              </w:rPr>
              <w:t>Performance Conditions</w:t>
            </w:r>
          </w:p>
        </w:tc>
        <w:tc>
          <w:tcPr>
            <w:tcW w:w="83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 xml:space="preserve">See the </w:t>
            </w:r>
            <w:r>
              <w:rPr>
                <w:rFonts w:ascii="Arial" w:cs="Arial" w:eastAsia="Arial" w:hAnsi="Arial"/>
                <w:sz w:val="20"/>
                <w:szCs w:val="20"/>
                <w:b w:val="1"/>
                <w:bCs w:val="1"/>
                <w:color w:val="auto"/>
              </w:rPr>
              <w:t>Performance Conditions</w:t>
            </w:r>
            <w:r>
              <w:rPr>
                <w:rFonts w:ascii="Arial" w:cs="Arial" w:eastAsia="Arial" w:hAnsi="Arial"/>
                <w:sz w:val="20"/>
                <w:szCs w:val="20"/>
                <w:color w:val="auto"/>
              </w:rPr>
              <w:t xml:space="preserve"> set forth on Exhibit A of this Award Document</w:t>
            </w:r>
          </w:p>
        </w:tc>
      </w:tr>
      <w:tr>
        <w:trPr>
          <w:trHeight w:val="23"/>
        </w:trPr>
        <w:tc>
          <w:tcPr>
            <w:tcW w:w="2400" w:type="dxa"/>
            <w:vAlign w:val="bottom"/>
            <w:tcBorders>
              <w:left w:val="single" w:sz="8" w:color="00000A"/>
              <w:bottom w:val="single" w:sz="8" w:color="00000A"/>
              <w:right w:val="single" w:sz="8" w:color="00000A"/>
            </w:tcBorders>
          </w:tcPr>
          <w:p>
            <w:pPr>
              <w:spacing w:after="0"/>
              <w:rPr>
                <w:sz w:val="2"/>
                <w:szCs w:val="2"/>
                <w:color w:val="auto"/>
              </w:rPr>
            </w:pPr>
          </w:p>
        </w:tc>
        <w:tc>
          <w:tcPr>
            <w:tcW w:w="8380" w:type="dxa"/>
            <w:vAlign w:val="bottom"/>
            <w:tcBorders>
              <w:bottom w:val="single" w:sz="8" w:color="00000A"/>
              <w:right w:val="single" w:sz="8" w:color="00000A"/>
            </w:tcBorders>
          </w:tcPr>
          <w:p>
            <w:pPr>
              <w:spacing w:after="0"/>
              <w:rPr>
                <w:sz w:val="2"/>
                <w:szCs w:val="2"/>
                <w:color w:val="auto"/>
              </w:rPr>
            </w:pPr>
          </w:p>
        </w:tc>
      </w:tr>
      <w:tr>
        <w:trPr>
          <w:trHeight w:val="227"/>
        </w:trPr>
        <w:tc>
          <w:tcPr>
            <w:tcW w:w="2400" w:type="dxa"/>
            <w:vAlign w:val="bottom"/>
            <w:tcBorders>
              <w:left w:val="single" w:sz="8" w:color="00000A"/>
              <w:right w:val="single" w:sz="8" w:color="00000A"/>
            </w:tcBorders>
          </w:tcPr>
          <w:p>
            <w:pPr>
              <w:ind w:left="40"/>
              <w:spacing w:after="0" w:line="228" w:lineRule="exact"/>
              <w:rPr>
                <w:sz w:val="20"/>
                <w:szCs w:val="20"/>
                <w:color w:val="auto"/>
              </w:rPr>
            </w:pPr>
            <w:r>
              <w:rPr>
                <w:rFonts w:ascii="Arial" w:cs="Arial" w:eastAsia="Arial" w:hAnsi="Arial"/>
                <w:sz w:val="20"/>
                <w:szCs w:val="20"/>
                <w:b w:val="1"/>
                <w:bCs w:val="1"/>
                <w:color w:val="auto"/>
                <w:w w:val="91"/>
              </w:rPr>
              <w:t>Settlement Conditions and</w:t>
            </w:r>
          </w:p>
        </w:tc>
        <w:tc>
          <w:tcPr>
            <w:tcW w:w="8380" w:type="dxa"/>
            <w:vAlign w:val="bottom"/>
            <w:tcBorders>
              <w:right w:val="single" w:sz="8" w:color="00000A"/>
            </w:tcBorders>
          </w:tcPr>
          <w:p>
            <w:pPr>
              <w:ind w:left="20"/>
              <w:spacing w:after="0" w:line="228" w:lineRule="exact"/>
              <w:rPr>
                <w:sz w:val="20"/>
                <w:szCs w:val="20"/>
                <w:color w:val="auto"/>
              </w:rPr>
            </w:pPr>
            <w:r>
              <w:rPr>
                <w:rFonts w:ascii="Arial" w:cs="Arial" w:eastAsia="Arial" w:hAnsi="Arial"/>
                <w:sz w:val="20"/>
                <w:szCs w:val="20"/>
                <w:color w:val="auto"/>
                <w:w w:val="90"/>
              </w:rPr>
              <w:t>Subject to the achievement of the Performance Conditions, any earned Award will vest and settle on the</w:t>
            </w:r>
          </w:p>
        </w:tc>
      </w:tr>
      <w:tr>
        <w:trPr>
          <w:trHeight w:val="236"/>
        </w:trPr>
        <w:tc>
          <w:tcPr>
            <w:tcW w:w="2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Settlement Date(s)</w:t>
            </w:r>
          </w:p>
        </w:tc>
        <w:tc>
          <w:tcPr>
            <w:tcW w:w="83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w:t>
            </w:r>
            <w:r>
              <w:rPr>
                <w:rFonts w:ascii="Arial" w:cs="Arial" w:eastAsia="Arial" w:hAnsi="Arial"/>
                <w:sz w:val="20"/>
                <w:szCs w:val="20"/>
                <w:b w:val="1"/>
                <w:bCs w:val="1"/>
                <w:color w:val="auto"/>
                <w:w w:val="92"/>
              </w:rPr>
              <w:t>Settlement Date</w:t>
            </w:r>
            <w:r>
              <w:rPr>
                <w:rFonts w:ascii="Arial" w:cs="Arial" w:eastAsia="Arial" w:hAnsi="Arial"/>
                <w:sz w:val="20"/>
                <w:szCs w:val="20"/>
                <w:color w:val="auto"/>
                <w:w w:val="92"/>
              </w:rPr>
              <w:t>,” which shall be a date in [Insert Year] selected by the Committee for the settlement</w:t>
            </w:r>
          </w:p>
        </w:tc>
      </w:tr>
      <w:tr>
        <w:trPr>
          <w:trHeight w:val="250"/>
        </w:trPr>
        <w:tc>
          <w:tcPr>
            <w:tcW w:w="2400" w:type="dxa"/>
            <w:vAlign w:val="bottom"/>
            <w:tcBorders>
              <w:left w:val="single" w:sz="8" w:color="00000A"/>
              <w:right w:val="single" w:sz="8" w:color="00000A"/>
            </w:tcBorders>
          </w:tcPr>
          <w:p>
            <w:pPr>
              <w:spacing w:after="0"/>
              <w:rPr>
                <w:sz w:val="21"/>
                <w:szCs w:val="21"/>
                <w:color w:val="auto"/>
              </w:rPr>
            </w:pPr>
          </w:p>
        </w:tc>
        <w:tc>
          <w:tcPr>
            <w:tcW w:w="83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of your Award.</w:t>
            </w:r>
          </w:p>
        </w:tc>
      </w:tr>
      <w:tr>
        <w:trPr>
          <w:trHeight w:val="303"/>
        </w:trPr>
        <w:tc>
          <w:tcPr>
            <w:tcW w:w="2400" w:type="dxa"/>
            <w:vAlign w:val="bottom"/>
            <w:tcBorders>
              <w:left w:val="single" w:sz="8" w:color="00000A"/>
              <w:right w:val="single" w:sz="8" w:color="00000A"/>
            </w:tcBorders>
          </w:tcPr>
          <w:p>
            <w:pPr>
              <w:spacing w:after="0"/>
              <w:rPr>
                <w:sz w:val="24"/>
                <w:szCs w:val="24"/>
                <w:color w:val="auto"/>
              </w:rPr>
            </w:pPr>
          </w:p>
        </w:tc>
        <w:tc>
          <w:tcPr>
            <w:tcW w:w="83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If you experience a Full Career Status Termination of Service prior to the first anniversary of the Grant</w:t>
            </w:r>
          </w:p>
        </w:tc>
      </w:tr>
      <w:tr>
        <w:trPr>
          <w:trHeight w:val="229"/>
        </w:trPr>
        <w:tc>
          <w:tcPr>
            <w:tcW w:w="2400" w:type="dxa"/>
            <w:vAlign w:val="bottom"/>
            <w:tcBorders>
              <w:left w:val="single" w:sz="8" w:color="00000A"/>
              <w:right w:val="single" w:sz="8" w:color="00000A"/>
            </w:tcBorders>
          </w:tcPr>
          <w:p>
            <w:pPr>
              <w:spacing w:after="0"/>
              <w:rPr>
                <w:sz w:val="19"/>
                <w:szCs w:val="19"/>
                <w:color w:val="auto"/>
              </w:rPr>
            </w:pPr>
          </w:p>
        </w:tc>
        <w:tc>
          <w:tcPr>
            <w:tcW w:w="83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Date, your Award will be prorated. The pro-rata portion of the Award that is retained shall continue to be</w:t>
            </w:r>
          </w:p>
        </w:tc>
      </w:tr>
      <w:tr>
        <w:trPr>
          <w:trHeight w:val="230"/>
        </w:trPr>
        <w:tc>
          <w:tcPr>
            <w:tcW w:w="2400" w:type="dxa"/>
            <w:vAlign w:val="bottom"/>
            <w:tcBorders>
              <w:left w:val="single" w:sz="8" w:color="00000A"/>
              <w:right w:val="single" w:sz="8" w:color="00000A"/>
            </w:tcBorders>
          </w:tcPr>
          <w:p>
            <w:pPr>
              <w:spacing w:after="0"/>
              <w:rPr>
                <w:sz w:val="19"/>
                <w:szCs w:val="19"/>
                <w:color w:val="auto"/>
              </w:rPr>
            </w:pPr>
          </w:p>
        </w:tc>
        <w:tc>
          <w:tcPr>
            <w:tcW w:w="83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subject to the achievement of the Performance Conditions and any earned Award will vest and settle on</w:t>
            </w:r>
          </w:p>
        </w:tc>
      </w:tr>
      <w:tr>
        <w:trPr>
          <w:trHeight w:val="230"/>
        </w:trPr>
        <w:tc>
          <w:tcPr>
            <w:tcW w:w="2400" w:type="dxa"/>
            <w:vAlign w:val="bottom"/>
            <w:tcBorders>
              <w:left w:val="single" w:sz="8" w:color="00000A"/>
              <w:right w:val="single" w:sz="8" w:color="00000A"/>
            </w:tcBorders>
          </w:tcPr>
          <w:p>
            <w:pPr>
              <w:spacing w:after="0"/>
              <w:rPr>
                <w:sz w:val="19"/>
                <w:szCs w:val="19"/>
                <w:color w:val="auto"/>
              </w:rPr>
            </w:pPr>
          </w:p>
        </w:tc>
        <w:tc>
          <w:tcPr>
            <w:tcW w:w="83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6"/>
              </w:rPr>
              <w:t>the Settlement Date, with the remaining portion of the Award being forfeited. The retained pro-rata</w:t>
            </w:r>
          </w:p>
        </w:tc>
      </w:tr>
      <w:tr>
        <w:trPr>
          <w:trHeight w:val="230"/>
        </w:trPr>
        <w:tc>
          <w:tcPr>
            <w:tcW w:w="2400" w:type="dxa"/>
            <w:vAlign w:val="bottom"/>
            <w:tcBorders>
              <w:left w:val="single" w:sz="8" w:color="00000A"/>
              <w:right w:val="single" w:sz="8" w:color="00000A"/>
            </w:tcBorders>
          </w:tcPr>
          <w:p>
            <w:pPr>
              <w:spacing w:after="0"/>
              <w:rPr>
                <w:sz w:val="19"/>
                <w:szCs w:val="19"/>
                <w:color w:val="auto"/>
              </w:rPr>
            </w:pPr>
          </w:p>
        </w:tc>
        <w:tc>
          <w:tcPr>
            <w:tcW w:w="83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portion of the Award is calculated based on the month in which your Full Career Status Termination of</w:t>
            </w:r>
          </w:p>
        </w:tc>
      </w:tr>
      <w:tr>
        <w:trPr>
          <w:trHeight w:val="250"/>
        </w:trPr>
        <w:tc>
          <w:tcPr>
            <w:tcW w:w="2400" w:type="dxa"/>
            <w:vAlign w:val="bottom"/>
            <w:tcBorders>
              <w:left w:val="single" w:sz="8" w:color="00000A"/>
              <w:right w:val="single" w:sz="8" w:color="00000A"/>
            </w:tcBorders>
          </w:tcPr>
          <w:p>
            <w:pPr>
              <w:spacing w:after="0"/>
              <w:rPr>
                <w:sz w:val="21"/>
                <w:szCs w:val="21"/>
                <w:color w:val="auto"/>
              </w:rPr>
            </w:pPr>
          </w:p>
        </w:tc>
        <w:tc>
          <w:tcPr>
            <w:tcW w:w="83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Service occurs as follows:</w:t>
            </w:r>
          </w:p>
        </w:tc>
      </w:tr>
      <w:tr>
        <w:trPr>
          <w:trHeight w:val="365"/>
        </w:trPr>
        <w:tc>
          <w:tcPr>
            <w:tcW w:w="2400" w:type="dxa"/>
            <w:vAlign w:val="bottom"/>
            <w:tcBorders>
              <w:left w:val="single" w:sz="8" w:color="00000A"/>
              <w:right w:val="single" w:sz="8" w:color="00000A"/>
            </w:tcBorders>
          </w:tcPr>
          <w:p>
            <w:pPr>
              <w:spacing w:after="0"/>
              <w:rPr>
                <w:sz w:val="24"/>
                <w:szCs w:val="24"/>
                <w:color w:val="auto"/>
              </w:rPr>
            </w:pPr>
          </w:p>
        </w:tc>
        <w:tc>
          <w:tcPr>
            <w:tcW w:w="83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[Insert Pro-Ration Schedule]</w:t>
            </w:r>
          </w:p>
        </w:tc>
      </w:tr>
      <w:tr>
        <w:trPr>
          <w:trHeight w:val="438"/>
        </w:trPr>
        <w:tc>
          <w:tcPr>
            <w:tcW w:w="2400" w:type="dxa"/>
            <w:vAlign w:val="bottom"/>
            <w:tcBorders>
              <w:left w:val="single" w:sz="8" w:color="00000A"/>
              <w:right w:val="single" w:sz="8" w:color="00000A"/>
            </w:tcBorders>
          </w:tcPr>
          <w:p>
            <w:pPr>
              <w:spacing w:after="0"/>
              <w:rPr>
                <w:sz w:val="24"/>
                <w:szCs w:val="24"/>
                <w:color w:val="auto"/>
              </w:rPr>
            </w:pPr>
          </w:p>
        </w:tc>
        <w:tc>
          <w:tcPr>
            <w:tcW w:w="83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Except as otherwise provided in the Plan and this Award Document, any portion of the PSUs not vested</w:t>
            </w:r>
          </w:p>
        </w:tc>
      </w:tr>
      <w:tr>
        <w:trPr>
          <w:trHeight w:val="250"/>
        </w:trPr>
        <w:tc>
          <w:tcPr>
            <w:tcW w:w="2400" w:type="dxa"/>
            <w:vAlign w:val="bottom"/>
            <w:tcBorders>
              <w:left w:val="single" w:sz="8" w:color="00000A"/>
              <w:right w:val="single" w:sz="8" w:color="00000A"/>
            </w:tcBorders>
          </w:tcPr>
          <w:p>
            <w:pPr>
              <w:spacing w:after="0"/>
              <w:rPr>
                <w:sz w:val="21"/>
                <w:szCs w:val="21"/>
                <w:color w:val="auto"/>
              </w:rPr>
            </w:pPr>
          </w:p>
        </w:tc>
        <w:tc>
          <w:tcPr>
            <w:tcW w:w="83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and settled prior to a Termination of Service shall be forfeited.</w:t>
            </w:r>
          </w:p>
        </w:tc>
      </w:tr>
      <w:tr>
        <w:trPr>
          <w:trHeight w:val="253"/>
        </w:trPr>
        <w:tc>
          <w:tcPr>
            <w:tcW w:w="2400" w:type="dxa"/>
            <w:vAlign w:val="bottom"/>
            <w:tcBorders>
              <w:left w:val="single" w:sz="8" w:color="00000A"/>
              <w:bottom w:val="single" w:sz="8" w:color="00000A"/>
              <w:right w:val="single" w:sz="8" w:color="00000A"/>
            </w:tcBorders>
          </w:tcPr>
          <w:p>
            <w:pPr>
              <w:spacing w:after="0"/>
              <w:rPr>
                <w:sz w:val="21"/>
                <w:szCs w:val="21"/>
                <w:color w:val="auto"/>
              </w:rPr>
            </w:pPr>
          </w:p>
        </w:tc>
        <w:tc>
          <w:tcPr>
            <w:tcW w:w="8380" w:type="dxa"/>
            <w:vAlign w:val="bottom"/>
            <w:tcBorders>
              <w:bottom w:val="single" w:sz="8" w:color="00000A"/>
              <w:right w:val="single" w:sz="8" w:color="00000A"/>
            </w:tcBorders>
          </w:tcPr>
          <w:p>
            <w:pPr>
              <w:spacing w:after="0"/>
              <w:rPr>
                <w:sz w:val="21"/>
                <w:szCs w:val="21"/>
                <w:color w:val="auto"/>
              </w:rPr>
            </w:pPr>
          </w:p>
        </w:tc>
      </w:tr>
    </w:tbl>
    <w:p>
      <w:pPr>
        <w:sectPr>
          <w:pgSz w:w="11900" w:h="16838" w:orient="portrait"/>
          <w:cols w:equalWidth="0" w:num="1">
            <w:col w:w="11240"/>
          </w:cols>
          <w:pgMar w:left="320" w:top="148" w:right="339" w:bottom="1440" w:gutter="0" w:footer="0" w:header="0"/>
        </w:sectPr>
      </w:pPr>
    </w:p>
    <w:bookmarkStart w:id="52" w:name="page53"/>
    <w:bookmarkEnd w:id="5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5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Form of Settlement</w:t>
            </w:r>
          </w:p>
        </w:tc>
        <w:tc>
          <w:tcPr>
            <w:tcW w:w="82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w w:val="92"/>
              </w:rPr>
              <w:t>Your Award will be settled in shares of common stock of the Company (“</w:t>
            </w:r>
            <w:r>
              <w:rPr>
                <w:rFonts w:ascii="Arial" w:cs="Arial" w:eastAsia="Arial" w:hAnsi="Arial"/>
                <w:sz w:val="20"/>
                <w:szCs w:val="20"/>
                <w:b w:val="1"/>
                <w:bCs w:val="1"/>
                <w:color w:val="auto"/>
                <w:w w:val="92"/>
              </w:rPr>
              <w:t>Shares</w:t>
            </w:r>
            <w:r>
              <w:rPr>
                <w:rFonts w:ascii="Arial" w:cs="Arial" w:eastAsia="Arial" w:hAnsi="Arial"/>
                <w:sz w:val="20"/>
                <w:szCs w:val="20"/>
                <w:color w:val="auto"/>
                <w:w w:val="92"/>
              </w:rPr>
              <w:t>”) to the extent such</w:t>
            </w:r>
          </w:p>
        </w:tc>
      </w:tr>
      <w:tr>
        <w:trPr>
          <w:trHeight w:val="250"/>
        </w:trPr>
        <w:tc>
          <w:tcPr>
            <w:tcW w:w="2500" w:type="dxa"/>
            <w:vAlign w:val="bottom"/>
            <w:tcBorders>
              <w:left w:val="single" w:sz="8" w:color="00000A"/>
              <w:right w:val="single" w:sz="8" w:color="00000A"/>
            </w:tcBorders>
          </w:tcPr>
          <w:p>
            <w:pPr>
              <w:spacing w:after="0"/>
              <w:rPr>
                <w:sz w:val="21"/>
                <w:szCs w:val="21"/>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Shares are earned pursuant to Exhibit A. Each earned PSU will be settled for one Share.</w:t>
            </w:r>
          </w:p>
        </w:tc>
      </w:tr>
      <w:tr>
        <w:trPr>
          <w:trHeight w:val="425"/>
        </w:trPr>
        <w:tc>
          <w:tcPr>
            <w:tcW w:w="2500" w:type="dxa"/>
            <w:vAlign w:val="bottom"/>
            <w:tcBorders>
              <w:left w:val="single" w:sz="8" w:color="00000A"/>
              <w:right w:val="single" w:sz="8" w:color="00000A"/>
            </w:tcBorders>
          </w:tcPr>
          <w:p>
            <w:pPr>
              <w:spacing w:after="0"/>
              <w:rPr>
                <w:sz w:val="24"/>
                <w:szCs w:val="24"/>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Earned PSUs shall convey the right to receive dividend equivalents on the Shares underlying the PSU</w:t>
            </w:r>
          </w:p>
        </w:tc>
      </w:tr>
      <w:tr>
        <w:trPr>
          <w:trHeight w:val="229"/>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Award with respect to any dividends declared during the period from Grant Date to Settlement Date.</w:t>
            </w:r>
          </w:p>
        </w:tc>
      </w:tr>
      <w:tr>
        <w:trPr>
          <w:trHeight w:val="230"/>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89"/>
              </w:rPr>
              <w:t>Accumulated dividend equivalents shall vest and be paid in cash on the Settlement Date, subject to the</w:t>
            </w:r>
          </w:p>
        </w:tc>
      </w:tr>
      <w:tr>
        <w:trPr>
          <w:trHeight w:val="229"/>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8"/>
              </w:rPr>
              <w:t>satisfaction of the performance, vesting and other conditions of the underlying PSU Award. No</w:t>
            </w:r>
          </w:p>
        </w:tc>
      </w:tr>
      <w:tr>
        <w:trPr>
          <w:trHeight w:val="229"/>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dividend equivalents shall be provided with respect to any Shares subject to PSUs that are not earned</w:t>
            </w:r>
          </w:p>
        </w:tc>
      </w:tr>
      <w:tr>
        <w:trPr>
          <w:trHeight w:val="250"/>
        </w:trPr>
        <w:tc>
          <w:tcPr>
            <w:tcW w:w="2500" w:type="dxa"/>
            <w:vAlign w:val="bottom"/>
            <w:tcBorders>
              <w:left w:val="single" w:sz="8" w:color="00000A"/>
              <w:right w:val="single" w:sz="8" w:color="00000A"/>
            </w:tcBorders>
          </w:tcPr>
          <w:p>
            <w:pPr>
              <w:spacing w:after="0"/>
              <w:rPr>
                <w:sz w:val="21"/>
                <w:szCs w:val="21"/>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or do not vest or settle pursuant to their terms.</w:t>
            </w:r>
          </w:p>
        </w:tc>
      </w:tr>
      <w:tr>
        <w:trPr>
          <w:trHeight w:val="419"/>
        </w:trPr>
        <w:tc>
          <w:tcPr>
            <w:tcW w:w="2500" w:type="dxa"/>
            <w:vAlign w:val="bottom"/>
            <w:tcBorders>
              <w:left w:val="single" w:sz="8" w:color="00000A"/>
              <w:right w:val="single" w:sz="8" w:color="00000A"/>
            </w:tcBorders>
          </w:tcPr>
          <w:p>
            <w:pPr>
              <w:spacing w:after="0"/>
              <w:rPr>
                <w:sz w:val="24"/>
                <w:szCs w:val="24"/>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Notwithstanding the forgoing and the terms of the Plan, the Company reserves the right to further</w:t>
            </w:r>
          </w:p>
        </w:tc>
      </w:tr>
      <w:tr>
        <w:trPr>
          <w:trHeight w:val="230"/>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 xml:space="preserve">modify the form of settlement of your Award. For example, </w:t>
            </w:r>
            <w:r>
              <w:rPr>
                <w:rFonts w:ascii="Arial" w:cs="Arial" w:eastAsia="Arial" w:hAnsi="Arial"/>
                <w:sz w:val="20"/>
                <w:szCs w:val="20"/>
                <w:b w:val="1"/>
                <w:bCs w:val="1"/>
                <w:color w:val="auto"/>
                <w:w w:val="90"/>
              </w:rPr>
              <w:t>if you are a local national of the People’s</w:t>
            </w:r>
          </w:p>
        </w:tc>
      </w:tr>
      <w:tr>
        <w:trPr>
          <w:trHeight w:val="229"/>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b w:val="1"/>
                <w:bCs w:val="1"/>
                <w:color w:val="auto"/>
                <w:w w:val="94"/>
              </w:rPr>
              <w:t>Republic of China (“PRC”)</w:t>
            </w:r>
            <w:r>
              <w:rPr>
                <w:rFonts w:ascii="Arial" w:cs="Arial" w:eastAsia="Arial" w:hAnsi="Arial"/>
                <w:sz w:val="20"/>
                <w:szCs w:val="20"/>
                <w:color w:val="auto"/>
                <w:w w:val="94"/>
              </w:rPr>
              <w:t>, your PSUs will only be settled by a cash payment to you equal to the</w:t>
            </w:r>
          </w:p>
        </w:tc>
      </w:tr>
      <w:tr>
        <w:trPr>
          <w:trHeight w:val="229"/>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 xml:space="preserve">Fair Market Value of the Shares that would otherwise be settled (subject to applicable withholding). </w:t>
            </w:r>
            <w:r>
              <w:rPr>
                <w:rFonts w:ascii="Arial" w:cs="Arial" w:eastAsia="Arial" w:hAnsi="Arial"/>
                <w:sz w:val="20"/>
                <w:szCs w:val="20"/>
                <w:b w:val="1"/>
                <w:bCs w:val="1"/>
                <w:color w:val="auto"/>
                <w:w w:val="91"/>
              </w:rPr>
              <w:t>If</w:t>
            </w:r>
          </w:p>
        </w:tc>
      </w:tr>
      <w:tr>
        <w:trPr>
          <w:trHeight w:val="236"/>
        </w:trPr>
        <w:tc>
          <w:tcPr>
            <w:tcW w:w="2500" w:type="dxa"/>
            <w:vAlign w:val="bottom"/>
            <w:tcBorders>
              <w:left w:val="single" w:sz="8" w:color="00000A"/>
              <w:right w:val="single" w:sz="8" w:color="00000A"/>
            </w:tcBorders>
          </w:tcPr>
          <w:p>
            <w:pPr>
              <w:spacing w:after="0"/>
              <w:rPr>
                <w:sz w:val="20"/>
                <w:szCs w:val="20"/>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b w:val="1"/>
                <w:bCs w:val="1"/>
                <w:color w:val="auto"/>
                <w:w w:val="90"/>
              </w:rPr>
              <w:t>your work location at the time of any Settlement Date noted above is in India</w:t>
            </w:r>
            <w:r>
              <w:rPr>
                <w:rFonts w:ascii="Arial" w:cs="Arial" w:eastAsia="Arial" w:hAnsi="Arial"/>
                <w:sz w:val="20"/>
                <w:szCs w:val="20"/>
                <w:color w:val="auto"/>
                <w:w w:val="90"/>
              </w:rPr>
              <w:t>, your PSUs will also</w:t>
            </w:r>
          </w:p>
        </w:tc>
      </w:tr>
      <w:tr>
        <w:trPr>
          <w:trHeight w:val="229"/>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only be settled by a cash payment to you equal to the Fair Market Value of the Shares that would</w:t>
            </w:r>
          </w:p>
        </w:tc>
      </w:tr>
      <w:tr>
        <w:trPr>
          <w:trHeight w:val="230"/>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otherwise be settled (subject to applicable withholding). Your PSUs will not be settled by the issue of</w:t>
            </w:r>
          </w:p>
        </w:tc>
      </w:tr>
      <w:tr>
        <w:trPr>
          <w:trHeight w:val="250"/>
        </w:trPr>
        <w:tc>
          <w:tcPr>
            <w:tcW w:w="2500" w:type="dxa"/>
            <w:vAlign w:val="bottom"/>
            <w:tcBorders>
              <w:left w:val="single" w:sz="8" w:color="00000A"/>
              <w:right w:val="single" w:sz="8" w:color="00000A"/>
            </w:tcBorders>
          </w:tcPr>
          <w:p>
            <w:pPr>
              <w:spacing w:after="0"/>
              <w:rPr>
                <w:sz w:val="21"/>
                <w:szCs w:val="21"/>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any Shares unless your work location changes to a jurisdiction that permits settlement in Shares.</w:t>
            </w:r>
          </w:p>
        </w:tc>
      </w:tr>
      <w:tr>
        <w:trPr>
          <w:trHeight w:val="425"/>
        </w:trPr>
        <w:tc>
          <w:tcPr>
            <w:tcW w:w="2500" w:type="dxa"/>
            <w:vAlign w:val="bottom"/>
            <w:tcBorders>
              <w:left w:val="single" w:sz="8" w:color="00000A"/>
              <w:right w:val="single" w:sz="8" w:color="00000A"/>
            </w:tcBorders>
          </w:tcPr>
          <w:p>
            <w:pPr>
              <w:spacing w:after="0"/>
              <w:rPr>
                <w:sz w:val="24"/>
                <w:szCs w:val="24"/>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As required by law, the Company will withhold any applicable federal, state, local or foreign tax. You</w:t>
            </w:r>
          </w:p>
        </w:tc>
      </w:tr>
      <w:tr>
        <w:trPr>
          <w:trHeight w:val="250"/>
        </w:trPr>
        <w:tc>
          <w:tcPr>
            <w:tcW w:w="2500" w:type="dxa"/>
            <w:vAlign w:val="bottom"/>
            <w:tcBorders>
              <w:left w:val="single" w:sz="8" w:color="00000A"/>
              <w:right w:val="single" w:sz="8" w:color="00000A"/>
            </w:tcBorders>
          </w:tcPr>
          <w:p>
            <w:pPr>
              <w:spacing w:after="0"/>
              <w:rPr>
                <w:sz w:val="21"/>
                <w:szCs w:val="21"/>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are responsible for any taxes due upon vesting and/or settlement.</w:t>
            </w:r>
          </w:p>
        </w:tc>
      </w:tr>
      <w:tr>
        <w:trPr>
          <w:trHeight w:val="239"/>
        </w:trPr>
        <w:tc>
          <w:tcPr>
            <w:tcW w:w="2500" w:type="dxa"/>
            <w:vAlign w:val="bottom"/>
            <w:tcBorders>
              <w:left w:val="single" w:sz="8" w:color="00000A"/>
              <w:bottom w:val="single" w:sz="8" w:color="00000A"/>
              <w:right w:val="single" w:sz="8" w:color="00000A"/>
            </w:tcBorders>
          </w:tcPr>
          <w:p>
            <w:pPr>
              <w:spacing w:after="0"/>
              <w:rPr>
                <w:sz w:val="20"/>
                <w:szCs w:val="20"/>
                <w:color w:val="auto"/>
              </w:rPr>
            </w:pPr>
          </w:p>
        </w:tc>
        <w:tc>
          <w:tcPr>
            <w:tcW w:w="8240" w:type="dxa"/>
            <w:vAlign w:val="bottom"/>
            <w:tcBorders>
              <w:bottom w:val="single" w:sz="8" w:color="00000A"/>
              <w:right w:val="single" w:sz="8" w:color="00000A"/>
            </w:tcBorders>
          </w:tcPr>
          <w:p>
            <w:pPr>
              <w:spacing w:after="0"/>
              <w:rPr>
                <w:sz w:val="20"/>
                <w:szCs w:val="20"/>
                <w:color w:val="auto"/>
              </w:rPr>
            </w:pPr>
          </w:p>
        </w:tc>
      </w:tr>
      <w:tr>
        <w:trPr>
          <w:trHeight w:val="233"/>
        </w:trPr>
        <w:tc>
          <w:tcPr>
            <w:tcW w:w="2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Conditions Precedent</w:t>
            </w: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88"/>
              </w:rPr>
              <w:t>Pursuant and subject to Section 11 of the Plan, as a condition precedent to the vesting and/or settlement</w:t>
            </w:r>
          </w:p>
        </w:tc>
      </w:tr>
      <w:tr>
        <w:trPr>
          <w:trHeight w:val="250"/>
        </w:trPr>
        <w:tc>
          <w:tcPr>
            <w:tcW w:w="2500" w:type="dxa"/>
            <w:vAlign w:val="bottom"/>
            <w:tcBorders>
              <w:left w:val="single" w:sz="8" w:color="00000A"/>
              <w:right w:val="single" w:sz="8" w:color="00000A"/>
            </w:tcBorders>
          </w:tcPr>
          <w:p>
            <w:pPr>
              <w:spacing w:after="0"/>
              <w:rPr>
                <w:sz w:val="21"/>
                <w:szCs w:val="21"/>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of any portion of your Award, you shall:</w:t>
            </w:r>
          </w:p>
        </w:tc>
      </w:tr>
      <w:tr>
        <w:trPr>
          <w:trHeight w:val="438"/>
        </w:trPr>
        <w:tc>
          <w:tcPr>
            <w:tcW w:w="2500" w:type="dxa"/>
            <w:vAlign w:val="bottom"/>
            <w:tcBorders>
              <w:left w:val="single" w:sz="8" w:color="00000A"/>
              <w:right w:val="single" w:sz="8" w:color="00000A"/>
            </w:tcBorders>
          </w:tcPr>
          <w:p>
            <w:pPr>
              <w:spacing w:after="0"/>
              <w:rPr>
                <w:sz w:val="24"/>
                <w:szCs w:val="24"/>
                <w:color w:val="auto"/>
              </w:rPr>
            </w:pPr>
          </w:p>
        </w:tc>
        <w:tc>
          <w:tcPr>
            <w:tcW w:w="8240" w:type="dxa"/>
            <w:vAlign w:val="bottom"/>
            <w:tcBorders>
              <w:right w:val="single" w:sz="8" w:color="00000A"/>
            </w:tcBorders>
          </w:tcPr>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Refrain from engaging in any activity which will cause damage to the Company or is in any</w:t>
            </w:r>
          </w:p>
        </w:tc>
      </w:tr>
      <w:tr>
        <w:trPr>
          <w:trHeight w:val="230"/>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w w:val="93"/>
              </w:rPr>
              <w:t>manner inimical or in any way contrary to the best interests of the Company, as determined</w:t>
            </w:r>
          </w:p>
        </w:tc>
      </w:tr>
      <w:tr>
        <w:trPr>
          <w:trHeight w:val="225"/>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660"/>
              <w:spacing w:after="0" w:line="225" w:lineRule="exact"/>
              <w:rPr>
                <w:sz w:val="20"/>
                <w:szCs w:val="20"/>
                <w:color w:val="auto"/>
              </w:rPr>
            </w:pPr>
            <w:r>
              <w:rPr>
                <w:rFonts w:ascii="Arial" w:cs="Arial" w:eastAsia="Arial" w:hAnsi="Arial"/>
                <w:sz w:val="20"/>
                <w:szCs w:val="20"/>
                <w:color w:val="auto"/>
              </w:rPr>
              <w:t>pursuant to the Plan; and</w:t>
            </w:r>
          </w:p>
        </w:tc>
      </w:tr>
      <w:tr>
        <w:trPr>
          <w:trHeight w:val="248"/>
        </w:trPr>
        <w:tc>
          <w:tcPr>
            <w:tcW w:w="2500" w:type="dxa"/>
            <w:vAlign w:val="bottom"/>
            <w:tcBorders>
              <w:left w:val="single" w:sz="8" w:color="00000A"/>
              <w:right w:val="single" w:sz="8" w:color="00000A"/>
            </w:tcBorders>
          </w:tcPr>
          <w:p>
            <w:pPr>
              <w:spacing w:after="0"/>
              <w:rPr>
                <w:sz w:val="21"/>
                <w:szCs w:val="21"/>
                <w:color w:val="auto"/>
              </w:rPr>
            </w:pPr>
          </w:p>
        </w:tc>
        <w:tc>
          <w:tcPr>
            <w:tcW w:w="8240" w:type="dxa"/>
            <w:vAlign w:val="bottom"/>
            <w:tcBorders>
              <w:right w:val="single" w:sz="8" w:color="00000A"/>
            </w:tcBorders>
          </w:tcPr>
          <w:p>
            <w:pPr>
              <w:ind w:left="340"/>
              <w:spacing w:after="0" w:line="247" w:lineRule="exact"/>
              <w:rPr>
                <w:sz w:val="20"/>
                <w:szCs w:val="20"/>
                <w:color w:val="auto"/>
              </w:rPr>
            </w:pPr>
            <w:r>
              <w:rPr>
                <w:rFonts w:ascii="Arial" w:cs="Arial" w:eastAsia="Arial" w:hAnsi="Arial"/>
                <w:sz w:val="22"/>
                <w:szCs w:val="22"/>
                <w:color w:val="auto"/>
                <w:w w:val="95"/>
              </w:rPr>
              <w:t xml:space="preserve">•  </w:t>
            </w:r>
            <w:r>
              <w:rPr>
                <w:rFonts w:ascii="Arial" w:cs="Arial" w:eastAsia="Arial" w:hAnsi="Arial"/>
                <w:sz w:val="19"/>
                <w:szCs w:val="19"/>
                <w:color w:val="auto"/>
                <w:w w:val="95"/>
              </w:rPr>
              <w:t>Furnish to the Company such information with respect to the satisfaction of the foregoing as the</w:t>
            </w:r>
          </w:p>
        </w:tc>
      </w:tr>
      <w:tr>
        <w:trPr>
          <w:trHeight w:val="250"/>
        </w:trPr>
        <w:tc>
          <w:tcPr>
            <w:tcW w:w="2500" w:type="dxa"/>
            <w:vAlign w:val="bottom"/>
            <w:tcBorders>
              <w:left w:val="single" w:sz="8" w:color="00000A"/>
              <w:right w:val="single" w:sz="8" w:color="00000A"/>
            </w:tcBorders>
          </w:tcPr>
          <w:p>
            <w:pPr>
              <w:spacing w:after="0"/>
              <w:rPr>
                <w:sz w:val="21"/>
                <w:szCs w:val="21"/>
                <w:color w:val="auto"/>
              </w:rPr>
            </w:pPr>
          </w:p>
        </w:tc>
        <w:tc>
          <w:tcPr>
            <w:tcW w:w="824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rPr>
              <w:t>Committee may reasonably request.</w:t>
            </w:r>
          </w:p>
        </w:tc>
      </w:tr>
      <w:tr>
        <w:trPr>
          <w:trHeight w:val="438"/>
        </w:trPr>
        <w:tc>
          <w:tcPr>
            <w:tcW w:w="2500" w:type="dxa"/>
            <w:vAlign w:val="bottom"/>
            <w:tcBorders>
              <w:left w:val="single" w:sz="8" w:color="00000A"/>
              <w:right w:val="single" w:sz="8" w:color="00000A"/>
            </w:tcBorders>
          </w:tcPr>
          <w:p>
            <w:pPr>
              <w:spacing w:after="0"/>
              <w:rPr>
                <w:sz w:val="24"/>
                <w:szCs w:val="24"/>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In addition, the Committee may require you to enter into such agreements as the Committee considers</w:t>
            </w:r>
          </w:p>
        </w:tc>
      </w:tr>
      <w:tr>
        <w:trPr>
          <w:trHeight w:val="250"/>
        </w:trPr>
        <w:tc>
          <w:tcPr>
            <w:tcW w:w="2500" w:type="dxa"/>
            <w:vAlign w:val="bottom"/>
            <w:tcBorders>
              <w:left w:val="single" w:sz="8" w:color="00000A"/>
              <w:right w:val="single" w:sz="8" w:color="00000A"/>
            </w:tcBorders>
          </w:tcPr>
          <w:p>
            <w:pPr>
              <w:spacing w:after="0"/>
              <w:rPr>
                <w:sz w:val="21"/>
                <w:szCs w:val="21"/>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appropriate.</w:t>
            </w:r>
          </w:p>
        </w:tc>
      </w:tr>
      <w:tr>
        <w:trPr>
          <w:trHeight w:val="438"/>
        </w:trPr>
        <w:tc>
          <w:tcPr>
            <w:tcW w:w="2500" w:type="dxa"/>
            <w:vAlign w:val="bottom"/>
            <w:tcBorders>
              <w:left w:val="single" w:sz="8" w:color="00000A"/>
              <w:right w:val="single" w:sz="8" w:color="00000A"/>
            </w:tcBorders>
          </w:tcPr>
          <w:p>
            <w:pPr>
              <w:spacing w:after="0"/>
              <w:rPr>
                <w:sz w:val="24"/>
                <w:szCs w:val="24"/>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Your failure to satisfy any of the foregoing conditions precedent will result in the immediate</w:t>
            </w:r>
          </w:p>
        </w:tc>
      </w:tr>
      <w:tr>
        <w:trPr>
          <w:trHeight w:val="230"/>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cancellation of the unvested portion of your Award and any vested portion of your Award that has not</w:t>
            </w:r>
          </w:p>
        </w:tc>
      </w:tr>
      <w:tr>
        <w:trPr>
          <w:trHeight w:val="230"/>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9"/>
              </w:rPr>
              <w:t>yet been settled, and you will not be entitled to receive any consideration with respect to such</w:t>
            </w:r>
          </w:p>
        </w:tc>
      </w:tr>
      <w:tr>
        <w:trPr>
          <w:trHeight w:val="250"/>
        </w:trPr>
        <w:tc>
          <w:tcPr>
            <w:tcW w:w="2500" w:type="dxa"/>
            <w:vAlign w:val="bottom"/>
            <w:tcBorders>
              <w:left w:val="single" w:sz="8" w:color="00000A"/>
              <w:right w:val="single" w:sz="8" w:color="00000A"/>
            </w:tcBorders>
          </w:tcPr>
          <w:p>
            <w:pPr>
              <w:spacing w:after="0"/>
              <w:rPr>
                <w:sz w:val="21"/>
                <w:szCs w:val="21"/>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cancellation.</w:t>
            </w:r>
          </w:p>
        </w:tc>
      </w:tr>
      <w:tr>
        <w:trPr>
          <w:trHeight w:val="253"/>
        </w:trPr>
        <w:tc>
          <w:tcPr>
            <w:tcW w:w="2500" w:type="dxa"/>
            <w:vAlign w:val="bottom"/>
            <w:tcBorders>
              <w:left w:val="single" w:sz="8" w:color="00000A"/>
              <w:bottom w:val="single" w:sz="8" w:color="00000A"/>
              <w:right w:val="single" w:sz="8" w:color="00000A"/>
            </w:tcBorders>
          </w:tcPr>
          <w:p>
            <w:pPr>
              <w:spacing w:after="0"/>
              <w:rPr>
                <w:sz w:val="21"/>
                <w:szCs w:val="21"/>
                <w:color w:val="auto"/>
              </w:rPr>
            </w:pPr>
          </w:p>
        </w:tc>
        <w:tc>
          <w:tcPr>
            <w:tcW w:w="8240" w:type="dxa"/>
            <w:vAlign w:val="bottom"/>
            <w:tcBorders>
              <w:bottom w:val="single" w:sz="8" w:color="00000A"/>
              <w:right w:val="single" w:sz="8" w:color="00000A"/>
            </w:tcBorders>
          </w:tcPr>
          <w:p>
            <w:pPr>
              <w:spacing w:after="0"/>
              <w:rPr>
                <w:sz w:val="21"/>
                <w:szCs w:val="21"/>
                <w:color w:val="auto"/>
              </w:rPr>
            </w:pPr>
          </w:p>
        </w:tc>
      </w:tr>
    </w:tbl>
    <w:p>
      <w:pPr>
        <w:sectPr>
          <w:pgSz w:w="11900" w:h="16838" w:orient="portrait"/>
          <w:cols w:equalWidth="0" w:num="1">
            <w:col w:w="10740"/>
          </w:cols>
          <w:pgMar w:left="320" w:top="984" w:right="839" w:bottom="1440" w:gutter="0" w:footer="0" w:header="0"/>
        </w:sectPr>
      </w:pPr>
    </w:p>
    <w:bookmarkStart w:id="53" w:name="page54"/>
    <w:bookmarkEnd w:id="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5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Restrictive Covenants</w:t>
            </w:r>
          </w:p>
        </w:tc>
        <w:tc>
          <w:tcPr>
            <w:tcW w:w="82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w w:val="94"/>
              </w:rPr>
              <w:t>In exchange for the PSUs described in this Award Document, except to the extent this provision is</w:t>
            </w:r>
          </w:p>
        </w:tc>
      </w:tr>
      <w:tr>
        <w:trPr>
          <w:trHeight w:val="223"/>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line="224" w:lineRule="exact"/>
              <w:rPr>
                <w:sz w:val="20"/>
                <w:szCs w:val="20"/>
                <w:color w:val="auto"/>
              </w:rPr>
            </w:pPr>
            <w:r>
              <w:rPr>
                <w:rFonts w:ascii="Arial" w:cs="Arial" w:eastAsia="Arial" w:hAnsi="Arial"/>
                <w:sz w:val="20"/>
                <w:szCs w:val="20"/>
                <w:color w:val="auto"/>
                <w:w w:val="97"/>
              </w:rPr>
              <w:t>expressly unenforceable or unlawful under applicable law, you agree to the following restrictive</w:t>
            </w:r>
          </w:p>
        </w:tc>
      </w:tr>
      <w:tr>
        <w:trPr>
          <w:trHeight w:val="236"/>
        </w:trPr>
        <w:tc>
          <w:tcPr>
            <w:tcW w:w="2500" w:type="dxa"/>
            <w:vAlign w:val="bottom"/>
            <w:tcBorders>
              <w:left w:val="single" w:sz="8" w:color="00000A"/>
              <w:right w:val="single" w:sz="8" w:color="00000A"/>
            </w:tcBorders>
          </w:tcPr>
          <w:p>
            <w:pPr>
              <w:spacing w:after="0"/>
              <w:rPr>
                <w:sz w:val="20"/>
                <w:szCs w:val="20"/>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covenants (“</w:t>
            </w:r>
            <w:r>
              <w:rPr>
                <w:rFonts w:ascii="Arial" w:cs="Arial" w:eastAsia="Arial" w:hAnsi="Arial"/>
                <w:sz w:val="20"/>
                <w:szCs w:val="20"/>
                <w:b w:val="1"/>
                <w:bCs w:val="1"/>
                <w:color w:val="auto"/>
                <w:w w:val="93"/>
              </w:rPr>
              <w:t>Restrictive Covenants</w:t>
            </w:r>
            <w:r>
              <w:rPr>
                <w:rFonts w:ascii="Arial" w:cs="Arial" w:eastAsia="Arial" w:hAnsi="Arial"/>
                <w:sz w:val="20"/>
                <w:szCs w:val="20"/>
                <w:color w:val="auto"/>
                <w:w w:val="93"/>
              </w:rPr>
              <w:t>”) that apply during your employment with the Company and its</w:t>
            </w:r>
          </w:p>
        </w:tc>
      </w:tr>
      <w:tr>
        <w:trPr>
          <w:trHeight w:val="229"/>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Subsidiaries, and for the 12-month period commencing on your Termination of Service, including a</w:t>
            </w:r>
          </w:p>
        </w:tc>
      </w:tr>
      <w:tr>
        <w:trPr>
          <w:trHeight w:val="250"/>
        </w:trPr>
        <w:tc>
          <w:tcPr>
            <w:tcW w:w="2500" w:type="dxa"/>
            <w:vAlign w:val="bottom"/>
            <w:tcBorders>
              <w:left w:val="single" w:sz="8" w:color="00000A"/>
              <w:right w:val="single" w:sz="8" w:color="00000A"/>
            </w:tcBorders>
          </w:tcPr>
          <w:p>
            <w:pPr>
              <w:spacing w:after="0"/>
              <w:rPr>
                <w:sz w:val="21"/>
                <w:szCs w:val="21"/>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Full Career Status Termination:</w:t>
            </w:r>
          </w:p>
        </w:tc>
      </w:tr>
      <w:tr>
        <w:trPr>
          <w:trHeight w:val="317"/>
        </w:trPr>
        <w:tc>
          <w:tcPr>
            <w:tcW w:w="2500" w:type="dxa"/>
            <w:vAlign w:val="bottom"/>
            <w:tcBorders>
              <w:left w:val="single" w:sz="8" w:color="00000A"/>
              <w:right w:val="single" w:sz="8" w:color="00000A"/>
            </w:tcBorders>
          </w:tcPr>
          <w:p>
            <w:pPr>
              <w:spacing w:after="0"/>
              <w:rPr>
                <w:sz w:val="24"/>
                <w:szCs w:val="24"/>
                <w:color w:val="auto"/>
              </w:rPr>
            </w:pPr>
          </w:p>
        </w:tc>
        <w:tc>
          <w:tcPr>
            <w:tcW w:w="8240" w:type="dxa"/>
            <w:vAlign w:val="bottom"/>
            <w:tcBorders>
              <w:right w:val="single" w:sz="8" w:color="00000A"/>
            </w:tcBorders>
          </w:tcPr>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You will not directly or indirectly engage in or perform any engineering, purchasing, design,</w:t>
            </w:r>
          </w:p>
        </w:tc>
      </w:tr>
      <w:tr>
        <w:trPr>
          <w:trHeight w:val="230"/>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w w:val="96"/>
              </w:rPr>
              <w:t>marketing, manufacturing or any other tasks or functions or provide services in any other</w:t>
            </w:r>
          </w:p>
        </w:tc>
      </w:tr>
      <w:tr>
        <w:trPr>
          <w:trHeight w:val="229"/>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w w:val="93"/>
              </w:rPr>
              <w:t>capacity (e.g., as an employee, a board member, a manager or a consultant) for any motor</w:t>
            </w:r>
          </w:p>
        </w:tc>
      </w:tr>
      <w:tr>
        <w:trPr>
          <w:trHeight w:val="229"/>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w w:val="94"/>
              </w:rPr>
              <w:t>vehicle manufacturer (including its parent, subsidiaries, and other affiliates) that competes</w:t>
            </w:r>
          </w:p>
        </w:tc>
      </w:tr>
      <w:tr>
        <w:trPr>
          <w:trHeight w:val="225"/>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660"/>
              <w:spacing w:after="0" w:line="225" w:lineRule="exact"/>
              <w:rPr>
                <w:sz w:val="20"/>
                <w:szCs w:val="20"/>
                <w:color w:val="auto"/>
              </w:rPr>
            </w:pPr>
            <w:r>
              <w:rPr>
                <w:rFonts w:ascii="Arial" w:cs="Arial" w:eastAsia="Arial" w:hAnsi="Arial"/>
                <w:sz w:val="20"/>
                <w:szCs w:val="20"/>
                <w:color w:val="auto"/>
              </w:rPr>
              <w:t>with the Company or its Subsidiaries;</w:t>
            </w:r>
          </w:p>
        </w:tc>
      </w:tr>
      <w:tr>
        <w:trPr>
          <w:trHeight w:val="248"/>
        </w:trPr>
        <w:tc>
          <w:tcPr>
            <w:tcW w:w="2500" w:type="dxa"/>
            <w:vAlign w:val="bottom"/>
            <w:tcBorders>
              <w:left w:val="single" w:sz="8" w:color="00000A"/>
              <w:right w:val="single" w:sz="8" w:color="00000A"/>
            </w:tcBorders>
          </w:tcPr>
          <w:p>
            <w:pPr>
              <w:spacing w:after="0"/>
              <w:rPr>
                <w:sz w:val="21"/>
                <w:szCs w:val="21"/>
                <w:color w:val="auto"/>
              </w:rPr>
            </w:pPr>
          </w:p>
        </w:tc>
        <w:tc>
          <w:tcPr>
            <w:tcW w:w="8240" w:type="dxa"/>
            <w:vAlign w:val="bottom"/>
            <w:tcBorders>
              <w:right w:val="single" w:sz="8" w:color="00000A"/>
            </w:tcBorders>
          </w:tcPr>
          <w:p>
            <w:pPr>
              <w:ind w:left="340"/>
              <w:spacing w:after="0" w:line="247"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You will not directly or indirectly, knowingly induce any employee of the Company or any</w:t>
            </w:r>
          </w:p>
        </w:tc>
      </w:tr>
      <w:tr>
        <w:trPr>
          <w:trHeight w:val="230"/>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w w:val="93"/>
              </w:rPr>
              <w:t>Subsidiary to leave their employment for participation, directly or indirectly, with any existing</w:t>
            </w:r>
          </w:p>
        </w:tc>
      </w:tr>
      <w:tr>
        <w:trPr>
          <w:trHeight w:val="225"/>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660"/>
              <w:spacing w:after="0" w:line="225" w:lineRule="exact"/>
              <w:rPr>
                <w:sz w:val="20"/>
                <w:szCs w:val="20"/>
                <w:color w:val="auto"/>
              </w:rPr>
            </w:pPr>
            <w:r>
              <w:rPr>
                <w:rFonts w:ascii="Arial" w:cs="Arial" w:eastAsia="Arial" w:hAnsi="Arial"/>
                <w:sz w:val="20"/>
                <w:szCs w:val="20"/>
                <w:color w:val="auto"/>
              </w:rPr>
              <w:t>or future employer or business venture associated with you; and</w:t>
            </w:r>
          </w:p>
        </w:tc>
      </w:tr>
      <w:tr>
        <w:trPr>
          <w:trHeight w:val="248"/>
        </w:trPr>
        <w:tc>
          <w:tcPr>
            <w:tcW w:w="2500" w:type="dxa"/>
            <w:vAlign w:val="bottom"/>
            <w:tcBorders>
              <w:left w:val="single" w:sz="8" w:color="00000A"/>
              <w:right w:val="single" w:sz="8" w:color="00000A"/>
            </w:tcBorders>
          </w:tcPr>
          <w:p>
            <w:pPr>
              <w:spacing w:after="0"/>
              <w:rPr>
                <w:sz w:val="21"/>
                <w:szCs w:val="21"/>
                <w:color w:val="auto"/>
              </w:rPr>
            </w:pPr>
          </w:p>
        </w:tc>
        <w:tc>
          <w:tcPr>
            <w:tcW w:w="8240" w:type="dxa"/>
            <w:vAlign w:val="bottom"/>
            <w:tcBorders>
              <w:right w:val="single" w:sz="8" w:color="00000A"/>
            </w:tcBorders>
          </w:tcPr>
          <w:p>
            <w:pPr>
              <w:ind w:left="340"/>
              <w:spacing w:after="0" w:line="247" w:lineRule="exact"/>
              <w:rPr>
                <w:sz w:val="20"/>
                <w:szCs w:val="20"/>
                <w:color w:val="auto"/>
              </w:rPr>
            </w:pPr>
            <w:r>
              <w:rPr>
                <w:rFonts w:ascii="Arial" w:cs="Arial" w:eastAsia="Arial" w:hAnsi="Arial"/>
                <w:sz w:val="22"/>
                <w:szCs w:val="22"/>
                <w:color w:val="auto"/>
                <w:w w:val="99"/>
              </w:rPr>
              <w:t xml:space="preserve">•  </w:t>
            </w:r>
            <w:r>
              <w:rPr>
                <w:rFonts w:ascii="Arial" w:cs="Arial" w:eastAsia="Arial" w:hAnsi="Arial"/>
                <w:sz w:val="19"/>
                <w:szCs w:val="19"/>
                <w:color w:val="auto"/>
                <w:w w:val="99"/>
              </w:rPr>
              <w:t>You will not directly or indirectly solicit any client, customer, or supplier of, or provider to the</w:t>
            </w:r>
          </w:p>
        </w:tc>
      </w:tr>
      <w:tr>
        <w:trPr>
          <w:trHeight w:val="229"/>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w w:val="94"/>
              </w:rPr>
              <w:t>Company or its Subsidiaries who was a client, customer, supplier or provider for which you</w:t>
            </w:r>
          </w:p>
        </w:tc>
      </w:tr>
      <w:tr>
        <w:trPr>
          <w:trHeight w:val="229"/>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w w:val="90"/>
              </w:rPr>
              <w:t>provided services or supervised services during the 12-month period immediately prior to your</w:t>
            </w:r>
          </w:p>
        </w:tc>
      </w:tr>
      <w:tr>
        <w:trPr>
          <w:trHeight w:val="250"/>
        </w:trPr>
        <w:tc>
          <w:tcPr>
            <w:tcW w:w="2500" w:type="dxa"/>
            <w:vAlign w:val="bottom"/>
            <w:tcBorders>
              <w:left w:val="single" w:sz="8" w:color="00000A"/>
              <w:right w:val="single" w:sz="8" w:color="00000A"/>
            </w:tcBorders>
          </w:tcPr>
          <w:p>
            <w:pPr>
              <w:spacing w:after="0"/>
              <w:rPr>
                <w:sz w:val="21"/>
                <w:szCs w:val="21"/>
                <w:color w:val="auto"/>
              </w:rPr>
            </w:pPr>
          </w:p>
        </w:tc>
        <w:tc>
          <w:tcPr>
            <w:tcW w:w="824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rPr>
              <w:t>Termination of Service.</w:t>
            </w:r>
          </w:p>
        </w:tc>
      </w:tr>
      <w:tr>
        <w:trPr>
          <w:trHeight w:val="303"/>
        </w:trPr>
        <w:tc>
          <w:tcPr>
            <w:tcW w:w="2500" w:type="dxa"/>
            <w:vAlign w:val="bottom"/>
            <w:tcBorders>
              <w:left w:val="single" w:sz="8" w:color="00000A"/>
              <w:right w:val="single" w:sz="8" w:color="00000A"/>
            </w:tcBorders>
          </w:tcPr>
          <w:p>
            <w:pPr>
              <w:spacing w:after="0"/>
              <w:rPr>
                <w:sz w:val="24"/>
                <w:szCs w:val="24"/>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You may seek permission from the Company to take action that would otherwise violate one or more</w:t>
            </w:r>
          </w:p>
        </w:tc>
      </w:tr>
      <w:tr>
        <w:trPr>
          <w:trHeight w:val="229"/>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aspects of these Restrictive Covenants, including a request to work in a direct or indirect capacity for</w:t>
            </w:r>
          </w:p>
        </w:tc>
      </w:tr>
      <w:tr>
        <w:trPr>
          <w:trHeight w:val="229"/>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any motor vehicle manufacturer that competes with the Company, but the Company may deny such</w:t>
            </w:r>
          </w:p>
        </w:tc>
      </w:tr>
      <w:tr>
        <w:trPr>
          <w:trHeight w:val="250"/>
        </w:trPr>
        <w:tc>
          <w:tcPr>
            <w:tcW w:w="2500" w:type="dxa"/>
            <w:vAlign w:val="bottom"/>
            <w:tcBorders>
              <w:left w:val="single" w:sz="8" w:color="00000A"/>
              <w:right w:val="single" w:sz="8" w:color="00000A"/>
            </w:tcBorders>
          </w:tcPr>
          <w:p>
            <w:pPr>
              <w:spacing w:after="0"/>
              <w:rPr>
                <w:sz w:val="21"/>
                <w:szCs w:val="21"/>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request in its unfettered discretion and otherwise enforce the provisions of the Restrictive Covenants.</w:t>
            </w:r>
          </w:p>
        </w:tc>
      </w:tr>
      <w:tr>
        <w:trPr>
          <w:trHeight w:val="303"/>
        </w:trPr>
        <w:tc>
          <w:tcPr>
            <w:tcW w:w="2500" w:type="dxa"/>
            <w:vAlign w:val="bottom"/>
            <w:tcBorders>
              <w:left w:val="single" w:sz="8" w:color="00000A"/>
              <w:right w:val="single" w:sz="8" w:color="00000A"/>
            </w:tcBorders>
          </w:tcPr>
          <w:p>
            <w:pPr>
              <w:spacing w:after="0"/>
              <w:rPr>
                <w:sz w:val="24"/>
                <w:szCs w:val="24"/>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7"/>
              </w:rPr>
              <w:t>If you violate any of the Restrictive Covenants during its effective period without the Company’s</w:t>
            </w:r>
          </w:p>
        </w:tc>
      </w:tr>
      <w:tr>
        <w:trPr>
          <w:trHeight w:val="230"/>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consent, your entire Award, whether unvested or earned and vested but unsettled, will immediately be</w:t>
            </w:r>
          </w:p>
        </w:tc>
      </w:tr>
      <w:tr>
        <w:trPr>
          <w:trHeight w:val="229"/>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cancelled. In addition, you agree to repay to the Company the value of all PSUs that were delivered</w:t>
            </w:r>
          </w:p>
        </w:tc>
      </w:tr>
      <w:tr>
        <w:trPr>
          <w:trHeight w:val="230"/>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pursuant to this Award Document during the period commencing on the date that is 12 months prior to</w:t>
            </w:r>
          </w:p>
        </w:tc>
      </w:tr>
      <w:tr>
        <w:trPr>
          <w:trHeight w:val="230"/>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your Termination of Service and ending on the date that is 12 months following your Termination of</w:t>
            </w:r>
          </w:p>
        </w:tc>
      </w:tr>
      <w:tr>
        <w:trPr>
          <w:trHeight w:val="230"/>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Service. To the extent permitted under applicable law, the Company may also take action at equity or</w:t>
            </w:r>
          </w:p>
        </w:tc>
      </w:tr>
      <w:tr>
        <w:trPr>
          <w:trHeight w:val="229"/>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in law to enforce the provisions of the applicable Restrictive Covenants. Following application of this</w:t>
            </w:r>
          </w:p>
        </w:tc>
      </w:tr>
      <w:tr>
        <w:trPr>
          <w:trHeight w:val="230"/>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provision of the Award Document, you will continue to be bound by the obligations, promises and</w:t>
            </w:r>
          </w:p>
        </w:tc>
      </w:tr>
      <w:tr>
        <w:trPr>
          <w:trHeight w:val="250"/>
        </w:trPr>
        <w:tc>
          <w:tcPr>
            <w:tcW w:w="2500" w:type="dxa"/>
            <w:vAlign w:val="bottom"/>
            <w:tcBorders>
              <w:left w:val="single" w:sz="8" w:color="00000A"/>
              <w:right w:val="single" w:sz="8" w:color="00000A"/>
            </w:tcBorders>
          </w:tcPr>
          <w:p>
            <w:pPr>
              <w:spacing w:after="0"/>
              <w:rPr>
                <w:sz w:val="21"/>
                <w:szCs w:val="21"/>
                <w:color w:val="auto"/>
              </w:rPr>
            </w:pP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other agreements contained in the Plan and the Award Document.</w:t>
            </w:r>
          </w:p>
        </w:tc>
      </w:tr>
      <w:tr>
        <w:trPr>
          <w:trHeight w:val="158"/>
        </w:trPr>
        <w:tc>
          <w:tcPr>
            <w:tcW w:w="2500" w:type="dxa"/>
            <w:vAlign w:val="bottom"/>
            <w:tcBorders>
              <w:left w:val="single" w:sz="8" w:color="00000A"/>
              <w:bottom w:val="single" w:sz="8" w:color="00000A"/>
              <w:right w:val="single" w:sz="8" w:color="00000A"/>
            </w:tcBorders>
          </w:tcPr>
          <w:p>
            <w:pPr>
              <w:spacing w:after="0"/>
              <w:rPr>
                <w:sz w:val="13"/>
                <w:szCs w:val="13"/>
                <w:color w:val="auto"/>
              </w:rPr>
            </w:pPr>
          </w:p>
        </w:tc>
        <w:tc>
          <w:tcPr>
            <w:tcW w:w="8240" w:type="dxa"/>
            <w:vAlign w:val="bottom"/>
            <w:tcBorders>
              <w:bottom w:val="single" w:sz="8" w:color="00000A"/>
              <w:right w:val="single" w:sz="8" w:color="00000A"/>
            </w:tcBorders>
          </w:tcPr>
          <w:p>
            <w:pPr>
              <w:spacing w:after="0"/>
              <w:rPr>
                <w:sz w:val="13"/>
                <w:szCs w:val="13"/>
                <w:color w:val="auto"/>
              </w:rPr>
            </w:pPr>
          </w:p>
        </w:tc>
      </w:tr>
      <w:tr>
        <w:trPr>
          <w:trHeight w:val="227"/>
        </w:trPr>
        <w:tc>
          <w:tcPr>
            <w:tcW w:w="2500" w:type="dxa"/>
            <w:vAlign w:val="bottom"/>
            <w:tcBorders>
              <w:left w:val="single" w:sz="8" w:color="00000A"/>
              <w:right w:val="single" w:sz="8" w:color="00000A"/>
            </w:tcBorders>
          </w:tcPr>
          <w:p>
            <w:pPr>
              <w:ind w:left="40"/>
              <w:spacing w:after="0" w:line="228" w:lineRule="exact"/>
              <w:rPr>
                <w:sz w:val="20"/>
                <w:szCs w:val="20"/>
                <w:color w:val="auto"/>
              </w:rPr>
            </w:pPr>
            <w:r>
              <w:rPr>
                <w:rFonts w:ascii="Arial" w:cs="Arial" w:eastAsia="Arial" w:hAnsi="Arial"/>
                <w:sz w:val="20"/>
                <w:szCs w:val="20"/>
                <w:b w:val="1"/>
                <w:bCs w:val="1"/>
                <w:color w:val="auto"/>
              </w:rPr>
              <w:t>Other Terms and</w:t>
            </w:r>
          </w:p>
        </w:tc>
        <w:tc>
          <w:tcPr>
            <w:tcW w:w="8240" w:type="dxa"/>
            <w:vAlign w:val="bottom"/>
            <w:tcBorders>
              <w:right w:val="single" w:sz="8" w:color="00000A"/>
            </w:tcBorders>
          </w:tcPr>
          <w:p>
            <w:pPr>
              <w:ind w:left="20"/>
              <w:spacing w:after="0" w:line="228" w:lineRule="exact"/>
              <w:rPr>
                <w:sz w:val="20"/>
                <w:szCs w:val="20"/>
                <w:color w:val="auto"/>
              </w:rPr>
            </w:pPr>
            <w:r>
              <w:rPr>
                <w:rFonts w:ascii="Arial" w:cs="Arial" w:eastAsia="Arial" w:hAnsi="Arial"/>
                <w:sz w:val="20"/>
                <w:szCs w:val="20"/>
                <w:color w:val="auto"/>
                <w:w w:val="97"/>
              </w:rPr>
              <w:t>Refer to the Plan for additional terms and conditions applicable to your Award, including but not</w:t>
            </w:r>
          </w:p>
        </w:tc>
      </w:tr>
      <w:tr>
        <w:trPr>
          <w:trHeight w:val="256"/>
        </w:trPr>
        <w:tc>
          <w:tcPr>
            <w:tcW w:w="2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Conditions of the Award</w:t>
            </w:r>
          </w:p>
        </w:tc>
        <w:tc>
          <w:tcPr>
            <w:tcW w:w="82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limited to, those relating to:</w:t>
            </w:r>
          </w:p>
        </w:tc>
      </w:tr>
      <w:tr>
        <w:trPr>
          <w:trHeight w:val="438"/>
        </w:trPr>
        <w:tc>
          <w:tcPr>
            <w:tcW w:w="2500" w:type="dxa"/>
            <w:vAlign w:val="bottom"/>
            <w:tcBorders>
              <w:left w:val="single" w:sz="8" w:color="00000A"/>
              <w:right w:val="single" w:sz="8" w:color="00000A"/>
            </w:tcBorders>
          </w:tcPr>
          <w:p>
            <w:pPr>
              <w:spacing w:after="0"/>
              <w:rPr>
                <w:sz w:val="24"/>
                <w:szCs w:val="24"/>
                <w:color w:val="auto"/>
              </w:rPr>
            </w:pPr>
          </w:p>
        </w:tc>
        <w:tc>
          <w:tcPr>
            <w:tcW w:w="8240" w:type="dxa"/>
            <w:vAlign w:val="bottom"/>
            <w:tcBorders>
              <w:right w:val="single" w:sz="8" w:color="00000A"/>
            </w:tcBorders>
          </w:tcPr>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Effect of your Termination of Service on your Award, including upon Death, Disability,</w:t>
            </w:r>
          </w:p>
        </w:tc>
      </w:tr>
      <w:tr>
        <w:trPr>
          <w:trHeight w:val="225"/>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660"/>
              <w:spacing w:after="0" w:line="225" w:lineRule="exact"/>
              <w:rPr>
                <w:sz w:val="20"/>
                <w:szCs w:val="20"/>
                <w:color w:val="auto"/>
              </w:rPr>
            </w:pPr>
            <w:r>
              <w:rPr>
                <w:rFonts w:ascii="Arial" w:cs="Arial" w:eastAsia="Arial" w:hAnsi="Arial"/>
                <w:sz w:val="20"/>
                <w:szCs w:val="20"/>
                <w:color w:val="auto"/>
              </w:rPr>
              <w:t>achievement of Full Career Status and other Termination of Service scenarios;</w:t>
            </w:r>
          </w:p>
        </w:tc>
      </w:tr>
      <w:tr>
        <w:trPr>
          <w:trHeight w:val="248"/>
        </w:trPr>
        <w:tc>
          <w:tcPr>
            <w:tcW w:w="2500" w:type="dxa"/>
            <w:vAlign w:val="bottom"/>
            <w:tcBorders>
              <w:left w:val="single" w:sz="8" w:color="00000A"/>
              <w:right w:val="single" w:sz="8" w:color="00000A"/>
            </w:tcBorders>
          </w:tcPr>
          <w:p>
            <w:pPr>
              <w:spacing w:after="0"/>
              <w:rPr>
                <w:sz w:val="21"/>
                <w:szCs w:val="21"/>
                <w:color w:val="auto"/>
              </w:rPr>
            </w:pPr>
          </w:p>
        </w:tc>
        <w:tc>
          <w:tcPr>
            <w:tcW w:w="8240" w:type="dxa"/>
            <w:vAlign w:val="bottom"/>
            <w:tcBorders>
              <w:right w:val="single" w:sz="8" w:color="00000A"/>
            </w:tcBorders>
          </w:tcPr>
          <w:p>
            <w:pPr>
              <w:ind w:left="340"/>
              <w:spacing w:after="0" w:line="247" w:lineRule="exact"/>
              <w:rPr>
                <w:sz w:val="20"/>
                <w:szCs w:val="20"/>
                <w:color w:val="auto"/>
              </w:rPr>
            </w:pPr>
            <w:r>
              <w:rPr>
                <w:rFonts w:ascii="Arial" w:cs="Arial" w:eastAsia="Arial" w:hAnsi="Arial"/>
                <w:sz w:val="22"/>
                <w:szCs w:val="22"/>
                <w:color w:val="auto"/>
                <w:w w:val="97"/>
              </w:rPr>
              <w:t xml:space="preserve">•  </w:t>
            </w:r>
            <w:r>
              <w:rPr>
                <w:rFonts w:ascii="Arial" w:cs="Arial" w:eastAsia="Arial" w:hAnsi="Arial"/>
                <w:sz w:val="19"/>
                <w:szCs w:val="19"/>
                <w:color w:val="auto"/>
                <w:w w:val="97"/>
              </w:rPr>
              <w:t>Your Award being subject to any clawback or recoupment policies of the Company as may be</w:t>
            </w:r>
          </w:p>
        </w:tc>
      </w:tr>
      <w:tr>
        <w:trPr>
          <w:trHeight w:val="225"/>
        </w:trPr>
        <w:tc>
          <w:tcPr>
            <w:tcW w:w="2500" w:type="dxa"/>
            <w:vAlign w:val="bottom"/>
            <w:tcBorders>
              <w:left w:val="single" w:sz="8" w:color="00000A"/>
              <w:right w:val="single" w:sz="8" w:color="00000A"/>
            </w:tcBorders>
          </w:tcPr>
          <w:p>
            <w:pPr>
              <w:spacing w:after="0"/>
              <w:rPr>
                <w:sz w:val="19"/>
                <w:szCs w:val="19"/>
                <w:color w:val="auto"/>
              </w:rPr>
            </w:pPr>
          </w:p>
        </w:tc>
        <w:tc>
          <w:tcPr>
            <w:tcW w:w="8240" w:type="dxa"/>
            <w:vAlign w:val="bottom"/>
            <w:tcBorders>
              <w:right w:val="single" w:sz="8" w:color="00000A"/>
            </w:tcBorders>
          </w:tcPr>
          <w:p>
            <w:pPr>
              <w:ind w:left="660"/>
              <w:spacing w:after="0" w:line="225" w:lineRule="exact"/>
              <w:rPr>
                <w:sz w:val="20"/>
                <w:szCs w:val="20"/>
                <w:color w:val="auto"/>
              </w:rPr>
            </w:pPr>
            <w:r>
              <w:rPr>
                <w:rFonts w:ascii="Arial" w:cs="Arial" w:eastAsia="Arial" w:hAnsi="Arial"/>
                <w:sz w:val="20"/>
                <w:szCs w:val="20"/>
                <w:color w:val="auto"/>
              </w:rPr>
              <w:t>in effect from time to time;</w:t>
            </w:r>
          </w:p>
        </w:tc>
      </w:tr>
      <w:tr>
        <w:trPr>
          <w:trHeight w:val="243"/>
        </w:trPr>
        <w:tc>
          <w:tcPr>
            <w:tcW w:w="2500" w:type="dxa"/>
            <w:vAlign w:val="bottom"/>
            <w:tcBorders>
              <w:left w:val="single" w:sz="8" w:color="00000A"/>
              <w:right w:val="single" w:sz="8" w:color="00000A"/>
            </w:tcBorders>
          </w:tcPr>
          <w:p>
            <w:pPr>
              <w:spacing w:after="0"/>
              <w:rPr>
                <w:sz w:val="21"/>
                <w:szCs w:val="21"/>
                <w:color w:val="auto"/>
              </w:rPr>
            </w:pPr>
          </w:p>
        </w:tc>
        <w:tc>
          <w:tcPr>
            <w:tcW w:w="8240" w:type="dxa"/>
            <w:vAlign w:val="bottom"/>
            <w:tcBorders>
              <w:right w:val="single" w:sz="8" w:color="00000A"/>
            </w:tcBorders>
          </w:tcPr>
          <w:p>
            <w:pPr>
              <w:ind w:left="34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The impact of a Change in Control or other specified corporate event on your Award; and</w:t>
            </w:r>
          </w:p>
        </w:tc>
      </w:tr>
      <w:tr>
        <w:trPr>
          <w:trHeight w:val="285"/>
        </w:trPr>
        <w:tc>
          <w:tcPr>
            <w:tcW w:w="2500" w:type="dxa"/>
            <w:vAlign w:val="bottom"/>
            <w:tcBorders>
              <w:left w:val="single" w:sz="8" w:color="00000A"/>
              <w:bottom w:val="single" w:sz="8" w:color="00000A"/>
              <w:right w:val="single" w:sz="8" w:color="00000A"/>
            </w:tcBorders>
          </w:tcPr>
          <w:p>
            <w:pPr>
              <w:spacing w:after="0"/>
              <w:rPr>
                <w:sz w:val="24"/>
                <w:szCs w:val="24"/>
                <w:color w:val="auto"/>
              </w:rPr>
            </w:pPr>
          </w:p>
        </w:tc>
        <w:tc>
          <w:tcPr>
            <w:tcW w:w="8240" w:type="dxa"/>
            <w:vAlign w:val="bottom"/>
            <w:tcBorders>
              <w:bottom w:val="single" w:sz="8" w:color="00000A"/>
              <w:right w:val="single" w:sz="8" w:color="00000A"/>
            </w:tcBorders>
          </w:tcPr>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Jurisdiction and governing law.</w:t>
            </w:r>
          </w:p>
        </w:tc>
      </w:tr>
    </w:tbl>
    <w:p>
      <w:pPr>
        <w:sectPr>
          <w:pgSz w:w="11900" w:h="16838" w:orient="portrait"/>
          <w:cols w:equalWidth="0" w:num="1">
            <w:col w:w="10740"/>
          </w:cols>
          <w:pgMar w:left="320" w:top="1240" w:right="839" w:bottom="1440" w:gutter="0" w:footer="0" w:header="0"/>
        </w:sectPr>
      </w:pPr>
    </w:p>
    <w:bookmarkStart w:id="54" w:name="page55"/>
    <w:bookmarkEnd w:id="54"/>
    <w:p>
      <w:pPr>
        <w:spacing w:after="0"/>
        <w:rPr>
          <w:sz w:val="20"/>
          <w:szCs w:val="20"/>
          <w:color w:val="auto"/>
        </w:rPr>
      </w:pPr>
      <w:r>
        <w:rPr>
          <w:rFonts w:ascii="Arial" w:cs="Arial" w:eastAsia="Arial" w:hAnsi="Arial"/>
          <w:sz w:val="20"/>
          <w:szCs w:val="20"/>
          <w:b w:val="1"/>
          <w:bCs w:val="1"/>
          <w:color w:val="auto"/>
        </w:rPr>
        <w:t>Additional Acknowledgements</w:t>
      </w:r>
    </w:p>
    <w:p>
      <w:pPr>
        <w:spacing w:after="0" w:line="235" w:lineRule="exact"/>
        <w:rPr>
          <w:sz w:val="20"/>
          <w:szCs w:val="20"/>
          <w:color w:val="auto"/>
        </w:rPr>
      </w:pPr>
    </w:p>
    <w:p>
      <w:pPr>
        <w:jc w:val="both"/>
        <w:ind w:right="380"/>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PSUs (and issuance of any Shares) to you. By accepting the Award you irrevocably agree and acknowledge in favor of the Company (on its own behalf and as an agent for the Subsidiaries) that:</w:t>
      </w:r>
    </w:p>
    <w:p>
      <w:pPr>
        <w:spacing w:after="0" w:line="199" w:lineRule="exact"/>
        <w:rPr>
          <w:sz w:val="20"/>
          <w:szCs w:val="20"/>
          <w:color w:val="auto"/>
        </w:rPr>
      </w:pPr>
    </w:p>
    <w:p>
      <w:pPr>
        <w:ind w:left="340" w:right="120" w:hanging="332"/>
        <w:spacing w:after="0" w:line="250"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199" w:lineRule="exact"/>
        <w:rPr>
          <w:rFonts w:ascii="Arial" w:cs="Arial" w:eastAsia="Arial" w:hAnsi="Arial"/>
          <w:sz w:val="20"/>
          <w:szCs w:val="20"/>
          <w:color w:val="auto"/>
        </w:rPr>
      </w:pPr>
    </w:p>
    <w:p>
      <w:pPr>
        <w:ind w:left="340" w:right="20" w:hanging="332"/>
        <w:spacing w:after="0" w:line="244"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single, voluntary grant and does not constitute a promise, a contractual right or other right to receive future grants. The Committee maintains the right to make available future grants under the Plan.</w:t>
      </w:r>
    </w:p>
    <w:p>
      <w:pPr>
        <w:spacing w:after="0" w:line="207" w:lineRule="exact"/>
        <w:rPr>
          <w:rFonts w:ascii="Arial" w:cs="Arial" w:eastAsia="Arial" w:hAnsi="Arial"/>
          <w:sz w:val="20"/>
          <w:szCs w:val="20"/>
          <w:color w:val="auto"/>
        </w:rPr>
      </w:pPr>
    </w:p>
    <w:p>
      <w:pPr>
        <w:ind w:left="340" w:right="40" w:hanging="332"/>
        <w:spacing w:after="0" w:line="244"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pacing w:after="0" w:line="194" w:lineRule="exact"/>
        <w:rPr>
          <w:rFonts w:ascii="Arial" w:cs="Arial" w:eastAsia="Arial" w:hAnsi="Arial"/>
          <w:sz w:val="20"/>
          <w:szCs w:val="20"/>
          <w:color w:val="auto"/>
        </w:rPr>
      </w:pPr>
    </w:p>
    <w:p>
      <w:pPr>
        <w:ind w:left="340" w:right="20" w:hanging="332"/>
        <w:spacing w:after="0" w:line="244"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of office, severance payments, leave entitlements, or any other compensation payable to you and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194" w:lineRule="exact"/>
        <w:rPr>
          <w:rFonts w:ascii="Arial" w:cs="Arial" w:eastAsia="Arial" w:hAnsi="Arial"/>
          <w:sz w:val="20"/>
          <w:szCs w:val="20"/>
          <w:color w:val="auto"/>
        </w:rPr>
      </w:pPr>
    </w:p>
    <w:p>
      <w:pPr>
        <w:ind w:left="340" w:right="140" w:hanging="332"/>
        <w:spacing w:after="0" w:line="385"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Award includes Restrictive Covenants and conditions precedent that apply during and following your termination of employment, and the PSUs described in this Award constitute good and valuable consideration provided in exchange for those Restrictive Covenants.</w:t>
      </w:r>
    </w:p>
    <w:p>
      <w:pPr>
        <w:spacing w:after="0" w:line="98" w:lineRule="exact"/>
        <w:rPr>
          <w:rFonts w:ascii="Arial" w:cs="Arial" w:eastAsia="Arial" w:hAnsi="Arial"/>
          <w:sz w:val="16"/>
          <w:szCs w:val="16"/>
          <w:color w:val="auto"/>
        </w:rPr>
      </w:pPr>
    </w:p>
    <w:p>
      <w:pPr>
        <w:jc w:val="both"/>
        <w:ind w:left="340" w:right="280" w:hanging="332"/>
        <w:spacing w:after="0" w:line="250"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185" w:lineRule="exact"/>
        <w:rPr>
          <w:rFonts w:ascii="Arial" w:cs="Arial" w:eastAsia="Arial" w:hAnsi="Arial"/>
          <w:sz w:val="20"/>
          <w:szCs w:val="20"/>
          <w:color w:val="auto"/>
        </w:rPr>
      </w:pPr>
    </w:p>
    <w:p>
      <w:pPr>
        <w:ind w:left="340" w:right="100" w:hanging="332"/>
        <w:spacing w:after="0" w:line="260"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and cannot be predicted with certainty and the Shares may increase or decrease in value.</w:t>
      </w:r>
    </w:p>
    <w:p>
      <w:pPr>
        <w:spacing w:after="0" w:line="176" w:lineRule="exact"/>
        <w:rPr>
          <w:rFonts w:ascii="Arial" w:cs="Arial" w:eastAsia="Arial" w:hAnsi="Arial"/>
          <w:sz w:val="20"/>
          <w:szCs w:val="20"/>
          <w:color w:val="auto"/>
        </w:rPr>
      </w:pPr>
    </w:p>
    <w:p>
      <w:pPr>
        <w:ind w:left="340" w:right="20" w:hanging="332"/>
        <w:spacing w:after="0" w:line="28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will have no claim or entitlement to compensation or damages arising from the forfeiture of the PSUs, the termination of the Plan, or the diminution in value of the PSUs or Shares, including without limitation, as a result of the termination of your employment by the Company or any Subsidiary for any reason whatsoever and whether or not in breach of contract. You irrevocably release the Company, its Subsidiaries, Affiliates, the Plan Administrator and their affiliates from any such claim that may arise.</w:t>
      </w:r>
    </w:p>
    <w:p>
      <w:pPr>
        <w:spacing w:after="0" w:line="161"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Company has adopted a stock ownership requirement policy, and if your position is covered, you shall be subject to and comply with this policy as may be in effect from time to time.</w:t>
      </w:r>
    </w:p>
    <w:p>
      <w:pPr>
        <w:spacing w:after="0" w:line="190" w:lineRule="exact"/>
        <w:rPr>
          <w:rFonts w:ascii="Arial" w:cs="Arial" w:eastAsia="Arial" w:hAnsi="Arial"/>
          <w:sz w:val="20"/>
          <w:szCs w:val="20"/>
          <w:color w:val="auto"/>
        </w:rPr>
      </w:pPr>
    </w:p>
    <w:p>
      <w:pPr>
        <w:ind w:left="340" w:right="160" w:hanging="332"/>
        <w:spacing w:after="0" w:line="260"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If any term of this Award is determined to be unenforceable as written by a court of competent jurisdiction, you acknowledge and agree that such term shall be adjusted to the extent determined by the court to achieve</w:t>
      </w:r>
    </w:p>
    <w:p>
      <w:pPr>
        <w:sectPr>
          <w:pgSz w:w="11900" w:h="16838" w:orient="portrait"/>
          <w:cols w:equalWidth="0" w:num="1">
            <w:col w:w="11220"/>
          </w:cols>
          <w:pgMar w:left="320" w:top="589" w:right="359" w:bottom="1440" w:gutter="0" w:footer="0" w:header="0"/>
        </w:sectPr>
      </w:pPr>
    </w:p>
    <w:bookmarkStart w:id="55" w:name="page56"/>
    <w:bookmarkEnd w:id="55"/>
    <w:p>
      <w:pPr>
        <w:ind w:left="340" w:right="60"/>
        <w:spacing w:after="0" w:line="237" w:lineRule="auto"/>
        <w:rPr>
          <w:sz w:val="20"/>
          <w:szCs w:val="20"/>
          <w:color w:val="auto"/>
        </w:rPr>
      </w:pPr>
      <w:r>
        <w:rPr>
          <w:rFonts w:ascii="Arial" w:cs="Arial" w:eastAsia="Arial" w:hAnsi="Arial"/>
          <w:sz w:val="20"/>
          <w:szCs w:val="20"/>
          <w:color w:val="auto"/>
        </w:rPr>
        <w:t>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183" w:lineRule="exact"/>
        <w:rPr>
          <w:sz w:val="20"/>
          <w:szCs w:val="20"/>
          <w:color w:val="auto"/>
        </w:rPr>
      </w:pPr>
    </w:p>
    <w:p>
      <w:pPr>
        <w:ind w:left="340" w:right="120" w:hanging="332"/>
        <w:spacing w:after="0" w:line="27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 agree this Plan and this Award are governed by the laws of the State of Delaware, without regard to the conflicts of law provisions thereof, and further consent to the exclusive personal jurisdiction and venue of the Chancery Court of the State of Delaware and the United States District Court for the District of Delaware for any action, claim or dispute arising out of or relating to this Award, the Plan or the subject matter contained in this Award Document. The Company will make reasonable efforts so that the Award complies with all applicable federal and state securities laws; provided, however, notwithstanding any other provision of the Award Document, the PSUs shall not be settled if the settlement thereof would result in a violation of any such law.</w:t>
      </w:r>
    </w:p>
    <w:p>
      <w:pPr>
        <w:spacing w:after="0" w:line="178" w:lineRule="exact"/>
        <w:rPr>
          <w:rFonts w:ascii="Arial" w:cs="Arial" w:eastAsia="Arial" w:hAnsi="Arial"/>
          <w:sz w:val="18"/>
          <w:szCs w:val="18"/>
          <w:color w:val="auto"/>
        </w:rPr>
      </w:pPr>
    </w:p>
    <w:p>
      <w:pPr>
        <w:ind w:left="340" w:right="640" w:hanging="332"/>
        <w:spacing w:after="0" w:line="260" w:lineRule="auto"/>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190" w:lineRule="exact"/>
        <w:rPr>
          <w:rFonts w:ascii="Arial" w:cs="Arial" w:eastAsia="Arial" w:hAnsi="Arial"/>
          <w:sz w:val="20"/>
          <w:szCs w:val="20"/>
          <w:color w:val="auto"/>
        </w:rPr>
      </w:pPr>
    </w:p>
    <w:p>
      <w:pPr>
        <w:ind w:left="340" w:right="120" w:hanging="332"/>
        <w:spacing w:after="0" w:line="250" w:lineRule="auto"/>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You have read this Award Document and the Plan carefully and understand their terms, including but not limited to the Restrictive Covenants herein. By indicating your acceptance of these terms, you are expressly accepting the terms and conditions of the Award, and the Company may rely on your acceptance.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Offer</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To accept this offer you will need to follow the link at the bottom of this page. Your electronic acceptance confirms the following:</w:t>
      </w:r>
    </w:p>
    <w:p>
      <w:pPr>
        <w:spacing w:after="0" w:line="241"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177" w:lineRule="exact"/>
        <w:rPr>
          <w:sz w:val="20"/>
          <w:szCs w:val="20"/>
          <w:color w:val="auto"/>
        </w:rPr>
      </w:pPr>
    </w:p>
    <w:p>
      <w:pPr>
        <w:ind w:left="340" w:right="220" w:hanging="332"/>
        <w:spacing w:after="0" w:line="260"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Accept the number of target PSUs (and any Shares) that are issued by the Company to me in accordance with the terms of the Plan and this Award Document; and</w:t>
      </w:r>
    </w:p>
    <w:p>
      <w:pPr>
        <w:spacing w:after="0" w:line="176" w:lineRule="exact"/>
        <w:rPr>
          <w:rFonts w:ascii="Arial" w:cs="Arial" w:eastAsia="Arial" w:hAnsi="Arial"/>
          <w:sz w:val="20"/>
          <w:szCs w:val="20"/>
          <w:color w:val="auto"/>
        </w:rPr>
      </w:pPr>
    </w:p>
    <w:p>
      <w:pPr>
        <w:ind w:left="340" w:hanging="332"/>
        <w:spacing w:after="0"/>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you do not accept this Award by [Insert Date], this offer will lapse and be incapable of acceptance (unless otherwise agreed to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offer or the Plan, please contact [Insert Contact Information].</w:t>
      </w:r>
    </w:p>
    <w:p>
      <w:pPr>
        <w:sectPr>
          <w:pgSz w:w="11900" w:h="16838" w:orient="portrait"/>
          <w:cols w:equalWidth="0" w:num="1">
            <w:col w:w="11240"/>
          </w:cols>
          <w:pgMar w:left="320" w:top="59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Performance Measures</w:t>
      </w:r>
    </w:p>
    <w:p>
      <w:pPr>
        <w:spacing w:after="0" w:line="230" w:lineRule="exact"/>
        <w:rPr>
          <w:sz w:val="20"/>
          <w:szCs w:val="20"/>
          <w:color w:val="auto"/>
        </w:rPr>
      </w:pPr>
    </w:p>
    <w:p>
      <w:pPr>
        <w:jc w:val="both"/>
        <w:ind w:right="160"/>
        <w:spacing w:after="0" w:line="282" w:lineRule="auto"/>
        <w:rPr>
          <w:sz w:val="20"/>
          <w:szCs w:val="20"/>
          <w:color w:val="auto"/>
        </w:rPr>
      </w:pPr>
      <w:r>
        <w:rPr>
          <w:rFonts w:ascii="Arial" w:cs="Arial" w:eastAsia="Arial" w:hAnsi="Arial"/>
          <w:sz w:val="18"/>
          <w:szCs w:val="18"/>
          <w:color w:val="auto"/>
        </w:rPr>
        <w:t>The number of Shares that will be delivered will range between 0 - 200% of your number of Target Units and will be determined based on two performance measures – Relative ROIC-Adjusted and Relative TSR. For each measure, GM’s ROIC-Adjusted performance and GM’s TSR performance will be measured relative to the performance of the companies in the “</w:t>
      </w:r>
      <w:r>
        <w:rPr>
          <w:rFonts w:ascii="Arial" w:cs="Arial" w:eastAsia="Arial" w:hAnsi="Arial"/>
          <w:sz w:val="18"/>
          <w:szCs w:val="18"/>
          <w:b w:val="1"/>
          <w:bCs w:val="1"/>
          <w:color w:val="auto"/>
        </w:rPr>
        <w:t>OEM Peer Group</w:t>
      </w:r>
      <w:r>
        <w:rPr>
          <w:rFonts w:ascii="Arial" w:cs="Arial" w:eastAsia="Arial" w:hAnsi="Arial"/>
          <w:sz w:val="18"/>
          <w:szCs w:val="18"/>
          <w:color w:val="auto"/>
        </w:rPr>
        <w:t>.” Each performance measure is assessed independently, so it is possible to receive a payout for one performance measure and not the other.</w:t>
      </w:r>
    </w:p>
    <w:p>
      <w:pPr>
        <w:spacing w:after="0" w:line="175"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The OEM Peer Group means the Original Equipment Manufacturers (other than GM) in the Dow Jones Automobiles and Parts Titans 30 Index on the Grant Date. Note: The Company reserves the right to adjust the companies listed in the OEM Peer Group due to the following events: mergers, acquisitions, consolidations, divestitures or insolvencies.</w:t>
      </w:r>
    </w:p>
    <w:p>
      <w:pPr>
        <w:spacing w:after="0" w:line="200" w:lineRule="exact"/>
        <w:rPr>
          <w:sz w:val="20"/>
          <w:szCs w:val="20"/>
          <w:color w:val="auto"/>
        </w:rPr>
      </w:pPr>
    </w:p>
    <w:p>
      <w:pPr>
        <w:spacing w:after="0" w:line="209" w:lineRule="exact"/>
        <w:rPr>
          <w:sz w:val="20"/>
          <w:szCs w:val="20"/>
          <w:color w:val="auto"/>
        </w:rPr>
      </w:pPr>
    </w:p>
    <w:p>
      <w:pPr>
        <w:ind w:right="620"/>
        <w:spacing w:after="0" w:line="267" w:lineRule="auto"/>
        <w:rPr>
          <w:sz w:val="20"/>
          <w:szCs w:val="20"/>
          <w:color w:val="auto"/>
        </w:rPr>
      </w:pPr>
      <w:r>
        <w:rPr>
          <w:rFonts w:ascii="Arial" w:cs="Arial" w:eastAsia="Arial" w:hAnsi="Arial"/>
          <w:sz w:val="20"/>
          <w:szCs w:val="20"/>
          <w:b w:val="1"/>
          <w:bCs w:val="1"/>
          <w:u w:val="single" w:color="auto"/>
          <w:color w:val="auto"/>
        </w:rPr>
        <w:t>Relative ROIC-Adjusted</w:t>
      </w:r>
      <w:r>
        <w:rPr>
          <w:rFonts w:ascii="Arial" w:cs="Arial" w:eastAsia="Arial" w:hAnsi="Arial"/>
          <w:sz w:val="20"/>
          <w:szCs w:val="20"/>
          <w:b w:val="1"/>
          <w:bCs w:val="1"/>
          <w:color w:val="auto"/>
        </w:rPr>
        <w:t xml:space="preserve">: </w:t>
      </w:r>
      <w:r>
        <w:rPr>
          <w:rFonts w:ascii="Arial" w:cs="Arial" w:eastAsia="Arial" w:hAnsi="Arial"/>
          <w:sz w:val="20"/>
          <w:szCs w:val="20"/>
          <w:color w:val="auto"/>
        </w:rPr>
        <w:t>One-half of the Target Units eligible to be earned will be determined based on Relative ROIC-Adjusted as</w:t>
      </w:r>
      <w:r>
        <w:rPr>
          <w:rFonts w:ascii="Arial" w:cs="Arial" w:eastAsia="Arial" w:hAnsi="Arial"/>
          <w:sz w:val="20"/>
          <w:szCs w:val="20"/>
          <w:b w:val="1"/>
          <w:bCs w:val="1"/>
          <w:color w:val="auto"/>
        </w:rPr>
        <w:t xml:space="preserve"> </w:t>
      </w:r>
      <w:r>
        <w:rPr>
          <w:rFonts w:ascii="Arial" w:cs="Arial" w:eastAsia="Arial" w:hAnsi="Arial"/>
          <w:sz w:val="20"/>
          <w:szCs w:val="20"/>
          <w:color w:val="auto"/>
        </w:rPr>
        <w:t>follows:</w:t>
      </w:r>
    </w:p>
    <w:p>
      <w:pPr>
        <w:spacing w:after="0" w:line="16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First, the 3-Year Average ROIC-Adjusted for each company is determined.</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Second, the results for each company in the OEM Peer Group are ranked by percentile independent of GM’s results.</w:t>
      </w:r>
    </w:p>
    <w:p>
      <w:pPr>
        <w:spacing w:after="0" w:line="215" w:lineRule="exact"/>
        <w:rPr>
          <w:rFonts w:ascii="Arial" w:cs="Arial" w:eastAsia="Arial" w:hAnsi="Arial"/>
          <w:sz w:val="20"/>
          <w:szCs w:val="20"/>
          <w:color w:val="auto"/>
        </w:rPr>
      </w:pPr>
    </w:p>
    <w:p>
      <w:pPr>
        <w:ind w:left="660" w:right="160" w:hanging="328"/>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Third, GM’s 3-Year Average ROIC-Adjusted result is placed on the percentile continuum between the peer company directly above us and below us to determine our performance.</w:t>
      </w:r>
    </w:p>
    <w:p>
      <w:pPr>
        <w:spacing w:after="0" w:line="176" w:lineRule="exact"/>
        <w:rPr>
          <w:rFonts w:ascii="Arial" w:cs="Arial" w:eastAsia="Arial" w:hAnsi="Arial"/>
          <w:sz w:val="20"/>
          <w:szCs w:val="20"/>
          <w:color w:val="auto"/>
        </w:rPr>
      </w:pPr>
    </w:p>
    <w:p>
      <w:pPr>
        <w:ind w:left="660" w:hanging="328"/>
        <w:spacing w:after="0"/>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Fourth, the percentage of Target Units earned is determined based on the following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233045</wp:posOffset>
            </wp:positionV>
            <wp:extent cx="6146165" cy="1259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146165" cy="1259840"/>
                    </a:xfrm>
                    <a:prstGeom prst="rect">
                      <a:avLst/>
                    </a:prstGeom>
                    <a:noFill/>
                  </pic:spPr>
                </pic:pic>
              </a:graphicData>
            </a:graphic>
          </wp:anchor>
        </w:drawing>
      </w:r>
    </w:p>
    <w:p>
      <w:pPr>
        <w:spacing w:after="0" w:line="360" w:lineRule="exact"/>
        <w:rPr>
          <w:sz w:val="20"/>
          <w:szCs w:val="20"/>
          <w:color w:val="auto"/>
        </w:rPr>
      </w:pPr>
    </w:p>
    <w:p>
      <w:pPr>
        <w:ind w:left="2220"/>
        <w:spacing w:after="0"/>
        <w:rPr>
          <w:sz w:val="20"/>
          <w:szCs w:val="20"/>
          <w:color w:val="auto"/>
        </w:rPr>
      </w:pPr>
      <w:r>
        <w:rPr>
          <w:rFonts w:ascii="Arial" w:cs="Arial" w:eastAsia="Arial" w:hAnsi="Arial"/>
          <w:sz w:val="22"/>
          <w:szCs w:val="22"/>
          <w:b w:val="1"/>
          <w:bCs w:val="1"/>
          <w:color w:val="auto"/>
        </w:rPr>
        <w:t>GM’s 3-Year Average ROIC-Adjusted Result Versus OEM Peer Group</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301"/>
        </w:trPr>
        <w:tc>
          <w:tcPr>
            <w:tcW w:w="1860" w:type="dxa"/>
            <w:vAlign w:val="bottom"/>
            <w:tcBorders>
              <w:top w:val="single" w:sz="8" w:color="00000A"/>
              <w:bottom w:val="single" w:sz="8" w:color="00000A"/>
              <w:right w:val="single" w:sz="8" w:color="00000A"/>
            </w:tcBorders>
          </w:tcPr>
          <w:p>
            <w:pPr>
              <w:spacing w:after="0"/>
              <w:rPr>
                <w:sz w:val="24"/>
                <w:szCs w:val="24"/>
                <w:color w:val="auto"/>
              </w:rPr>
            </w:pPr>
          </w:p>
        </w:tc>
        <w:tc>
          <w:tcPr>
            <w:tcW w:w="232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7"/>
              </w:rPr>
              <w:t>Below Threshold</w:t>
            </w:r>
          </w:p>
        </w:tc>
        <w:tc>
          <w:tcPr>
            <w:tcW w:w="182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0"/>
              </w:rPr>
              <w:t>Threshold</w:t>
            </w:r>
          </w:p>
        </w:tc>
        <w:tc>
          <w:tcPr>
            <w:tcW w:w="184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9"/>
              </w:rPr>
              <w:t>Target</w:t>
            </w:r>
          </w:p>
        </w:tc>
        <w:tc>
          <w:tcPr>
            <w:tcW w:w="1840" w:type="dxa"/>
            <w:vAlign w:val="bottom"/>
            <w:tcBorders>
              <w:top w:val="single" w:sz="8" w:color="00000A"/>
              <w:bottom w:val="single" w:sz="8" w:color="00000A"/>
            </w:tcBorders>
          </w:tcPr>
          <w:p>
            <w:pPr>
              <w:jc w:val="center"/>
              <w:spacing w:after="0"/>
              <w:rPr>
                <w:sz w:val="20"/>
                <w:szCs w:val="20"/>
                <w:color w:val="auto"/>
              </w:rPr>
            </w:pPr>
            <w:r>
              <w:rPr>
                <w:rFonts w:ascii="Arial" w:cs="Arial" w:eastAsia="Arial" w:hAnsi="Arial"/>
                <w:sz w:val="22"/>
                <w:szCs w:val="22"/>
                <w:b w:val="1"/>
                <w:bCs w:val="1"/>
                <w:color w:val="auto"/>
                <w:w w:val="94"/>
              </w:rPr>
              <w:t>Maximum</w:t>
            </w:r>
          </w:p>
        </w:tc>
      </w:tr>
      <w:tr>
        <w:trPr>
          <w:trHeight w:val="249"/>
        </w:trPr>
        <w:tc>
          <w:tcPr>
            <w:tcW w:w="1860" w:type="dxa"/>
            <w:vAlign w:val="bottom"/>
            <w:tcBorders>
              <w:right w:val="single" w:sz="8" w:color="00000A"/>
            </w:tcBorders>
          </w:tcPr>
          <w:p>
            <w:pPr>
              <w:spacing w:after="0"/>
              <w:rPr>
                <w:sz w:val="21"/>
                <w:szCs w:val="21"/>
                <w:color w:val="auto"/>
              </w:rPr>
            </w:pPr>
          </w:p>
        </w:tc>
        <w:tc>
          <w:tcPr>
            <w:tcW w:w="2320" w:type="dxa"/>
            <w:vAlign w:val="bottom"/>
            <w:tcBorders>
              <w:right w:val="single" w:sz="8" w:color="00000A"/>
            </w:tcBorders>
          </w:tcPr>
          <w:p>
            <w:pPr>
              <w:jc w:val="center"/>
              <w:spacing w:after="0" w:line="249" w:lineRule="exact"/>
              <w:rPr>
                <w:sz w:val="20"/>
                <w:szCs w:val="20"/>
                <w:color w:val="auto"/>
              </w:rPr>
            </w:pPr>
            <w:r>
              <w:rPr>
                <w:rFonts w:ascii="Arial" w:cs="Arial" w:eastAsia="Arial" w:hAnsi="Arial"/>
                <w:sz w:val="22"/>
                <w:szCs w:val="22"/>
                <w:color w:val="auto"/>
                <w:w w:val="90"/>
              </w:rPr>
              <w:t>Below 35</w:t>
            </w:r>
            <w:r>
              <w:rPr>
                <w:rFonts w:ascii="Arial" w:cs="Arial" w:eastAsia="Arial" w:hAnsi="Arial"/>
                <w:sz w:val="28"/>
                <w:szCs w:val="28"/>
                <w:color w:val="auto"/>
                <w:w w:val="90"/>
                <w:vertAlign w:val="superscript"/>
              </w:rPr>
              <w:t>th</w:t>
            </w:r>
          </w:p>
        </w:tc>
        <w:tc>
          <w:tcPr>
            <w:tcW w:w="1820" w:type="dxa"/>
            <w:vAlign w:val="bottom"/>
            <w:tcBorders>
              <w:right w:val="single" w:sz="8" w:color="00000A"/>
            </w:tcBorders>
          </w:tcPr>
          <w:p>
            <w:pPr>
              <w:jc w:val="center"/>
              <w:spacing w:after="0" w:line="249" w:lineRule="exact"/>
              <w:rPr>
                <w:sz w:val="20"/>
                <w:szCs w:val="20"/>
                <w:color w:val="auto"/>
              </w:rPr>
            </w:pPr>
            <w:r>
              <w:rPr>
                <w:rFonts w:ascii="Arial" w:cs="Arial" w:eastAsia="Arial" w:hAnsi="Arial"/>
                <w:sz w:val="28"/>
                <w:szCs w:val="28"/>
                <w:color w:val="auto"/>
                <w:vertAlign w:val="subscript"/>
              </w:rPr>
              <w:t>35</w:t>
            </w:r>
            <w:r>
              <w:rPr>
                <w:rFonts w:ascii="Arial" w:cs="Arial" w:eastAsia="Arial" w:hAnsi="Arial"/>
                <w:sz w:val="12"/>
                <w:szCs w:val="12"/>
                <w:color w:val="auto"/>
              </w:rPr>
              <w:t>th</w:t>
            </w:r>
          </w:p>
        </w:tc>
        <w:tc>
          <w:tcPr>
            <w:tcW w:w="1840" w:type="dxa"/>
            <w:vAlign w:val="bottom"/>
            <w:tcBorders>
              <w:right w:val="single" w:sz="8" w:color="00000A"/>
            </w:tcBorders>
          </w:tcPr>
          <w:p>
            <w:pPr>
              <w:jc w:val="center"/>
              <w:spacing w:after="0" w:line="249" w:lineRule="exact"/>
              <w:rPr>
                <w:sz w:val="20"/>
                <w:szCs w:val="20"/>
                <w:color w:val="auto"/>
              </w:rPr>
            </w:pPr>
            <w:r>
              <w:rPr>
                <w:rFonts w:ascii="Arial" w:cs="Arial" w:eastAsia="Arial" w:hAnsi="Arial"/>
                <w:sz w:val="28"/>
                <w:szCs w:val="28"/>
                <w:color w:val="auto"/>
                <w:vertAlign w:val="subscript"/>
              </w:rPr>
              <w:t>60</w:t>
            </w:r>
            <w:r>
              <w:rPr>
                <w:rFonts w:ascii="Arial" w:cs="Arial" w:eastAsia="Arial" w:hAnsi="Arial"/>
                <w:sz w:val="12"/>
                <w:szCs w:val="12"/>
                <w:color w:val="auto"/>
              </w:rPr>
              <w:t>th</w:t>
            </w:r>
          </w:p>
        </w:tc>
        <w:tc>
          <w:tcPr>
            <w:tcW w:w="1840" w:type="dxa"/>
            <w:vAlign w:val="bottom"/>
          </w:tcPr>
          <w:p>
            <w:pPr>
              <w:jc w:val="center"/>
              <w:spacing w:after="0" w:line="249" w:lineRule="exact"/>
              <w:rPr>
                <w:sz w:val="20"/>
                <w:szCs w:val="20"/>
                <w:color w:val="auto"/>
              </w:rPr>
            </w:pPr>
            <w:r>
              <w:rPr>
                <w:rFonts w:ascii="Arial" w:cs="Arial" w:eastAsia="Arial" w:hAnsi="Arial"/>
                <w:sz w:val="22"/>
                <w:szCs w:val="22"/>
                <w:color w:val="auto"/>
                <w:w w:val="84"/>
              </w:rPr>
              <w:t>100</w:t>
            </w:r>
            <w:r>
              <w:rPr>
                <w:rFonts w:ascii="Arial" w:cs="Arial" w:eastAsia="Arial" w:hAnsi="Arial"/>
                <w:sz w:val="28"/>
                <w:szCs w:val="28"/>
                <w:color w:val="auto"/>
                <w:w w:val="84"/>
                <w:vertAlign w:val="superscript"/>
              </w:rPr>
              <w:t>th</w:t>
            </w:r>
          </w:p>
        </w:tc>
      </w:tr>
      <w:tr>
        <w:trPr>
          <w:trHeight w:val="285"/>
        </w:trPr>
        <w:tc>
          <w:tcPr>
            <w:tcW w:w="1860" w:type="dxa"/>
            <w:vAlign w:val="bottom"/>
            <w:tcBorders>
              <w:bottom w:val="single" w:sz="8" w:color="00000A"/>
              <w:right w:val="single" w:sz="8" w:color="00000A"/>
            </w:tcBorders>
          </w:tcPr>
          <w:p>
            <w:pPr>
              <w:spacing w:after="0"/>
              <w:rPr>
                <w:sz w:val="24"/>
                <w:szCs w:val="24"/>
                <w:color w:val="auto"/>
              </w:rPr>
            </w:pPr>
          </w:p>
        </w:tc>
        <w:tc>
          <w:tcPr>
            <w:tcW w:w="2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Percentile</w:t>
            </w: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Percentile</w:t>
            </w:r>
          </w:p>
        </w:tc>
        <w:tc>
          <w:tcPr>
            <w:tcW w:w="1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Percentile</w:t>
            </w:r>
          </w:p>
        </w:tc>
        <w:tc>
          <w:tcPr>
            <w:tcW w:w="1840" w:type="dxa"/>
            <w:vAlign w:val="bottom"/>
            <w:tcBorders>
              <w:bottom w:val="single" w:sz="8" w:color="00000A"/>
            </w:tcBorders>
          </w:tcPr>
          <w:p>
            <w:pPr>
              <w:jc w:val="center"/>
              <w:spacing w:after="0"/>
              <w:rPr>
                <w:sz w:val="20"/>
                <w:szCs w:val="20"/>
                <w:color w:val="auto"/>
              </w:rPr>
            </w:pPr>
            <w:r>
              <w:rPr>
                <w:rFonts w:ascii="Arial" w:cs="Arial" w:eastAsia="Arial" w:hAnsi="Arial"/>
                <w:sz w:val="22"/>
                <w:szCs w:val="22"/>
                <w:color w:val="auto"/>
                <w:w w:val="87"/>
              </w:rPr>
              <w:t>Percentile</w:t>
            </w:r>
          </w:p>
        </w:tc>
      </w:tr>
      <w:tr>
        <w:trPr>
          <w:trHeight w:val="249"/>
        </w:trPr>
        <w:tc>
          <w:tcPr>
            <w:tcW w:w="1860" w:type="dxa"/>
            <w:vAlign w:val="bottom"/>
            <w:tcBorders>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86"/>
              </w:rPr>
              <w:t>Percentage of Target</w:t>
            </w:r>
          </w:p>
        </w:tc>
        <w:tc>
          <w:tcPr>
            <w:tcW w:w="2320" w:type="dxa"/>
            <w:vAlign w:val="bottom"/>
            <w:tcBorders>
              <w:right w:val="single" w:sz="8" w:color="00000A"/>
            </w:tcBorders>
          </w:tcPr>
          <w:p>
            <w:pPr>
              <w:spacing w:after="0"/>
              <w:rPr>
                <w:sz w:val="21"/>
                <w:szCs w:val="21"/>
                <w:color w:val="auto"/>
              </w:rPr>
            </w:pPr>
          </w:p>
        </w:tc>
        <w:tc>
          <w:tcPr>
            <w:tcW w:w="1820" w:type="dxa"/>
            <w:vAlign w:val="bottom"/>
            <w:tcBorders>
              <w:right w:val="single" w:sz="8" w:color="00000A"/>
            </w:tcBorders>
          </w:tcPr>
          <w:p>
            <w:pPr>
              <w:spacing w:after="0"/>
              <w:rPr>
                <w:sz w:val="21"/>
                <w:szCs w:val="21"/>
                <w:color w:val="auto"/>
              </w:rPr>
            </w:pPr>
          </w:p>
        </w:tc>
        <w:tc>
          <w:tcPr>
            <w:tcW w:w="1840" w:type="dxa"/>
            <w:vAlign w:val="bottom"/>
            <w:tcBorders>
              <w:right w:val="single" w:sz="8" w:color="00000A"/>
            </w:tcBorders>
          </w:tcPr>
          <w:p>
            <w:pPr>
              <w:spacing w:after="0"/>
              <w:rPr>
                <w:sz w:val="21"/>
                <w:szCs w:val="21"/>
                <w:color w:val="auto"/>
              </w:rPr>
            </w:pPr>
          </w:p>
        </w:tc>
        <w:tc>
          <w:tcPr>
            <w:tcW w:w="1840" w:type="dxa"/>
            <w:vAlign w:val="bottom"/>
          </w:tcPr>
          <w:p>
            <w:pPr>
              <w:spacing w:after="0"/>
              <w:rPr>
                <w:sz w:val="21"/>
                <w:szCs w:val="21"/>
                <w:color w:val="auto"/>
              </w:rPr>
            </w:pPr>
          </w:p>
        </w:tc>
      </w:tr>
      <w:tr>
        <w:trPr>
          <w:trHeight w:val="243"/>
        </w:trPr>
        <w:tc>
          <w:tcPr>
            <w:tcW w:w="186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7"/>
              </w:rPr>
              <w:t>Units Eligible to be</w:t>
            </w:r>
          </w:p>
        </w:tc>
        <w:tc>
          <w:tcPr>
            <w:tcW w:w="232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4"/>
              </w:rPr>
              <w:t>0%</w:t>
            </w:r>
          </w:p>
        </w:tc>
        <w:tc>
          <w:tcPr>
            <w:tcW w:w="182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50%</w:t>
            </w:r>
          </w:p>
        </w:tc>
        <w:tc>
          <w:tcPr>
            <w:tcW w:w="184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1840" w:type="dxa"/>
            <w:vAlign w:val="bottom"/>
          </w:tcPr>
          <w:p>
            <w:pPr>
              <w:jc w:val="center"/>
              <w:spacing w:after="0" w:line="243" w:lineRule="exact"/>
              <w:rPr>
                <w:sz w:val="20"/>
                <w:szCs w:val="20"/>
                <w:color w:val="auto"/>
              </w:rPr>
            </w:pPr>
            <w:r>
              <w:rPr>
                <w:rFonts w:ascii="Arial" w:cs="Arial" w:eastAsia="Arial" w:hAnsi="Arial"/>
                <w:sz w:val="22"/>
                <w:szCs w:val="22"/>
                <w:color w:val="auto"/>
                <w:w w:val="88"/>
              </w:rPr>
              <w:t>200%</w:t>
            </w:r>
          </w:p>
        </w:tc>
      </w:tr>
      <w:tr>
        <w:trPr>
          <w:trHeight w:val="285"/>
        </w:trPr>
        <w:tc>
          <w:tcPr>
            <w:tcW w:w="186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Earned</w:t>
            </w:r>
          </w:p>
        </w:tc>
        <w:tc>
          <w:tcPr>
            <w:tcW w:w="2320" w:type="dxa"/>
            <w:vAlign w:val="bottom"/>
            <w:tcBorders>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spacing w:after="0"/>
              <w:rPr>
                <w:sz w:val="24"/>
                <w:szCs w:val="24"/>
                <w:color w:val="auto"/>
              </w:rPr>
            </w:pPr>
          </w:p>
        </w:tc>
        <w:tc>
          <w:tcPr>
            <w:tcW w:w="1840" w:type="dxa"/>
            <w:vAlign w:val="bottom"/>
            <w:tcBorders>
              <w:bottom w:val="single" w:sz="8" w:color="00000A"/>
              <w:right w:val="single" w:sz="8" w:color="00000A"/>
            </w:tcBorders>
          </w:tcPr>
          <w:p>
            <w:pPr>
              <w:spacing w:after="0"/>
              <w:rPr>
                <w:sz w:val="24"/>
                <w:szCs w:val="24"/>
                <w:color w:val="auto"/>
              </w:rPr>
            </w:pPr>
          </w:p>
        </w:tc>
        <w:tc>
          <w:tcPr>
            <w:tcW w:w="1840" w:type="dxa"/>
            <w:vAlign w:val="bottom"/>
            <w:tcBorders>
              <w:bottom w:val="single" w:sz="8" w:color="00000A"/>
            </w:tcBorders>
          </w:tcPr>
          <w:p>
            <w:pPr>
              <w:spacing w:after="0"/>
              <w:rPr>
                <w:sz w:val="24"/>
                <w:szCs w:val="24"/>
                <w:color w:val="auto"/>
              </w:rPr>
            </w:pPr>
          </w:p>
        </w:tc>
      </w:tr>
    </w:tbl>
    <w:p>
      <w:pPr>
        <w:ind w:left="660" w:right="300"/>
        <w:spacing w:after="0" w:line="256" w:lineRule="auto"/>
        <w:rPr>
          <w:sz w:val="20"/>
          <w:szCs w:val="20"/>
          <w:color w:val="auto"/>
        </w:rPr>
      </w:pPr>
      <w:r>
        <w:rPr>
          <w:rFonts w:ascii="Arial" w:cs="Arial" w:eastAsia="Arial" w:hAnsi="Arial"/>
          <w:sz w:val="22"/>
          <w:szCs w:val="22"/>
          <w:color w:val="auto"/>
        </w:rPr>
        <w:t>Note: Percentage of Target Units eligible to be earned are interpolated for percentiles not shown between threshold and maximum.</w:t>
      </w:r>
    </w:p>
    <w:p>
      <w:pPr>
        <w:spacing w:after="0" w:line="213" w:lineRule="exact"/>
        <w:rPr>
          <w:sz w:val="20"/>
          <w:szCs w:val="20"/>
          <w:color w:val="auto"/>
        </w:rPr>
      </w:pPr>
    </w:p>
    <w:p>
      <w:pPr>
        <w:ind w:left="660" w:right="40" w:hanging="328"/>
        <w:spacing w:after="0" w:line="260"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Fifth, the percentage of Target Units earned will be capped at a 100% payout if GM’s 3-Year Average ROIC-Adjusted result does not exceed GM’s Weighted Average Cost of Capital “WACC” over the performance period.</w:t>
      </w:r>
    </w:p>
    <w:p>
      <w:pPr>
        <w:sectPr>
          <w:pgSz w:w="11900" w:h="16838" w:orient="portrait"/>
          <w:cols w:equalWidth="0" w:num="1">
            <w:col w:w="11240"/>
          </w:cols>
          <w:pgMar w:left="320" w:top="342" w:right="339"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u w:val="single" w:color="auto"/>
          <w:color w:val="auto"/>
        </w:rPr>
        <w:t>Relative TSR</w:t>
      </w:r>
      <w:r>
        <w:rPr>
          <w:rFonts w:ascii="Arial" w:cs="Arial" w:eastAsia="Arial" w:hAnsi="Arial"/>
          <w:sz w:val="20"/>
          <w:szCs w:val="20"/>
          <w:b w:val="1"/>
          <w:bCs w:val="1"/>
          <w:color w:val="auto"/>
        </w:rPr>
        <w:t xml:space="preserve">: </w:t>
      </w:r>
      <w:r>
        <w:rPr>
          <w:rFonts w:ascii="Arial" w:cs="Arial" w:eastAsia="Arial" w:hAnsi="Arial"/>
          <w:sz w:val="20"/>
          <w:szCs w:val="20"/>
          <w:color w:val="auto"/>
        </w:rPr>
        <w:t>One-half of the Target Units eligible to be earned will be determined based on Relative TSR as follows:</w:t>
      </w:r>
    </w:p>
    <w:p>
      <w:pPr>
        <w:spacing w:after="0" w:line="22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First, the TSR for each company is determined.</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Second, the results for each company in the OEM Peer Group are ranked by percentile independent of GM’s results.</w:t>
      </w:r>
    </w:p>
    <w:p>
      <w:pPr>
        <w:spacing w:after="0" w:line="227" w:lineRule="exact"/>
        <w:rPr>
          <w:rFonts w:ascii="Arial" w:cs="Arial" w:eastAsia="Arial" w:hAnsi="Arial"/>
          <w:sz w:val="19"/>
          <w:szCs w:val="19"/>
          <w:color w:val="auto"/>
        </w:rPr>
      </w:pPr>
    </w:p>
    <w:p>
      <w:pPr>
        <w:ind w:left="660" w:right="520" w:hanging="328"/>
        <w:spacing w:after="0" w:line="260" w:lineRule="auto"/>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Third, GM’s TSR result is placed on the percentile continuum between the peer company directly above us and below us to determine our performance.</w:t>
      </w:r>
    </w:p>
    <w:p>
      <w:pPr>
        <w:spacing w:after="0" w:line="176" w:lineRule="exact"/>
        <w:rPr>
          <w:rFonts w:ascii="Arial" w:cs="Arial" w:eastAsia="Arial" w:hAnsi="Arial"/>
          <w:sz w:val="20"/>
          <w:szCs w:val="20"/>
          <w:color w:val="auto"/>
        </w:rPr>
      </w:pPr>
    </w:p>
    <w:p>
      <w:pPr>
        <w:ind w:left="660" w:hanging="328"/>
        <w:spacing w:after="0"/>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Fourth, the percentage of Target Units earned is determined based on the following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233045</wp:posOffset>
            </wp:positionV>
            <wp:extent cx="6206490" cy="1414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206490" cy="1414780"/>
                    </a:xfrm>
                    <a:prstGeom prst="rect">
                      <a:avLst/>
                    </a:prstGeom>
                    <a:noFill/>
                  </pic:spPr>
                </pic:pic>
              </a:graphicData>
            </a:graphic>
          </wp:anchor>
        </w:drawing>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GM’s TSR Result Versus OEM Peer Group</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301"/>
        </w:trPr>
        <w:tc>
          <w:tcPr>
            <w:tcW w:w="1780" w:type="dxa"/>
            <w:vAlign w:val="bottom"/>
            <w:tcBorders>
              <w:top w:val="single" w:sz="8" w:color="00000A"/>
              <w:bottom w:val="single" w:sz="8" w:color="00000A"/>
              <w:right w:val="single" w:sz="8" w:color="00000A"/>
            </w:tcBorders>
          </w:tcPr>
          <w:p>
            <w:pPr>
              <w:spacing w:after="0"/>
              <w:rPr>
                <w:sz w:val="24"/>
                <w:szCs w:val="24"/>
                <w:color w:val="auto"/>
              </w:rPr>
            </w:pPr>
          </w:p>
        </w:tc>
        <w:tc>
          <w:tcPr>
            <w:tcW w:w="236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7"/>
              </w:rPr>
              <w:t>Below Threshold</w:t>
            </w:r>
          </w:p>
        </w:tc>
        <w:tc>
          <w:tcPr>
            <w:tcW w:w="194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8"/>
              </w:rPr>
              <w:t>Threshold</w:t>
            </w:r>
          </w:p>
        </w:tc>
        <w:tc>
          <w:tcPr>
            <w:tcW w:w="184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2"/>
              </w:rPr>
              <w:t>Target</w:t>
            </w:r>
          </w:p>
        </w:tc>
        <w:tc>
          <w:tcPr>
            <w:tcW w:w="1860" w:type="dxa"/>
            <w:vAlign w:val="bottom"/>
            <w:tcBorders>
              <w:top w:val="single" w:sz="8" w:color="00000A"/>
              <w:bottom w:val="single" w:sz="8" w:color="00000A"/>
            </w:tcBorders>
          </w:tcPr>
          <w:p>
            <w:pPr>
              <w:jc w:val="center"/>
              <w:spacing w:after="0"/>
              <w:rPr>
                <w:sz w:val="20"/>
                <w:szCs w:val="20"/>
                <w:color w:val="auto"/>
              </w:rPr>
            </w:pPr>
            <w:r>
              <w:rPr>
                <w:rFonts w:ascii="Arial" w:cs="Arial" w:eastAsia="Arial" w:hAnsi="Arial"/>
                <w:sz w:val="22"/>
                <w:szCs w:val="22"/>
                <w:b w:val="1"/>
                <w:bCs w:val="1"/>
                <w:color w:val="auto"/>
                <w:w w:val="94"/>
              </w:rPr>
              <w:t>Maximum</w:t>
            </w:r>
          </w:p>
        </w:tc>
        <w:tc>
          <w:tcPr>
            <w:tcW w:w="0" w:type="dxa"/>
            <w:vAlign w:val="bottom"/>
          </w:tcPr>
          <w:p>
            <w:pPr>
              <w:spacing w:after="0"/>
              <w:rPr>
                <w:sz w:val="1"/>
                <w:szCs w:val="1"/>
                <w:color w:val="auto"/>
              </w:rPr>
            </w:pPr>
          </w:p>
        </w:tc>
      </w:tr>
      <w:tr>
        <w:trPr>
          <w:trHeight w:val="249"/>
        </w:trPr>
        <w:tc>
          <w:tcPr>
            <w:tcW w:w="1780" w:type="dxa"/>
            <w:vAlign w:val="bottom"/>
            <w:tcBorders>
              <w:right w:val="single" w:sz="8" w:color="00000A"/>
            </w:tcBorders>
          </w:tcPr>
          <w:p>
            <w:pPr>
              <w:spacing w:after="0"/>
              <w:rPr>
                <w:sz w:val="21"/>
                <w:szCs w:val="21"/>
                <w:color w:val="auto"/>
              </w:rPr>
            </w:pPr>
          </w:p>
        </w:tc>
        <w:tc>
          <w:tcPr>
            <w:tcW w:w="23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Below 25</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w:t>
            </w:r>
          </w:p>
        </w:tc>
        <w:tc>
          <w:tcPr>
            <w:tcW w:w="1940" w:type="dxa"/>
            <w:vAlign w:val="bottom"/>
            <w:tcBorders>
              <w:right w:val="single" w:sz="8" w:color="00000A"/>
            </w:tcBorders>
          </w:tcPr>
          <w:p>
            <w:pPr>
              <w:jc w:val="center"/>
              <w:spacing w:after="0" w:line="249" w:lineRule="exact"/>
              <w:rPr>
                <w:sz w:val="20"/>
                <w:szCs w:val="20"/>
                <w:color w:val="auto"/>
              </w:rPr>
            </w:pPr>
            <w:r>
              <w:rPr>
                <w:rFonts w:ascii="Arial" w:cs="Arial" w:eastAsia="Arial" w:hAnsi="Arial"/>
                <w:sz w:val="22"/>
                <w:szCs w:val="22"/>
                <w:color w:val="auto"/>
                <w:w w:val="79"/>
              </w:rPr>
              <w:t>25</w:t>
            </w:r>
            <w:r>
              <w:rPr>
                <w:rFonts w:ascii="Arial" w:cs="Arial" w:eastAsia="Arial" w:hAnsi="Arial"/>
                <w:sz w:val="28"/>
                <w:szCs w:val="28"/>
                <w:color w:val="auto"/>
                <w:w w:val="79"/>
                <w:vertAlign w:val="superscript"/>
              </w:rPr>
              <w:t>th</w:t>
            </w:r>
          </w:p>
        </w:tc>
        <w:tc>
          <w:tcPr>
            <w:tcW w:w="1840" w:type="dxa"/>
            <w:vAlign w:val="bottom"/>
            <w:tcBorders>
              <w:right w:val="single" w:sz="8" w:color="00000A"/>
            </w:tcBorders>
          </w:tcPr>
          <w:p>
            <w:pPr>
              <w:jc w:val="center"/>
              <w:spacing w:after="0" w:line="249" w:lineRule="exact"/>
              <w:rPr>
                <w:sz w:val="20"/>
                <w:szCs w:val="20"/>
                <w:color w:val="auto"/>
              </w:rPr>
            </w:pPr>
            <w:r>
              <w:rPr>
                <w:rFonts w:ascii="Arial" w:cs="Arial" w:eastAsia="Arial" w:hAnsi="Arial"/>
                <w:sz w:val="22"/>
                <w:szCs w:val="22"/>
                <w:color w:val="auto"/>
                <w:w w:val="79"/>
              </w:rPr>
              <w:t>50</w:t>
            </w:r>
            <w:r>
              <w:rPr>
                <w:rFonts w:ascii="Arial" w:cs="Arial" w:eastAsia="Arial" w:hAnsi="Arial"/>
                <w:sz w:val="28"/>
                <w:szCs w:val="28"/>
                <w:color w:val="auto"/>
                <w:w w:val="79"/>
                <w:vertAlign w:val="superscript"/>
              </w:rPr>
              <w:t>th</w:t>
            </w:r>
          </w:p>
        </w:tc>
        <w:tc>
          <w:tcPr>
            <w:tcW w:w="1860" w:type="dxa"/>
            <w:vAlign w:val="bottom"/>
          </w:tcPr>
          <w:p>
            <w:pPr>
              <w:jc w:val="center"/>
              <w:spacing w:after="0" w:line="249" w:lineRule="exact"/>
              <w:rPr>
                <w:sz w:val="20"/>
                <w:szCs w:val="20"/>
                <w:color w:val="auto"/>
              </w:rPr>
            </w:pPr>
            <w:r>
              <w:rPr>
                <w:rFonts w:ascii="Arial" w:cs="Arial" w:eastAsia="Arial" w:hAnsi="Arial"/>
                <w:sz w:val="22"/>
                <w:szCs w:val="22"/>
                <w:color w:val="auto"/>
                <w:w w:val="84"/>
              </w:rPr>
              <w:t>75</w:t>
            </w:r>
            <w:r>
              <w:rPr>
                <w:rFonts w:ascii="Arial" w:cs="Arial" w:eastAsia="Arial" w:hAnsi="Arial"/>
                <w:sz w:val="28"/>
                <w:szCs w:val="28"/>
                <w:color w:val="auto"/>
                <w:w w:val="84"/>
                <w:vertAlign w:val="superscript"/>
              </w:rPr>
              <w:t>th</w:t>
            </w:r>
          </w:p>
        </w:tc>
        <w:tc>
          <w:tcPr>
            <w:tcW w:w="0" w:type="dxa"/>
            <w:vAlign w:val="bottom"/>
          </w:tcPr>
          <w:p>
            <w:pPr>
              <w:spacing w:after="0"/>
              <w:rPr>
                <w:sz w:val="1"/>
                <w:szCs w:val="1"/>
                <w:color w:val="auto"/>
              </w:rPr>
            </w:pPr>
          </w:p>
        </w:tc>
      </w:tr>
      <w:tr>
        <w:trPr>
          <w:trHeight w:val="210"/>
        </w:trPr>
        <w:tc>
          <w:tcPr>
            <w:tcW w:w="1780" w:type="dxa"/>
            <w:vAlign w:val="bottom"/>
            <w:tcBorders>
              <w:right w:val="single" w:sz="8" w:color="00000A"/>
            </w:tcBorders>
          </w:tcPr>
          <w:p>
            <w:pPr>
              <w:spacing w:after="0"/>
              <w:rPr>
                <w:sz w:val="18"/>
                <w:szCs w:val="18"/>
                <w:color w:val="auto"/>
              </w:rPr>
            </w:pPr>
          </w:p>
        </w:tc>
        <w:tc>
          <w:tcPr>
            <w:tcW w:w="2360" w:type="dxa"/>
            <w:vAlign w:val="bottom"/>
            <w:tcBorders>
              <w:right w:val="single" w:sz="8" w:color="00000A"/>
            </w:tcBorders>
            <w:vMerge w:val="continue"/>
          </w:tcPr>
          <w:p>
            <w:pPr>
              <w:spacing w:after="0"/>
              <w:rPr>
                <w:sz w:val="18"/>
                <w:szCs w:val="18"/>
                <w:color w:val="auto"/>
              </w:rPr>
            </w:pPr>
          </w:p>
        </w:tc>
        <w:tc>
          <w:tcPr>
            <w:tcW w:w="19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Percentile</w:t>
            </w:r>
          </w:p>
        </w:tc>
        <w:tc>
          <w:tcPr>
            <w:tcW w:w="18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Percentile</w:t>
            </w:r>
          </w:p>
        </w:tc>
        <w:tc>
          <w:tcPr>
            <w:tcW w:w="1860" w:type="dxa"/>
            <w:vAlign w:val="bottom"/>
            <w:vMerge w:val="restart"/>
          </w:tcPr>
          <w:p>
            <w:pPr>
              <w:jc w:val="center"/>
              <w:spacing w:after="0"/>
              <w:rPr>
                <w:sz w:val="20"/>
                <w:szCs w:val="20"/>
                <w:color w:val="auto"/>
              </w:rPr>
            </w:pPr>
            <w:r>
              <w:rPr>
                <w:rFonts w:ascii="Arial" w:cs="Arial" w:eastAsia="Arial" w:hAnsi="Arial"/>
                <w:sz w:val="22"/>
                <w:szCs w:val="22"/>
                <w:color w:val="auto"/>
                <w:w w:val="89"/>
              </w:rPr>
              <w:t>Percentile</w:t>
            </w:r>
          </w:p>
        </w:tc>
        <w:tc>
          <w:tcPr>
            <w:tcW w:w="0" w:type="dxa"/>
            <w:vAlign w:val="bottom"/>
          </w:tcPr>
          <w:p>
            <w:pPr>
              <w:spacing w:after="0"/>
              <w:rPr>
                <w:sz w:val="1"/>
                <w:szCs w:val="1"/>
                <w:color w:val="auto"/>
              </w:rPr>
            </w:pPr>
          </w:p>
        </w:tc>
      </w:tr>
      <w:tr>
        <w:trPr>
          <w:trHeight w:val="74"/>
        </w:trPr>
        <w:tc>
          <w:tcPr>
            <w:tcW w:w="1780" w:type="dxa"/>
            <w:vAlign w:val="bottom"/>
            <w:tcBorders>
              <w:bottom w:val="single" w:sz="8" w:color="00000A"/>
              <w:right w:val="single" w:sz="8" w:color="00000A"/>
            </w:tcBorders>
          </w:tcPr>
          <w:p>
            <w:pPr>
              <w:spacing w:after="0"/>
              <w:rPr>
                <w:sz w:val="6"/>
                <w:szCs w:val="6"/>
                <w:color w:val="auto"/>
              </w:rPr>
            </w:pPr>
          </w:p>
        </w:tc>
        <w:tc>
          <w:tcPr>
            <w:tcW w:w="2360" w:type="dxa"/>
            <w:vAlign w:val="bottom"/>
            <w:tcBorders>
              <w:bottom w:val="single" w:sz="8" w:color="00000A"/>
              <w:right w:val="single" w:sz="8" w:color="00000A"/>
            </w:tcBorders>
          </w:tcPr>
          <w:p>
            <w:pPr>
              <w:spacing w:after="0"/>
              <w:rPr>
                <w:sz w:val="6"/>
                <w:szCs w:val="6"/>
                <w:color w:val="auto"/>
              </w:rPr>
            </w:pPr>
          </w:p>
        </w:tc>
        <w:tc>
          <w:tcPr>
            <w:tcW w:w="1940" w:type="dxa"/>
            <w:vAlign w:val="bottom"/>
            <w:tcBorders>
              <w:bottom w:val="single" w:sz="8" w:color="00000A"/>
              <w:right w:val="single" w:sz="8" w:color="00000A"/>
            </w:tcBorders>
            <w:vMerge w:val="continue"/>
          </w:tcPr>
          <w:p>
            <w:pPr>
              <w:spacing w:after="0"/>
              <w:rPr>
                <w:sz w:val="6"/>
                <w:szCs w:val="6"/>
                <w:color w:val="auto"/>
              </w:rPr>
            </w:pPr>
          </w:p>
        </w:tc>
        <w:tc>
          <w:tcPr>
            <w:tcW w:w="1840" w:type="dxa"/>
            <w:vAlign w:val="bottom"/>
            <w:tcBorders>
              <w:bottom w:val="single" w:sz="8" w:color="00000A"/>
              <w:right w:val="single" w:sz="8" w:color="00000A"/>
            </w:tcBorders>
            <w:vMerge w:val="continue"/>
          </w:tcPr>
          <w:p>
            <w:pPr>
              <w:spacing w:after="0"/>
              <w:rPr>
                <w:sz w:val="6"/>
                <w:szCs w:val="6"/>
                <w:color w:val="auto"/>
              </w:rPr>
            </w:pPr>
          </w:p>
        </w:tc>
        <w:tc>
          <w:tcPr>
            <w:tcW w:w="1860" w:type="dxa"/>
            <w:vAlign w:val="bottom"/>
            <w:tcBorders>
              <w:bottom w:val="single" w:sz="8" w:color="00000A"/>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780" w:type="dxa"/>
            <w:vAlign w:val="bottom"/>
            <w:tcBorders>
              <w:right w:val="single" w:sz="8" w:color="00000A"/>
            </w:tcBorders>
          </w:tcPr>
          <w:p>
            <w:pPr>
              <w:ind w:left="40"/>
              <w:spacing w:after="0" w:line="248" w:lineRule="exact"/>
              <w:rPr>
                <w:sz w:val="20"/>
                <w:szCs w:val="20"/>
                <w:color w:val="auto"/>
              </w:rPr>
            </w:pPr>
            <w:r>
              <w:rPr>
                <w:rFonts w:ascii="Arial" w:cs="Arial" w:eastAsia="Arial" w:hAnsi="Arial"/>
                <w:sz w:val="22"/>
                <w:szCs w:val="22"/>
                <w:color w:val="auto"/>
              </w:rPr>
              <w:t>Percentage of</w:t>
            </w:r>
          </w:p>
        </w:tc>
        <w:tc>
          <w:tcPr>
            <w:tcW w:w="2360" w:type="dxa"/>
            <w:vAlign w:val="bottom"/>
            <w:tcBorders>
              <w:right w:val="single" w:sz="8" w:color="00000A"/>
            </w:tcBorders>
          </w:tcPr>
          <w:p>
            <w:pPr>
              <w:spacing w:after="0"/>
              <w:rPr>
                <w:sz w:val="21"/>
                <w:szCs w:val="21"/>
                <w:color w:val="auto"/>
              </w:rPr>
            </w:pPr>
          </w:p>
        </w:tc>
        <w:tc>
          <w:tcPr>
            <w:tcW w:w="1940" w:type="dxa"/>
            <w:vAlign w:val="bottom"/>
            <w:tcBorders>
              <w:right w:val="single" w:sz="8" w:color="00000A"/>
            </w:tcBorders>
          </w:tcPr>
          <w:p>
            <w:pPr>
              <w:spacing w:after="0"/>
              <w:rPr>
                <w:sz w:val="21"/>
                <w:szCs w:val="21"/>
                <w:color w:val="auto"/>
              </w:rPr>
            </w:pPr>
          </w:p>
        </w:tc>
        <w:tc>
          <w:tcPr>
            <w:tcW w:w="1840" w:type="dxa"/>
            <w:vAlign w:val="bottom"/>
            <w:tcBorders>
              <w:right w:val="single" w:sz="8" w:color="00000A"/>
            </w:tcBorders>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rPr>
              <w:t>Target Units</w:t>
            </w:r>
          </w:p>
        </w:tc>
        <w:tc>
          <w:tcPr>
            <w:tcW w:w="23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7"/>
              </w:rPr>
              <w:t>0%</w:t>
            </w:r>
          </w:p>
        </w:tc>
        <w:tc>
          <w:tcPr>
            <w:tcW w:w="19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50%</w:t>
            </w:r>
          </w:p>
        </w:tc>
        <w:tc>
          <w:tcPr>
            <w:tcW w:w="18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100%</w:t>
            </w:r>
          </w:p>
        </w:tc>
        <w:tc>
          <w:tcPr>
            <w:tcW w:w="1860" w:type="dxa"/>
            <w:vAlign w:val="bottom"/>
            <w:vMerge w:val="restart"/>
          </w:tcPr>
          <w:p>
            <w:pPr>
              <w:jc w:val="center"/>
              <w:spacing w:after="0"/>
              <w:rPr>
                <w:sz w:val="20"/>
                <w:szCs w:val="20"/>
                <w:color w:val="auto"/>
              </w:rPr>
            </w:pPr>
            <w:r>
              <w:rPr>
                <w:rFonts w:ascii="Arial" w:cs="Arial" w:eastAsia="Arial" w:hAnsi="Arial"/>
                <w:sz w:val="22"/>
                <w:szCs w:val="22"/>
                <w:color w:val="auto"/>
                <w:w w:val="92"/>
              </w:rPr>
              <w:t>200%</w:t>
            </w:r>
          </w:p>
        </w:tc>
        <w:tc>
          <w:tcPr>
            <w:tcW w:w="0" w:type="dxa"/>
            <w:vAlign w:val="bottom"/>
          </w:tcPr>
          <w:p>
            <w:pPr>
              <w:spacing w:after="0"/>
              <w:rPr>
                <w:sz w:val="1"/>
                <w:szCs w:val="1"/>
                <w:color w:val="auto"/>
              </w:rPr>
            </w:pPr>
          </w:p>
        </w:tc>
      </w:tr>
      <w:tr>
        <w:trPr>
          <w:trHeight w:val="153"/>
        </w:trPr>
        <w:tc>
          <w:tcPr>
            <w:tcW w:w="1780" w:type="dxa"/>
            <w:vAlign w:val="bottom"/>
            <w:tcBorders>
              <w:right w:val="single" w:sz="8" w:color="00000A"/>
            </w:tcBorders>
            <w:vMerge w:val="restart"/>
          </w:tcPr>
          <w:p>
            <w:pPr>
              <w:ind w:left="40"/>
              <w:spacing w:after="0" w:line="243" w:lineRule="exact"/>
              <w:rPr>
                <w:sz w:val="20"/>
                <w:szCs w:val="20"/>
                <w:color w:val="auto"/>
              </w:rPr>
            </w:pPr>
            <w:r>
              <w:rPr>
                <w:rFonts w:ascii="Arial" w:cs="Arial" w:eastAsia="Arial" w:hAnsi="Arial"/>
                <w:sz w:val="22"/>
                <w:szCs w:val="22"/>
                <w:color w:val="auto"/>
              </w:rPr>
              <w:t>Eligible to be</w:t>
            </w:r>
          </w:p>
        </w:tc>
        <w:tc>
          <w:tcPr>
            <w:tcW w:w="2360" w:type="dxa"/>
            <w:vAlign w:val="bottom"/>
            <w:tcBorders>
              <w:right w:val="single" w:sz="8" w:color="00000A"/>
            </w:tcBorders>
            <w:vMerge w:val="continue"/>
          </w:tcPr>
          <w:p>
            <w:pPr>
              <w:spacing w:after="0"/>
              <w:rPr>
                <w:sz w:val="13"/>
                <w:szCs w:val="13"/>
                <w:color w:val="auto"/>
              </w:rPr>
            </w:pPr>
          </w:p>
        </w:tc>
        <w:tc>
          <w:tcPr>
            <w:tcW w:w="1940" w:type="dxa"/>
            <w:vAlign w:val="bottom"/>
            <w:tcBorders>
              <w:right w:val="single" w:sz="8" w:color="00000A"/>
            </w:tcBorders>
            <w:vMerge w:val="continue"/>
          </w:tcPr>
          <w:p>
            <w:pPr>
              <w:spacing w:after="0"/>
              <w:rPr>
                <w:sz w:val="13"/>
                <w:szCs w:val="13"/>
                <w:color w:val="auto"/>
              </w:rPr>
            </w:pPr>
          </w:p>
        </w:tc>
        <w:tc>
          <w:tcPr>
            <w:tcW w:w="1840" w:type="dxa"/>
            <w:vAlign w:val="bottom"/>
            <w:tcBorders>
              <w:right w:val="single" w:sz="8" w:color="00000A"/>
            </w:tcBorders>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780" w:type="dxa"/>
            <w:vAlign w:val="bottom"/>
            <w:tcBorders>
              <w:right w:val="single" w:sz="8" w:color="00000A"/>
            </w:tcBorders>
            <w:vMerge w:val="continue"/>
          </w:tcPr>
          <w:p>
            <w:pPr>
              <w:spacing w:after="0"/>
              <w:rPr>
                <w:sz w:val="7"/>
                <w:szCs w:val="7"/>
                <w:color w:val="auto"/>
              </w:rPr>
            </w:pPr>
          </w:p>
        </w:tc>
        <w:tc>
          <w:tcPr>
            <w:tcW w:w="2360" w:type="dxa"/>
            <w:vAlign w:val="bottom"/>
            <w:tcBorders>
              <w:right w:val="single" w:sz="8" w:color="00000A"/>
            </w:tcBorders>
          </w:tcPr>
          <w:p>
            <w:pPr>
              <w:spacing w:after="0"/>
              <w:rPr>
                <w:sz w:val="7"/>
                <w:szCs w:val="7"/>
                <w:color w:val="auto"/>
              </w:rPr>
            </w:pPr>
          </w:p>
        </w:tc>
        <w:tc>
          <w:tcPr>
            <w:tcW w:w="1940" w:type="dxa"/>
            <w:vAlign w:val="bottom"/>
            <w:tcBorders>
              <w:right w:val="single" w:sz="8" w:color="00000A"/>
            </w:tcBorders>
          </w:tcPr>
          <w:p>
            <w:pPr>
              <w:spacing w:after="0"/>
              <w:rPr>
                <w:sz w:val="7"/>
                <w:szCs w:val="7"/>
                <w:color w:val="auto"/>
              </w:rPr>
            </w:pPr>
          </w:p>
        </w:tc>
        <w:tc>
          <w:tcPr>
            <w:tcW w:w="1840" w:type="dxa"/>
            <w:vAlign w:val="bottom"/>
            <w:tcBorders>
              <w:right w:val="single" w:sz="8" w:color="00000A"/>
            </w:tcBorders>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78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Earned</w:t>
            </w:r>
          </w:p>
        </w:tc>
        <w:tc>
          <w:tcPr>
            <w:tcW w:w="2360" w:type="dxa"/>
            <w:vAlign w:val="bottom"/>
            <w:tcBorders>
              <w:bottom w:val="single" w:sz="8" w:color="00000A"/>
              <w:right w:val="single" w:sz="8" w:color="00000A"/>
            </w:tcBorders>
          </w:tcPr>
          <w:p>
            <w:pPr>
              <w:spacing w:after="0"/>
              <w:rPr>
                <w:sz w:val="24"/>
                <w:szCs w:val="24"/>
                <w:color w:val="auto"/>
              </w:rPr>
            </w:pPr>
          </w:p>
        </w:tc>
        <w:tc>
          <w:tcPr>
            <w:tcW w:w="1940" w:type="dxa"/>
            <w:vAlign w:val="bottom"/>
            <w:tcBorders>
              <w:bottom w:val="single" w:sz="8" w:color="00000A"/>
              <w:right w:val="single" w:sz="8" w:color="00000A"/>
            </w:tcBorders>
          </w:tcPr>
          <w:p>
            <w:pPr>
              <w:spacing w:after="0"/>
              <w:rPr>
                <w:sz w:val="24"/>
                <w:szCs w:val="24"/>
                <w:color w:val="auto"/>
              </w:rPr>
            </w:pPr>
          </w:p>
        </w:tc>
        <w:tc>
          <w:tcPr>
            <w:tcW w:w="1840" w:type="dxa"/>
            <w:vAlign w:val="bottom"/>
            <w:tcBorders>
              <w:bottom w:val="single" w:sz="8" w:color="00000A"/>
              <w:right w:val="single" w:sz="8" w:color="00000A"/>
            </w:tcBorders>
          </w:tcPr>
          <w:p>
            <w:pPr>
              <w:spacing w:after="0"/>
              <w:rPr>
                <w:sz w:val="24"/>
                <w:szCs w:val="24"/>
                <w:color w:val="auto"/>
              </w:rPr>
            </w:pPr>
          </w:p>
        </w:tc>
        <w:tc>
          <w:tcPr>
            <w:tcW w:w="186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bl>
    <w:p>
      <w:pPr>
        <w:ind w:left="660"/>
        <w:spacing w:after="0" w:line="256" w:lineRule="auto"/>
        <w:rPr>
          <w:sz w:val="20"/>
          <w:szCs w:val="20"/>
          <w:color w:val="auto"/>
        </w:rPr>
      </w:pPr>
      <w:r>
        <w:rPr>
          <w:rFonts w:ascii="Arial" w:cs="Arial" w:eastAsia="Arial" w:hAnsi="Arial"/>
          <w:sz w:val="22"/>
          <w:szCs w:val="22"/>
          <w:color w:val="auto"/>
        </w:rPr>
        <w:t>Note: Percentage of Target Units eligible to be earned are interpolated for percentiles not shown between threshold and maximum.</w:t>
      </w:r>
    </w:p>
    <w:p>
      <w:pPr>
        <w:spacing w:after="0" w:line="18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Fifth, the percentage of Target Units earned will be capped at a 100% payout if GM’s TSR result is negative.</w:t>
      </w:r>
    </w:p>
    <w:p>
      <w:pPr>
        <w:sectPr>
          <w:pgSz w:w="11900" w:h="16838" w:orient="portrait"/>
          <w:cols w:equalWidth="0" w:num="1">
            <w:col w:w="10940"/>
          </w:cols>
          <w:pgMar w:left="320" w:top="589" w:right="639" w:bottom="1440" w:gutter="0" w:footer="0" w:header="0"/>
        </w:sectPr>
      </w:pPr>
    </w:p>
    <w:bookmarkStart w:id="58" w:name="page59"/>
    <w:bookmarkEnd w:id="58"/>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 Definitions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the PSUs:</w:t>
      </w:r>
    </w:p>
    <w:p>
      <w:pPr>
        <w:spacing w:after="0" w:line="210" w:lineRule="exact"/>
        <w:rPr>
          <w:sz w:val="20"/>
          <w:szCs w:val="20"/>
          <w:color w:val="auto"/>
        </w:rPr>
      </w:pPr>
    </w:p>
    <w:p>
      <w:pPr>
        <w:ind w:right="320"/>
        <w:spacing w:after="0" w:line="267" w:lineRule="auto"/>
        <w:rPr>
          <w:sz w:val="20"/>
          <w:szCs w:val="20"/>
          <w:color w:val="auto"/>
        </w:rPr>
      </w:pPr>
      <w:r>
        <w:rPr>
          <w:rFonts w:ascii="Arial" w:cs="Arial" w:eastAsia="Arial" w:hAnsi="Arial"/>
          <w:sz w:val="20"/>
          <w:szCs w:val="20"/>
          <w:color w:val="auto"/>
        </w:rPr>
        <w:t>3-Year Average Return on Invested Capital-Adjusted (“</w:t>
      </w:r>
      <w:r>
        <w:rPr>
          <w:rFonts w:ascii="Arial" w:cs="Arial" w:eastAsia="Arial" w:hAnsi="Arial"/>
          <w:sz w:val="20"/>
          <w:szCs w:val="20"/>
          <w:b w:val="1"/>
          <w:bCs w:val="1"/>
          <w:color w:val="auto"/>
        </w:rPr>
        <w:t>ROIC-Adjusted</w:t>
      </w:r>
      <w:r>
        <w:rPr>
          <w:rFonts w:ascii="Arial" w:cs="Arial" w:eastAsia="Arial" w:hAnsi="Arial"/>
          <w:sz w:val="20"/>
          <w:szCs w:val="20"/>
          <w:color w:val="auto"/>
        </w:rPr>
        <w:t>”) shall be the average annual return on invested capital for years [Insert Year], [Insert Year] and [Insert Year], where return on invested capital is:</w:t>
      </w:r>
    </w:p>
    <w:p>
      <w:pPr>
        <w:spacing w:after="0" w:line="331" w:lineRule="exact"/>
        <w:rPr>
          <w:sz w:val="20"/>
          <w:szCs w:val="20"/>
          <w:color w:val="auto"/>
        </w:rPr>
      </w:pPr>
    </w:p>
    <w:tbl>
      <w:tblPr>
        <w:tblLayout w:type="fixed"/>
        <w:tblInd w:w="2040" w:type="dxa"/>
        <w:tblCellMar>
          <w:top w:w="0" w:type="dxa"/>
          <w:left w:w="0" w:type="dxa"/>
          <w:bottom w:w="0" w:type="dxa"/>
          <w:right w:w="0" w:type="dxa"/>
        </w:tblCellMar>
      </w:tblPr>
      <w:tr>
        <w:trPr>
          <w:trHeight w:val="230"/>
        </w:trPr>
        <w:tc>
          <w:tcPr>
            <w:tcW w:w="1860" w:type="dxa"/>
            <w:vAlign w:val="bottom"/>
            <w:vMerge w:val="restart"/>
          </w:tcPr>
          <w:p>
            <w:pPr>
              <w:jc w:val="center"/>
              <w:ind w:right="1"/>
              <w:spacing w:after="0"/>
              <w:rPr>
                <w:sz w:val="20"/>
                <w:szCs w:val="20"/>
                <w:color w:val="auto"/>
              </w:rPr>
            </w:pPr>
            <w:r>
              <w:rPr>
                <w:rFonts w:ascii="Arial" w:cs="Arial" w:eastAsia="Arial" w:hAnsi="Arial"/>
                <w:sz w:val="20"/>
                <w:szCs w:val="20"/>
                <w:color w:val="auto"/>
                <w:w w:val="91"/>
              </w:rPr>
              <w:t>Total Company EBIT-</w:t>
            </w:r>
          </w:p>
        </w:tc>
        <w:tc>
          <w:tcPr>
            <w:tcW w:w="520" w:type="dxa"/>
            <w:vAlign w:val="bottom"/>
            <w:vMerge w:val="restart"/>
          </w:tcPr>
          <w:p>
            <w:pPr>
              <w:jc w:val="right"/>
              <w:ind w:right="20"/>
              <w:spacing w:after="0"/>
              <w:rPr>
                <w:sz w:val="20"/>
                <w:szCs w:val="20"/>
                <w:color w:val="auto"/>
              </w:rPr>
            </w:pPr>
            <w:r>
              <w:rPr>
                <w:rFonts w:ascii="Arial" w:cs="Arial" w:eastAsia="Arial" w:hAnsi="Arial"/>
                <w:sz w:val="36"/>
                <w:szCs w:val="36"/>
                <w:color w:val="auto"/>
              </w:rPr>
              <w:t>÷</w:t>
            </w:r>
          </w:p>
        </w:tc>
        <w:tc>
          <w:tcPr>
            <w:tcW w:w="1320" w:type="dxa"/>
            <w:vAlign w:val="bottom"/>
          </w:tcPr>
          <w:p>
            <w:pPr>
              <w:jc w:val="center"/>
              <w:ind w:left="101"/>
              <w:spacing w:after="0"/>
              <w:rPr>
                <w:sz w:val="20"/>
                <w:szCs w:val="20"/>
                <w:color w:val="auto"/>
              </w:rPr>
            </w:pPr>
            <w:r>
              <w:rPr>
                <w:rFonts w:ascii="Arial" w:cs="Arial" w:eastAsia="Arial" w:hAnsi="Arial"/>
                <w:sz w:val="20"/>
                <w:szCs w:val="20"/>
                <w:color w:val="auto"/>
                <w:w w:val="89"/>
              </w:rPr>
              <w:t>Average Total</w:t>
            </w: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320" w:type="dxa"/>
            <w:vAlign w:val="bottom"/>
            <w:vMerge w:val="restart"/>
          </w:tcPr>
          <w:p>
            <w:pPr>
              <w:jc w:val="center"/>
              <w:ind w:left="101"/>
              <w:spacing w:after="0"/>
              <w:rPr>
                <w:sz w:val="20"/>
                <w:szCs w:val="20"/>
                <w:color w:val="auto"/>
              </w:rPr>
            </w:pPr>
            <w:r>
              <w:rPr>
                <w:rFonts w:ascii="Arial" w:cs="Arial" w:eastAsia="Arial" w:hAnsi="Arial"/>
                <w:sz w:val="20"/>
                <w:szCs w:val="20"/>
                <w:color w:val="auto"/>
                <w:w w:val="91"/>
              </w:rPr>
              <w:t>Company Net</w:t>
            </w:r>
          </w:p>
        </w:tc>
        <w:tc>
          <w:tcPr>
            <w:tcW w:w="0" w:type="dxa"/>
            <w:vAlign w:val="bottom"/>
          </w:tcPr>
          <w:p>
            <w:pPr>
              <w:spacing w:after="0"/>
              <w:rPr>
                <w:sz w:val="1"/>
                <w:szCs w:val="1"/>
                <w:color w:val="auto"/>
              </w:rPr>
            </w:pPr>
          </w:p>
        </w:tc>
      </w:tr>
      <w:tr>
        <w:trPr>
          <w:trHeight w:val="192"/>
        </w:trPr>
        <w:tc>
          <w:tcPr>
            <w:tcW w:w="1860" w:type="dxa"/>
            <w:vAlign w:val="bottom"/>
          </w:tcPr>
          <w:p>
            <w:pPr>
              <w:jc w:val="center"/>
              <w:ind w:right="21"/>
              <w:spacing w:after="0" w:line="192" w:lineRule="exact"/>
              <w:rPr>
                <w:sz w:val="20"/>
                <w:szCs w:val="20"/>
                <w:color w:val="auto"/>
              </w:rPr>
            </w:pPr>
            <w:r>
              <w:rPr>
                <w:rFonts w:ascii="Arial" w:cs="Arial" w:eastAsia="Arial" w:hAnsi="Arial"/>
                <w:sz w:val="20"/>
                <w:szCs w:val="20"/>
                <w:color w:val="auto"/>
                <w:w w:val="95"/>
              </w:rPr>
              <w:t>Adjusted*</w:t>
            </w:r>
          </w:p>
        </w:tc>
        <w:tc>
          <w:tcPr>
            <w:tcW w:w="52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jc w:val="center"/>
              <w:ind w:left="101"/>
              <w:spacing w:after="0"/>
              <w:rPr>
                <w:sz w:val="20"/>
                <w:szCs w:val="20"/>
                <w:color w:val="auto"/>
              </w:rPr>
            </w:pPr>
            <w:r>
              <w:rPr>
                <w:rFonts w:ascii="Arial" w:cs="Arial" w:eastAsia="Arial" w:hAnsi="Arial"/>
                <w:sz w:val="20"/>
                <w:szCs w:val="20"/>
                <w:color w:val="auto"/>
                <w:w w:val="95"/>
              </w:rPr>
              <w:t>Assets**</w:t>
            </w: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020"/>
        <w:spacing w:after="0" w:line="269" w:lineRule="auto"/>
        <w:rPr>
          <w:sz w:val="20"/>
          <w:szCs w:val="20"/>
          <w:color w:val="auto"/>
        </w:rPr>
      </w:pPr>
      <w:r>
        <w:rPr>
          <w:rFonts w:ascii="Arial" w:cs="Arial" w:eastAsia="Arial" w:hAnsi="Arial"/>
          <w:sz w:val="19"/>
          <w:szCs w:val="19"/>
          <w:color w:val="auto"/>
        </w:rPr>
        <w:t>*EBIT-Adjusted is defined as earnings excluding interest income, interest expense and income taxes as well as certain additional adjustments. Such adjustments include impairment charges related to goodwill and certain investments, gains or losses on the settlement/extinguishment of obligations and gains or losses on the sale of non-core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**Net Assets will be the average for the year and will exclude:</w:t>
      </w:r>
    </w:p>
    <w:p>
      <w:pPr>
        <w:spacing w:after="0" w:line="216"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All income tax related accounts</w:t>
      </w:r>
    </w:p>
    <w:p>
      <w:pPr>
        <w:spacing w:after="0" w:line="15" w:lineRule="exact"/>
        <w:rPr>
          <w:rFonts w:ascii="Arial" w:cs="Arial" w:eastAsia="Arial" w:hAnsi="Arial"/>
          <w:sz w:val="20"/>
          <w:szCs w:val="20"/>
          <w:color w:val="auto"/>
        </w:rPr>
      </w:pPr>
    </w:p>
    <w:p>
      <w:pPr>
        <w:ind w:left="980" w:hanging="324"/>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Interest and certain dividend related accounts</w:t>
      </w:r>
    </w:p>
    <w:p>
      <w:pPr>
        <w:ind w:left="980" w:hanging="324"/>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Fresh start accounting goodwill</w:t>
      </w:r>
    </w:p>
    <w:p>
      <w:pPr>
        <w:ind w:left="980" w:hanging="324"/>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External debt (except capital leases)</w:t>
      </w:r>
    </w:p>
    <w:p>
      <w:pPr>
        <w:ind w:left="980" w:hanging="324"/>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Pension and OPEB liabilities</w:t>
      </w:r>
    </w:p>
    <w:p>
      <w:pPr>
        <w:spacing w:after="0" w:line="200" w:lineRule="exact"/>
        <w:rPr>
          <w:sz w:val="20"/>
          <w:szCs w:val="20"/>
          <w:color w:val="auto"/>
        </w:rPr>
      </w:pPr>
    </w:p>
    <w:p>
      <w:pPr>
        <w:spacing w:after="0" w:line="22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Total Shareholder Return (“</w:t>
      </w:r>
      <w:r>
        <w:rPr>
          <w:rFonts w:ascii="Arial" w:cs="Arial" w:eastAsia="Arial" w:hAnsi="Arial"/>
          <w:sz w:val="20"/>
          <w:szCs w:val="20"/>
          <w:b w:val="1"/>
          <w:bCs w:val="1"/>
          <w:color w:val="auto"/>
        </w:rPr>
        <w:t>TSR</w:t>
      </w:r>
      <w:r>
        <w:rPr>
          <w:rFonts w:ascii="Arial" w:cs="Arial" w:eastAsia="Arial" w:hAnsi="Arial"/>
          <w:sz w:val="20"/>
          <w:szCs w:val="20"/>
          <w:color w:val="auto"/>
        </w:rPr>
        <w:t>”) shall be the change in a company’s common stock price on the New York Stock Exchange (or other applicable exchange), plus reinvested dividends, expressed as a percent of the original stock price. For purposes of calculating the starting and ending stock prices for the OEM Peer Group companies and GM, it is the 30 trading day trailing average converted daily to U.S. Dollars prior to and including [Insert Date] (“</w:t>
      </w:r>
      <w:r>
        <w:rPr>
          <w:rFonts w:ascii="Arial" w:cs="Arial" w:eastAsia="Arial" w:hAnsi="Arial"/>
          <w:sz w:val="20"/>
          <w:szCs w:val="20"/>
          <w:b w:val="1"/>
          <w:bCs w:val="1"/>
          <w:color w:val="auto"/>
        </w:rPr>
        <w:t>Starting Stock Price</w:t>
      </w:r>
      <w:r>
        <w:rPr>
          <w:rFonts w:ascii="Arial" w:cs="Arial" w:eastAsia="Arial" w:hAnsi="Arial"/>
          <w:sz w:val="20"/>
          <w:szCs w:val="20"/>
          <w:color w:val="auto"/>
        </w:rPr>
        <w:t>”) and [Insert Date] (“</w:t>
      </w:r>
      <w:r>
        <w:rPr>
          <w:rFonts w:ascii="Arial" w:cs="Arial" w:eastAsia="Arial" w:hAnsi="Arial"/>
          <w:sz w:val="20"/>
          <w:szCs w:val="20"/>
          <w:b w:val="1"/>
          <w:bCs w:val="1"/>
          <w:color w:val="auto"/>
        </w:rPr>
        <w:t>Ending Stock Price</w:t>
      </w:r>
      <w:r>
        <w:rPr>
          <w:rFonts w:ascii="Arial" w:cs="Arial" w:eastAsia="Arial" w:hAnsi="Arial"/>
          <w:sz w:val="20"/>
          <w:szCs w:val="20"/>
          <w:color w:val="auto"/>
        </w:rPr>
        <w:t>”). If necessary, TSR will be adjusted to reflect stock splits or other changes to capitalization that occur.</w:t>
      </w:r>
    </w:p>
    <w:p>
      <w:pPr>
        <w:spacing w:after="0" w:line="200" w:lineRule="exact"/>
        <w:rPr>
          <w:sz w:val="20"/>
          <w:szCs w:val="20"/>
          <w:color w:val="auto"/>
        </w:rPr>
      </w:pPr>
    </w:p>
    <w:p>
      <w:pPr>
        <w:spacing w:after="0" w:line="228"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Weighted Average Cost of Capital (“</w:t>
      </w:r>
      <w:r>
        <w:rPr>
          <w:rFonts w:ascii="Arial" w:cs="Arial" w:eastAsia="Arial" w:hAnsi="Arial"/>
          <w:sz w:val="20"/>
          <w:szCs w:val="20"/>
          <w:b w:val="1"/>
          <w:bCs w:val="1"/>
          <w:color w:val="auto"/>
        </w:rPr>
        <w:t>WACC</w:t>
      </w:r>
      <w:r>
        <w:rPr>
          <w:rFonts w:ascii="Arial" w:cs="Arial" w:eastAsia="Arial" w:hAnsi="Arial"/>
          <w:sz w:val="20"/>
          <w:szCs w:val="20"/>
          <w:color w:val="auto"/>
        </w:rPr>
        <w:t>”) shall be the 3-Year average of the low-point of GM’s Corporate WACC (customarily expressed as a range) for [Insert Year], [Insert Year] and [Insert Year]. The WACC shall be calculated annually in [Insert Month], consistent with GM’s Treasurer’s Office Corporate Policies. ROIC-Adjusted and WACC will be calculated on a tax-equivalent basis to provide comparability. Additionally, the annual WACC calculation will be externally reviewed by a third-party for reasonableness. For further documentation on the calculation of GM’s WACC, open the document below.</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[Insert Document]</w:t>
      </w:r>
    </w:p>
    <w:p>
      <w:pPr>
        <w:sectPr>
          <w:pgSz w:w="11900" w:h="16838" w:orient="portrait"/>
          <w:cols w:equalWidth="0" w:num="1">
            <w:col w:w="11220"/>
          </w:cols>
          <w:pgMar w:left="320" w:top="1440" w:right="35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Motors Company</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2017 Long-Term Incentive Plan</w:t>
      </w:r>
    </w:p>
    <w:p>
      <w:pPr>
        <w:ind w:left="3880"/>
        <w:spacing w:after="0"/>
        <w:rPr>
          <w:sz w:val="20"/>
          <w:szCs w:val="20"/>
          <w:color w:val="auto"/>
        </w:rPr>
      </w:pPr>
      <w:r>
        <w:rPr>
          <w:rFonts w:ascii="Arial" w:cs="Arial" w:eastAsia="Arial" w:hAnsi="Arial"/>
          <w:sz w:val="20"/>
          <w:szCs w:val="20"/>
          <w:b w:val="1"/>
          <w:bCs w:val="1"/>
          <w:color w:val="auto"/>
        </w:rPr>
        <w:t>Award Document for [Insert Date] Grant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10" w:lineRule="exact"/>
        <w:rPr>
          <w:sz w:val="20"/>
          <w:szCs w:val="20"/>
          <w:color w:val="auto"/>
        </w:rPr>
      </w:pPr>
    </w:p>
    <w:p>
      <w:pPr>
        <w:jc w:val="both"/>
        <w:ind w:right="660"/>
        <w:spacing w:after="0" w:line="272" w:lineRule="auto"/>
        <w:rPr>
          <w:sz w:val="20"/>
          <w:szCs w:val="20"/>
          <w:color w:val="auto"/>
        </w:rPr>
      </w:pPr>
      <w:r>
        <w:rPr>
          <w:rFonts w:ascii="Arial" w:cs="Arial" w:eastAsia="Arial" w:hAnsi="Arial"/>
          <w:sz w:val="19"/>
          <w:szCs w:val="19"/>
          <w:color w:val="auto"/>
        </w:rPr>
        <w:t>This letter (“</w:t>
      </w:r>
      <w:r>
        <w:rPr>
          <w:rFonts w:ascii="Arial" w:cs="Arial" w:eastAsia="Arial" w:hAnsi="Arial"/>
          <w:sz w:val="19"/>
          <w:szCs w:val="19"/>
          <w:b w:val="1"/>
          <w:bCs w:val="1"/>
          <w:color w:val="auto"/>
        </w:rPr>
        <w:t>Award Document</w:t>
      </w:r>
      <w:r>
        <w:rPr>
          <w:rFonts w:ascii="Arial" w:cs="Arial" w:eastAsia="Arial" w:hAnsi="Arial"/>
          <w:sz w:val="19"/>
          <w:szCs w:val="19"/>
          <w:color w:val="auto"/>
        </w:rPr>
        <w:t>”) describes the details under which you are being granted an Award of Non-Qualified Stock Options (“</w:t>
      </w:r>
      <w:r>
        <w:rPr>
          <w:rFonts w:ascii="Arial" w:cs="Arial" w:eastAsia="Arial" w:hAnsi="Arial"/>
          <w:sz w:val="19"/>
          <w:szCs w:val="19"/>
          <w:b w:val="1"/>
          <w:bCs w:val="1"/>
          <w:color w:val="auto"/>
        </w:rPr>
        <w:t>Options</w:t>
      </w:r>
      <w:r>
        <w:rPr>
          <w:rFonts w:ascii="Arial" w:cs="Arial" w:eastAsia="Arial" w:hAnsi="Arial"/>
          <w:sz w:val="19"/>
          <w:szCs w:val="19"/>
          <w:color w:val="auto"/>
        </w:rPr>
        <w:t>”) under the General Motors Company 2017 Long-Term Incentive Plan (as amended from time to time, the “</w:t>
      </w:r>
      <w:r>
        <w:rPr>
          <w:rFonts w:ascii="Arial" w:cs="Arial" w:eastAsia="Arial" w:hAnsi="Arial"/>
          <w:sz w:val="19"/>
          <w:szCs w:val="19"/>
          <w:b w:val="1"/>
          <w:bCs w:val="1"/>
          <w:color w:val="auto"/>
        </w:rPr>
        <w:t>Plan</w:t>
      </w:r>
      <w:r>
        <w:rPr>
          <w:rFonts w:ascii="Arial" w:cs="Arial" w:eastAsia="Arial" w:hAnsi="Arial"/>
          <w:sz w:val="19"/>
          <w:szCs w:val="19"/>
          <w:color w:val="auto"/>
        </w:rPr>
        <w:t>”). As the Options vest, you have the right to purchase Shares at the exercise price noted below (“</w:t>
      </w:r>
      <w:r>
        <w:rPr>
          <w:rFonts w:ascii="Arial" w:cs="Arial" w:eastAsia="Arial" w:hAnsi="Arial"/>
          <w:sz w:val="19"/>
          <w:szCs w:val="19"/>
          <w:b w:val="1"/>
          <w:bCs w:val="1"/>
          <w:color w:val="auto"/>
        </w:rPr>
        <w:t>Exercise Price</w:t>
      </w:r>
      <w:r>
        <w:rPr>
          <w:rFonts w:ascii="Arial" w:cs="Arial" w:eastAsia="Arial" w:hAnsi="Arial"/>
          <w:sz w:val="19"/>
          <w:szCs w:val="19"/>
          <w:color w:val="auto"/>
        </w:rPr>
        <w:t>”).</w:t>
      </w:r>
    </w:p>
    <w:p>
      <w:pPr>
        <w:spacing w:after="0" w:line="168"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A copy of the Plan can be found on the Solium Shareworks site. Capitalized terms used in this Award Document have the meanings given in the Plan unless noted otherwise.</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4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Issuer</w:t>
            </w:r>
          </w:p>
        </w:tc>
        <w:tc>
          <w:tcPr>
            <w:tcW w:w="85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General Motors Company, a Delaware corporation</w:t>
            </w:r>
          </w:p>
        </w:tc>
      </w:tr>
      <w:tr>
        <w:trPr>
          <w:trHeight w:val="23"/>
        </w:trPr>
        <w:tc>
          <w:tcPr>
            <w:tcW w:w="2440" w:type="dxa"/>
            <w:vAlign w:val="bottom"/>
            <w:tcBorders>
              <w:left w:val="single" w:sz="8" w:color="00000A"/>
              <w:bottom w:val="single" w:sz="8" w:color="00000A"/>
              <w:right w:val="single" w:sz="8" w:color="00000A"/>
            </w:tcBorders>
          </w:tcPr>
          <w:p>
            <w:pPr>
              <w:spacing w:after="0"/>
              <w:rPr>
                <w:sz w:val="2"/>
                <w:szCs w:val="2"/>
                <w:color w:val="auto"/>
              </w:rPr>
            </w:pPr>
          </w:p>
        </w:tc>
        <w:tc>
          <w:tcPr>
            <w:tcW w:w="8500" w:type="dxa"/>
            <w:vAlign w:val="bottom"/>
            <w:tcBorders>
              <w:bottom w:val="single" w:sz="8" w:color="00000A"/>
              <w:right w:val="single" w:sz="8" w:color="00000A"/>
            </w:tcBorders>
          </w:tcPr>
          <w:p>
            <w:pPr>
              <w:spacing w:after="0"/>
              <w:rPr>
                <w:sz w:val="2"/>
                <w:szCs w:val="2"/>
                <w:color w:val="auto"/>
              </w:rPr>
            </w:pPr>
          </w:p>
        </w:tc>
      </w:tr>
      <w:tr>
        <w:trPr>
          <w:trHeight w:val="227"/>
        </w:trPr>
        <w:tc>
          <w:tcPr>
            <w:tcW w:w="2440" w:type="dxa"/>
            <w:vAlign w:val="bottom"/>
            <w:tcBorders>
              <w:left w:val="single" w:sz="8" w:color="00000A"/>
              <w:right w:val="single" w:sz="8" w:color="00000A"/>
            </w:tcBorders>
          </w:tcPr>
          <w:p>
            <w:pPr>
              <w:ind w:left="40"/>
              <w:spacing w:after="0" w:line="228" w:lineRule="exact"/>
              <w:rPr>
                <w:sz w:val="20"/>
                <w:szCs w:val="20"/>
                <w:color w:val="auto"/>
              </w:rPr>
            </w:pPr>
            <w:r>
              <w:rPr>
                <w:rFonts w:ascii="Arial" w:cs="Arial" w:eastAsia="Arial" w:hAnsi="Arial"/>
                <w:sz w:val="20"/>
                <w:szCs w:val="20"/>
                <w:b w:val="1"/>
                <w:bCs w:val="1"/>
                <w:color w:val="auto"/>
              </w:rPr>
              <w:t>Number of Options</w:t>
            </w:r>
          </w:p>
        </w:tc>
        <w:tc>
          <w:tcPr>
            <w:tcW w:w="8500" w:type="dxa"/>
            <w:vAlign w:val="bottom"/>
            <w:tcBorders>
              <w:right w:val="single" w:sz="8" w:color="00000A"/>
            </w:tcBorders>
          </w:tcPr>
          <w:p>
            <w:pPr>
              <w:ind w:left="20"/>
              <w:spacing w:after="0" w:line="228" w:lineRule="exact"/>
              <w:rPr>
                <w:sz w:val="20"/>
                <w:szCs w:val="20"/>
                <w:color w:val="auto"/>
              </w:rPr>
            </w:pPr>
            <w:r>
              <w:rPr>
                <w:rFonts w:ascii="Arial" w:cs="Arial" w:eastAsia="Arial" w:hAnsi="Arial"/>
                <w:sz w:val="20"/>
                <w:szCs w:val="20"/>
                <w:color w:val="auto"/>
              </w:rPr>
              <w:t>[Insert Number] Options</w:t>
            </w:r>
          </w:p>
        </w:tc>
      </w:tr>
      <w:tr>
        <w:trPr>
          <w:trHeight w:val="256"/>
        </w:trPr>
        <w:tc>
          <w:tcPr>
            <w:tcW w:w="24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Granted To You</w:t>
            </w:r>
          </w:p>
        </w:tc>
        <w:tc>
          <w:tcPr>
            <w:tcW w:w="8500" w:type="dxa"/>
            <w:vAlign w:val="bottom"/>
            <w:tcBorders>
              <w:right w:val="single" w:sz="8" w:color="00000A"/>
            </w:tcBorders>
          </w:tcPr>
          <w:p>
            <w:pPr>
              <w:spacing w:after="0"/>
              <w:rPr>
                <w:sz w:val="22"/>
                <w:szCs w:val="22"/>
                <w:color w:val="auto"/>
              </w:rPr>
            </w:pPr>
          </w:p>
        </w:tc>
      </w:tr>
      <w:tr>
        <w:trPr>
          <w:trHeight w:val="23"/>
        </w:trPr>
        <w:tc>
          <w:tcPr>
            <w:tcW w:w="2440" w:type="dxa"/>
            <w:vAlign w:val="bottom"/>
            <w:tcBorders>
              <w:left w:val="single" w:sz="8" w:color="00000A"/>
              <w:bottom w:val="single" w:sz="8" w:color="00000A"/>
              <w:right w:val="single" w:sz="8" w:color="00000A"/>
            </w:tcBorders>
          </w:tcPr>
          <w:p>
            <w:pPr>
              <w:spacing w:after="0"/>
              <w:rPr>
                <w:sz w:val="2"/>
                <w:szCs w:val="2"/>
                <w:color w:val="auto"/>
              </w:rPr>
            </w:pPr>
          </w:p>
        </w:tc>
        <w:tc>
          <w:tcPr>
            <w:tcW w:w="8500" w:type="dxa"/>
            <w:vAlign w:val="bottom"/>
            <w:tcBorders>
              <w:bottom w:val="single" w:sz="8" w:color="00000A"/>
              <w:right w:val="single" w:sz="8" w:color="00000A"/>
            </w:tcBorders>
          </w:tcPr>
          <w:p>
            <w:pPr>
              <w:spacing w:after="0"/>
              <w:rPr>
                <w:sz w:val="2"/>
                <w:szCs w:val="2"/>
                <w:color w:val="auto"/>
              </w:rPr>
            </w:pPr>
          </w:p>
        </w:tc>
      </w:tr>
      <w:tr>
        <w:trPr>
          <w:trHeight w:val="254"/>
        </w:trPr>
        <w:tc>
          <w:tcPr>
            <w:tcW w:w="24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Exercise Price</w:t>
            </w: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 Insert Price]</w:t>
            </w:r>
          </w:p>
        </w:tc>
      </w:tr>
      <w:tr>
        <w:trPr>
          <w:trHeight w:val="23"/>
        </w:trPr>
        <w:tc>
          <w:tcPr>
            <w:tcW w:w="2440" w:type="dxa"/>
            <w:vAlign w:val="bottom"/>
            <w:tcBorders>
              <w:left w:val="single" w:sz="8" w:color="00000A"/>
              <w:bottom w:val="single" w:sz="8" w:color="00000A"/>
              <w:right w:val="single" w:sz="8" w:color="00000A"/>
            </w:tcBorders>
          </w:tcPr>
          <w:p>
            <w:pPr>
              <w:spacing w:after="0"/>
              <w:rPr>
                <w:sz w:val="2"/>
                <w:szCs w:val="2"/>
                <w:color w:val="auto"/>
              </w:rPr>
            </w:pPr>
          </w:p>
        </w:tc>
        <w:tc>
          <w:tcPr>
            <w:tcW w:w="8500" w:type="dxa"/>
            <w:vAlign w:val="bottom"/>
            <w:tcBorders>
              <w:bottom w:val="single" w:sz="8" w:color="00000A"/>
              <w:right w:val="single" w:sz="8" w:color="00000A"/>
            </w:tcBorders>
          </w:tcPr>
          <w:p>
            <w:pPr>
              <w:spacing w:after="0"/>
              <w:rPr>
                <w:sz w:val="2"/>
                <w:szCs w:val="2"/>
                <w:color w:val="auto"/>
              </w:rPr>
            </w:pPr>
          </w:p>
        </w:tc>
      </w:tr>
      <w:tr>
        <w:trPr>
          <w:trHeight w:val="254"/>
        </w:trPr>
        <w:tc>
          <w:tcPr>
            <w:tcW w:w="24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Grant Date</w:t>
            </w: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[Insert Date]</w:t>
            </w:r>
          </w:p>
        </w:tc>
      </w:tr>
      <w:tr>
        <w:trPr>
          <w:trHeight w:val="23"/>
        </w:trPr>
        <w:tc>
          <w:tcPr>
            <w:tcW w:w="2440" w:type="dxa"/>
            <w:vAlign w:val="bottom"/>
            <w:tcBorders>
              <w:left w:val="single" w:sz="8" w:color="00000A"/>
              <w:bottom w:val="single" w:sz="8" w:color="00000A"/>
              <w:right w:val="single" w:sz="8" w:color="00000A"/>
            </w:tcBorders>
          </w:tcPr>
          <w:p>
            <w:pPr>
              <w:spacing w:after="0"/>
              <w:rPr>
                <w:sz w:val="2"/>
                <w:szCs w:val="2"/>
                <w:color w:val="auto"/>
              </w:rPr>
            </w:pPr>
          </w:p>
        </w:tc>
        <w:tc>
          <w:tcPr>
            <w:tcW w:w="8500" w:type="dxa"/>
            <w:vAlign w:val="bottom"/>
            <w:tcBorders>
              <w:bottom w:val="single" w:sz="8" w:color="00000A"/>
              <w:right w:val="single" w:sz="8" w:color="00000A"/>
            </w:tcBorders>
          </w:tcPr>
          <w:p>
            <w:pPr>
              <w:spacing w:after="0"/>
              <w:rPr>
                <w:sz w:val="2"/>
                <w:szCs w:val="2"/>
                <w:color w:val="auto"/>
              </w:rPr>
            </w:pPr>
          </w:p>
        </w:tc>
      </w:tr>
      <w:tr>
        <w:trPr>
          <w:trHeight w:val="233"/>
        </w:trPr>
        <w:tc>
          <w:tcPr>
            <w:tcW w:w="24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Vesting Schedule</w:t>
            </w: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Except as provided below, one-third of the Options will vest on the first, second and third anniversaries of</w:t>
            </w:r>
          </w:p>
        </w:tc>
      </w:tr>
      <w:tr>
        <w:trPr>
          <w:trHeight w:val="250"/>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the Grant Date as follows:</w:t>
            </w:r>
          </w:p>
        </w:tc>
      </w:tr>
      <w:tr>
        <w:trPr>
          <w:trHeight w:val="303"/>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One-third on [Insert Date]</w:t>
            </w:r>
          </w:p>
        </w:tc>
      </w:tr>
      <w:tr>
        <w:trPr>
          <w:trHeight w:val="229"/>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One-third on [Insert Date]</w:t>
            </w:r>
          </w:p>
        </w:tc>
      </w:tr>
      <w:tr>
        <w:trPr>
          <w:trHeight w:val="250"/>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One-third on [Insert Date]</w:t>
            </w:r>
          </w:p>
        </w:tc>
      </w:tr>
      <w:tr>
        <w:trPr>
          <w:trHeight w:val="303"/>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If you experience a Full Career Status Termination of Service prior to the first anniversary of the Grant</w:t>
            </w:r>
          </w:p>
        </w:tc>
      </w:tr>
      <w:tr>
        <w:trPr>
          <w:trHeight w:val="229"/>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Date, your Award will be prorated. The pro-rata portion of the Award that is retained shall continue to vest</w:t>
            </w:r>
          </w:p>
        </w:tc>
      </w:tr>
      <w:tr>
        <w:trPr>
          <w:trHeight w:val="230"/>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in accordance with the existing vesting schedule, with the remaining portion of the Award being forfeited.</w:t>
            </w:r>
          </w:p>
        </w:tc>
      </w:tr>
      <w:tr>
        <w:trPr>
          <w:trHeight w:val="230"/>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4"/>
              </w:rPr>
              <w:t>The retained pro-rata portion of the Award is calculated based on the month in which your Full Career</w:t>
            </w:r>
          </w:p>
        </w:tc>
      </w:tr>
      <w:tr>
        <w:trPr>
          <w:trHeight w:val="250"/>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Status Termination of Service occurs as follows:</w:t>
            </w:r>
          </w:p>
        </w:tc>
      </w:tr>
      <w:tr>
        <w:trPr>
          <w:trHeight w:val="364"/>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[Insert Pro-Ration Schedule]</w:t>
            </w:r>
          </w:p>
        </w:tc>
      </w:tr>
      <w:tr>
        <w:trPr>
          <w:trHeight w:val="438"/>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Except as otherwise provided in the Plan and this Award Document, any portion of the Options not vested</w:t>
            </w:r>
          </w:p>
        </w:tc>
      </w:tr>
      <w:tr>
        <w:trPr>
          <w:trHeight w:val="250"/>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as of a Termination of Service shall be forfeited.</w:t>
            </w:r>
          </w:p>
        </w:tc>
      </w:tr>
      <w:tr>
        <w:trPr>
          <w:trHeight w:val="253"/>
        </w:trPr>
        <w:tc>
          <w:tcPr>
            <w:tcW w:w="2440" w:type="dxa"/>
            <w:vAlign w:val="bottom"/>
            <w:tcBorders>
              <w:left w:val="single" w:sz="8" w:color="00000A"/>
              <w:bottom w:val="single" w:sz="8" w:color="00000A"/>
              <w:right w:val="single" w:sz="8" w:color="00000A"/>
            </w:tcBorders>
          </w:tcPr>
          <w:p>
            <w:pPr>
              <w:spacing w:after="0"/>
              <w:rPr>
                <w:sz w:val="21"/>
                <w:szCs w:val="21"/>
                <w:color w:val="auto"/>
              </w:rPr>
            </w:pPr>
          </w:p>
        </w:tc>
        <w:tc>
          <w:tcPr>
            <w:tcW w:w="8500" w:type="dxa"/>
            <w:vAlign w:val="bottom"/>
            <w:tcBorders>
              <w:bottom w:val="single" w:sz="8" w:color="00000A"/>
              <w:right w:val="single" w:sz="8" w:color="00000A"/>
            </w:tcBorders>
          </w:tcPr>
          <w:p>
            <w:pPr>
              <w:spacing w:after="0"/>
              <w:rPr>
                <w:sz w:val="21"/>
                <w:szCs w:val="21"/>
                <w:color w:val="auto"/>
              </w:rPr>
            </w:pPr>
          </w:p>
        </w:tc>
      </w:tr>
      <w:tr>
        <w:trPr>
          <w:trHeight w:val="254"/>
        </w:trPr>
        <w:tc>
          <w:tcPr>
            <w:tcW w:w="24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Expiration Date</w:t>
            </w: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[Insert Date] upon the close of the New York Stock Exchange.</w:t>
            </w:r>
          </w:p>
        </w:tc>
      </w:tr>
      <w:tr>
        <w:trPr>
          <w:trHeight w:val="445"/>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Any unexercised Options that remain following the Expiration Date shall be forfeited.</w:t>
            </w:r>
          </w:p>
        </w:tc>
      </w:tr>
      <w:tr>
        <w:trPr>
          <w:trHeight w:val="239"/>
        </w:trPr>
        <w:tc>
          <w:tcPr>
            <w:tcW w:w="2440" w:type="dxa"/>
            <w:vAlign w:val="bottom"/>
            <w:tcBorders>
              <w:left w:val="single" w:sz="8" w:color="00000A"/>
              <w:bottom w:val="single" w:sz="8" w:color="00000A"/>
              <w:right w:val="single" w:sz="8" w:color="00000A"/>
            </w:tcBorders>
          </w:tcPr>
          <w:p>
            <w:pPr>
              <w:spacing w:after="0"/>
              <w:rPr>
                <w:sz w:val="20"/>
                <w:szCs w:val="20"/>
                <w:color w:val="auto"/>
              </w:rPr>
            </w:pPr>
          </w:p>
        </w:tc>
        <w:tc>
          <w:tcPr>
            <w:tcW w:w="8500" w:type="dxa"/>
            <w:vAlign w:val="bottom"/>
            <w:tcBorders>
              <w:bottom w:val="single" w:sz="8" w:color="00000A"/>
              <w:right w:val="single" w:sz="8" w:color="00000A"/>
            </w:tcBorders>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60" w:name="page61"/>
    <w:bookmarkEnd w:id="6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4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Form of Settlement</w:t>
            </w:r>
          </w:p>
        </w:tc>
        <w:tc>
          <w:tcPr>
            <w:tcW w:w="85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w w:val="93"/>
              </w:rPr>
              <w:t>Unless otherwise prohibited by the Plan, this Award Document, law or administrative rules established</w:t>
            </w:r>
          </w:p>
        </w:tc>
      </w:tr>
      <w:tr>
        <w:trPr>
          <w:trHeight w:val="250"/>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under the Plan, your Options may be exercised and settled in the following ways:</w:t>
            </w:r>
          </w:p>
        </w:tc>
      </w:tr>
      <w:tr>
        <w:trPr>
          <w:trHeight w:val="446"/>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Buy and Hold – Exercise Options to buy Shares using cash and then hold the Shares;</w:t>
            </w:r>
          </w:p>
        </w:tc>
      </w:tr>
      <w:tr>
        <w:trPr>
          <w:trHeight w:val="425"/>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Cashless – Exercise Options to buy Shares and sell the acquired Shares at the same time without using</w:t>
            </w:r>
          </w:p>
        </w:tc>
      </w:tr>
      <w:tr>
        <w:trPr>
          <w:trHeight w:val="250"/>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cash. Net proceeds received in cash;</w:t>
            </w:r>
          </w:p>
        </w:tc>
      </w:tr>
      <w:tr>
        <w:trPr>
          <w:trHeight w:val="438"/>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Net Shares – Exercise Options to buy Shares and sell the acquired Shares at the same time without using</w:t>
            </w:r>
          </w:p>
        </w:tc>
      </w:tr>
      <w:tr>
        <w:trPr>
          <w:trHeight w:val="250"/>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cash. Net proceeds received in Shares;</w:t>
            </w:r>
          </w:p>
        </w:tc>
      </w:tr>
      <w:tr>
        <w:trPr>
          <w:trHeight w:val="459"/>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Stock for Stock – Exercise Options to buy Shares using the value of Shares already owned;</w:t>
            </w:r>
          </w:p>
        </w:tc>
      </w:tr>
      <w:tr>
        <w:trPr>
          <w:trHeight w:val="459"/>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Combination or Other Methods (as may be approved by the Committee).</w:t>
            </w:r>
          </w:p>
        </w:tc>
      </w:tr>
      <w:tr>
        <w:trPr>
          <w:trHeight w:val="438"/>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Notwithstanding the forgoing and the terms of the Plan, the Company reserves the right to limit the form</w:t>
            </w:r>
          </w:p>
        </w:tc>
      </w:tr>
      <w:tr>
        <w:trPr>
          <w:trHeight w:val="229"/>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8"/>
              </w:rPr>
              <w:t>of settlement based on your home or host location at the time of exercise. For example, if you are</w:t>
            </w:r>
          </w:p>
        </w:tc>
      </w:tr>
      <w:tr>
        <w:trPr>
          <w:trHeight w:val="229"/>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providing services in certain specified jurisdictions at the time of exercise, you may only exercise vested</w:t>
            </w:r>
          </w:p>
        </w:tc>
      </w:tr>
      <w:tr>
        <w:trPr>
          <w:trHeight w:val="230"/>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Options through a cashless exercise. The Company also reserves the right to further modify the form of</w:t>
            </w:r>
          </w:p>
        </w:tc>
      </w:tr>
      <w:tr>
        <w:trPr>
          <w:trHeight w:val="229"/>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settlement of your Award as it deems appropriate to account for the impact of local law and regulations.</w:t>
            </w:r>
          </w:p>
        </w:tc>
      </w:tr>
      <w:tr>
        <w:trPr>
          <w:trHeight w:val="230"/>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9"/>
              </w:rPr>
              <w:t>For example, the Company may adjust settlement to account for unique limitations regarding the</w:t>
            </w:r>
          </w:p>
        </w:tc>
      </w:tr>
      <w:tr>
        <w:trPr>
          <w:trHeight w:val="250"/>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provision of equity outside the United States.</w:t>
            </w:r>
          </w:p>
        </w:tc>
      </w:tr>
      <w:tr>
        <w:trPr>
          <w:trHeight w:val="425"/>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6"/>
              </w:rPr>
              <w:t>Regardless of the form of settlement, as required by law, the Company will withhold any applicable</w:t>
            </w:r>
          </w:p>
        </w:tc>
      </w:tr>
      <w:tr>
        <w:trPr>
          <w:trHeight w:val="229"/>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federal, state, local or foreign tax in connection with any exercise of the Options. You are responsible for</w:t>
            </w:r>
          </w:p>
        </w:tc>
      </w:tr>
      <w:tr>
        <w:trPr>
          <w:trHeight w:val="250"/>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any taxes due upon exercise of the Options.</w:t>
            </w:r>
          </w:p>
        </w:tc>
      </w:tr>
      <w:tr>
        <w:trPr>
          <w:trHeight w:val="239"/>
        </w:trPr>
        <w:tc>
          <w:tcPr>
            <w:tcW w:w="2440" w:type="dxa"/>
            <w:vAlign w:val="bottom"/>
            <w:tcBorders>
              <w:left w:val="single" w:sz="8" w:color="00000A"/>
              <w:bottom w:val="single" w:sz="8" w:color="00000A"/>
              <w:right w:val="single" w:sz="8" w:color="00000A"/>
            </w:tcBorders>
          </w:tcPr>
          <w:p>
            <w:pPr>
              <w:spacing w:after="0"/>
              <w:rPr>
                <w:sz w:val="20"/>
                <w:szCs w:val="20"/>
                <w:color w:val="auto"/>
              </w:rPr>
            </w:pPr>
          </w:p>
        </w:tc>
        <w:tc>
          <w:tcPr>
            <w:tcW w:w="8500" w:type="dxa"/>
            <w:vAlign w:val="bottom"/>
            <w:tcBorders>
              <w:bottom w:val="single" w:sz="8" w:color="00000A"/>
              <w:right w:val="single" w:sz="8" w:color="00000A"/>
            </w:tcBorders>
          </w:tcPr>
          <w:p>
            <w:pPr>
              <w:spacing w:after="0"/>
              <w:rPr>
                <w:sz w:val="20"/>
                <w:szCs w:val="20"/>
                <w:color w:val="auto"/>
              </w:rPr>
            </w:pPr>
          </w:p>
        </w:tc>
      </w:tr>
      <w:tr>
        <w:trPr>
          <w:trHeight w:val="233"/>
        </w:trPr>
        <w:tc>
          <w:tcPr>
            <w:tcW w:w="24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Conditions Precedent</w:t>
            </w: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Pursuant and subject to Section 11 of the Plan, as a condition precedent to the vesting and/or exercise of</w:t>
            </w:r>
          </w:p>
        </w:tc>
      </w:tr>
      <w:tr>
        <w:trPr>
          <w:trHeight w:val="250"/>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any portion of your Award, you shall:</w:t>
            </w:r>
          </w:p>
        </w:tc>
      </w:tr>
      <w:tr>
        <w:trPr>
          <w:trHeight w:val="438"/>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Refrain from engaging in any activity which will cause damage to the Company or is in any</w:t>
            </w:r>
          </w:p>
        </w:tc>
      </w:tr>
      <w:tr>
        <w:trPr>
          <w:trHeight w:val="230"/>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w w:val="96"/>
              </w:rPr>
              <w:t>manner inimical or in any way contrary to the best interests of the Company, as determined</w:t>
            </w:r>
          </w:p>
        </w:tc>
      </w:tr>
      <w:tr>
        <w:trPr>
          <w:trHeight w:val="225"/>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660"/>
              <w:spacing w:after="0" w:line="225" w:lineRule="exact"/>
              <w:rPr>
                <w:sz w:val="20"/>
                <w:szCs w:val="20"/>
                <w:color w:val="auto"/>
              </w:rPr>
            </w:pPr>
            <w:r>
              <w:rPr>
                <w:rFonts w:ascii="Arial" w:cs="Arial" w:eastAsia="Arial" w:hAnsi="Arial"/>
                <w:sz w:val="20"/>
                <w:szCs w:val="20"/>
                <w:color w:val="auto"/>
              </w:rPr>
              <w:t>pursuant to the Plan; and</w:t>
            </w:r>
          </w:p>
        </w:tc>
      </w:tr>
      <w:tr>
        <w:trPr>
          <w:trHeight w:val="248"/>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340"/>
              <w:spacing w:after="0" w:line="247" w:lineRule="exact"/>
              <w:rPr>
                <w:sz w:val="20"/>
                <w:szCs w:val="20"/>
                <w:color w:val="auto"/>
              </w:rPr>
            </w:pPr>
            <w:r>
              <w:rPr>
                <w:rFonts w:ascii="Arial" w:cs="Arial" w:eastAsia="Arial" w:hAnsi="Arial"/>
                <w:sz w:val="22"/>
                <w:szCs w:val="22"/>
                <w:color w:val="auto"/>
                <w:w w:val="98"/>
              </w:rPr>
              <w:t xml:space="preserve">•  </w:t>
            </w:r>
            <w:r>
              <w:rPr>
                <w:rFonts w:ascii="Arial" w:cs="Arial" w:eastAsia="Arial" w:hAnsi="Arial"/>
                <w:sz w:val="19"/>
                <w:szCs w:val="19"/>
                <w:color w:val="auto"/>
                <w:w w:val="98"/>
              </w:rPr>
              <w:t>Furnish to the Company such information with respect to the satisfaction of the foregoing as the</w:t>
            </w:r>
          </w:p>
        </w:tc>
      </w:tr>
      <w:tr>
        <w:trPr>
          <w:trHeight w:val="250"/>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rPr>
              <w:t>Committee may reasonably request.</w:t>
            </w:r>
          </w:p>
        </w:tc>
      </w:tr>
      <w:tr>
        <w:trPr>
          <w:trHeight w:val="438"/>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In addition, the Committee may require you to enter into such agreements as the Committee considers</w:t>
            </w:r>
          </w:p>
        </w:tc>
      </w:tr>
      <w:tr>
        <w:trPr>
          <w:trHeight w:val="250"/>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appropriate.</w:t>
            </w:r>
          </w:p>
        </w:tc>
      </w:tr>
      <w:tr>
        <w:trPr>
          <w:trHeight w:val="438"/>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Your failure to satisfy any of the foregoing conditions precedent will result in the immediate cancellation</w:t>
            </w:r>
          </w:p>
        </w:tc>
      </w:tr>
      <w:tr>
        <w:trPr>
          <w:trHeight w:val="230"/>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7"/>
              </w:rPr>
              <w:t>of the unvested portion of your Award and any vested portion of your Award that has not yet been</w:t>
            </w:r>
          </w:p>
        </w:tc>
      </w:tr>
      <w:tr>
        <w:trPr>
          <w:trHeight w:val="250"/>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exercised, and you will not be entitled to receive any consideration with respect to such cancellation.</w:t>
            </w:r>
          </w:p>
        </w:tc>
      </w:tr>
      <w:tr>
        <w:trPr>
          <w:trHeight w:val="253"/>
        </w:trPr>
        <w:tc>
          <w:tcPr>
            <w:tcW w:w="2440" w:type="dxa"/>
            <w:vAlign w:val="bottom"/>
            <w:tcBorders>
              <w:left w:val="single" w:sz="8" w:color="00000A"/>
              <w:bottom w:val="single" w:sz="8" w:color="00000A"/>
              <w:right w:val="single" w:sz="8" w:color="00000A"/>
            </w:tcBorders>
          </w:tcPr>
          <w:p>
            <w:pPr>
              <w:spacing w:after="0"/>
              <w:rPr>
                <w:sz w:val="21"/>
                <w:szCs w:val="21"/>
                <w:color w:val="auto"/>
              </w:rPr>
            </w:pPr>
          </w:p>
        </w:tc>
        <w:tc>
          <w:tcPr>
            <w:tcW w:w="8500" w:type="dxa"/>
            <w:vAlign w:val="bottom"/>
            <w:tcBorders>
              <w:bottom w:val="single" w:sz="8" w:color="00000A"/>
              <w:right w:val="single" w:sz="8" w:color="00000A"/>
            </w:tcBorders>
          </w:tcPr>
          <w:p>
            <w:pPr>
              <w:spacing w:after="0"/>
              <w:rPr>
                <w:sz w:val="21"/>
                <w:szCs w:val="21"/>
                <w:color w:val="auto"/>
              </w:rPr>
            </w:pPr>
          </w:p>
        </w:tc>
      </w:tr>
    </w:tbl>
    <w:p>
      <w:pPr>
        <w:sectPr>
          <w:pgSz w:w="11900" w:h="16838" w:orient="portrait"/>
          <w:cols w:equalWidth="0" w:num="1">
            <w:col w:w="10940"/>
          </w:cols>
          <w:pgMar w:left="320" w:top="727" w:right="639" w:bottom="1440" w:gutter="0" w:footer="0" w:header="0"/>
        </w:sectPr>
      </w:pPr>
    </w:p>
    <w:bookmarkStart w:id="61" w:name="page62"/>
    <w:bookmarkEnd w:id="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4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Restrictive Covenants</w:t>
            </w:r>
          </w:p>
        </w:tc>
        <w:tc>
          <w:tcPr>
            <w:tcW w:w="85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w w:val="95"/>
              </w:rPr>
              <w:t>In exchange for the Options described in this Award Document, except to the extent this provision is</w:t>
            </w:r>
          </w:p>
        </w:tc>
      </w:tr>
      <w:tr>
        <w:trPr>
          <w:trHeight w:val="224"/>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line="224" w:lineRule="exact"/>
              <w:rPr>
                <w:sz w:val="20"/>
                <w:szCs w:val="20"/>
                <w:color w:val="auto"/>
              </w:rPr>
            </w:pPr>
            <w:r>
              <w:rPr>
                <w:rFonts w:ascii="Arial" w:cs="Arial" w:eastAsia="Arial" w:hAnsi="Arial"/>
                <w:sz w:val="20"/>
                <w:szCs w:val="20"/>
                <w:color w:val="auto"/>
                <w:w w:val="90"/>
              </w:rPr>
              <w:t>expressly unenforceable or unlawful under applicable law, you agree to the following restrictive covenants</w:t>
            </w:r>
          </w:p>
        </w:tc>
      </w:tr>
      <w:tr>
        <w:trPr>
          <w:trHeight w:val="235"/>
        </w:trPr>
        <w:tc>
          <w:tcPr>
            <w:tcW w:w="2440" w:type="dxa"/>
            <w:vAlign w:val="bottom"/>
            <w:tcBorders>
              <w:left w:val="single" w:sz="8" w:color="00000A"/>
              <w:right w:val="single" w:sz="8" w:color="00000A"/>
            </w:tcBorders>
          </w:tcPr>
          <w:p>
            <w:pPr>
              <w:spacing w:after="0"/>
              <w:rPr>
                <w:sz w:val="20"/>
                <w:szCs w:val="20"/>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w:t>
            </w:r>
            <w:r>
              <w:rPr>
                <w:rFonts w:ascii="Arial" w:cs="Arial" w:eastAsia="Arial" w:hAnsi="Arial"/>
                <w:sz w:val="20"/>
                <w:szCs w:val="20"/>
                <w:b w:val="1"/>
                <w:bCs w:val="1"/>
                <w:color w:val="auto"/>
                <w:w w:val="93"/>
              </w:rPr>
              <w:t>Restrictive Covenants</w:t>
            </w:r>
            <w:r>
              <w:rPr>
                <w:rFonts w:ascii="Arial" w:cs="Arial" w:eastAsia="Arial" w:hAnsi="Arial"/>
                <w:sz w:val="20"/>
                <w:szCs w:val="20"/>
                <w:color w:val="auto"/>
                <w:w w:val="93"/>
              </w:rPr>
              <w:t>”) that apply during your employment with the Company and its Subsidiaries,</w:t>
            </w:r>
          </w:p>
        </w:tc>
      </w:tr>
      <w:tr>
        <w:trPr>
          <w:trHeight w:val="230"/>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and for the 12-month period commencing on your Termination of Service, including a Full Career Status</w:t>
            </w:r>
          </w:p>
        </w:tc>
      </w:tr>
      <w:tr>
        <w:trPr>
          <w:trHeight w:val="250"/>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Termination:</w:t>
            </w:r>
          </w:p>
        </w:tc>
      </w:tr>
      <w:tr>
        <w:trPr>
          <w:trHeight w:val="371"/>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You will not directly or indirectly engage in or perform any engineering, purchasing, design,</w:t>
            </w:r>
          </w:p>
        </w:tc>
      </w:tr>
      <w:tr>
        <w:trPr>
          <w:trHeight w:val="229"/>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w w:val="90"/>
              </w:rPr>
              <w:t>marketing, manufacturing or any other tasks or functions or provide services in any other capacity</w:t>
            </w:r>
          </w:p>
        </w:tc>
      </w:tr>
      <w:tr>
        <w:trPr>
          <w:trHeight w:val="230"/>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w w:val="98"/>
              </w:rPr>
              <w:t>(e.g., as an employee, a board member, a manager or a consultant) for any motor vehicle</w:t>
            </w:r>
          </w:p>
        </w:tc>
      </w:tr>
      <w:tr>
        <w:trPr>
          <w:trHeight w:val="229"/>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w w:val="97"/>
              </w:rPr>
              <w:t>manufacturer (including its parent, subsidiaries, and other affiliates) that competes with the</w:t>
            </w:r>
          </w:p>
        </w:tc>
      </w:tr>
      <w:tr>
        <w:trPr>
          <w:trHeight w:val="225"/>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660"/>
              <w:spacing w:after="0" w:line="225" w:lineRule="exact"/>
              <w:rPr>
                <w:sz w:val="20"/>
                <w:szCs w:val="20"/>
                <w:color w:val="auto"/>
              </w:rPr>
            </w:pPr>
            <w:r>
              <w:rPr>
                <w:rFonts w:ascii="Arial" w:cs="Arial" w:eastAsia="Arial" w:hAnsi="Arial"/>
                <w:sz w:val="20"/>
                <w:szCs w:val="20"/>
                <w:color w:val="auto"/>
              </w:rPr>
              <w:t>Company or its Subsidiaries;</w:t>
            </w:r>
          </w:p>
        </w:tc>
      </w:tr>
      <w:tr>
        <w:trPr>
          <w:trHeight w:val="248"/>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340"/>
              <w:spacing w:after="0" w:line="247"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You will not directly or indirectly, knowingly induce any employee of the Company or any</w:t>
            </w:r>
          </w:p>
        </w:tc>
      </w:tr>
      <w:tr>
        <w:trPr>
          <w:trHeight w:val="229"/>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w w:val="93"/>
              </w:rPr>
              <w:t>Subsidiary to leave their employment for participation, directly or indirectly, with any existing or</w:t>
            </w:r>
          </w:p>
        </w:tc>
      </w:tr>
      <w:tr>
        <w:trPr>
          <w:trHeight w:val="225"/>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660"/>
              <w:spacing w:after="0" w:line="225" w:lineRule="exact"/>
              <w:rPr>
                <w:sz w:val="20"/>
                <w:szCs w:val="20"/>
                <w:color w:val="auto"/>
              </w:rPr>
            </w:pPr>
            <w:r>
              <w:rPr>
                <w:rFonts w:ascii="Arial" w:cs="Arial" w:eastAsia="Arial" w:hAnsi="Arial"/>
                <w:sz w:val="20"/>
                <w:szCs w:val="20"/>
                <w:color w:val="auto"/>
              </w:rPr>
              <w:t>future employer or business venture associated with you; and</w:t>
            </w:r>
          </w:p>
        </w:tc>
      </w:tr>
      <w:tr>
        <w:trPr>
          <w:trHeight w:val="248"/>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340"/>
              <w:spacing w:after="0" w:line="247"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You will not directly or indirectly solicit any client, customer, or supplier of, or provider to the</w:t>
            </w:r>
          </w:p>
        </w:tc>
      </w:tr>
      <w:tr>
        <w:trPr>
          <w:trHeight w:val="230"/>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w w:val="97"/>
              </w:rPr>
              <w:t>Company or its Subsidiaries who was a client, customer, supplier or provider for which you</w:t>
            </w:r>
          </w:p>
        </w:tc>
      </w:tr>
      <w:tr>
        <w:trPr>
          <w:trHeight w:val="229"/>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w w:val="93"/>
              </w:rPr>
              <w:t>provided services or supervised services during the 12-month period immediately prior to your</w:t>
            </w:r>
          </w:p>
        </w:tc>
      </w:tr>
      <w:tr>
        <w:trPr>
          <w:trHeight w:val="250"/>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rPr>
              <w:t>Termination of Service.</w:t>
            </w:r>
          </w:p>
        </w:tc>
      </w:tr>
      <w:tr>
        <w:trPr>
          <w:trHeight w:val="357"/>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You may seek permission from the Company to take action that would otherwise violate one or more</w:t>
            </w:r>
          </w:p>
        </w:tc>
      </w:tr>
      <w:tr>
        <w:trPr>
          <w:trHeight w:val="229"/>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aspects of these Restrictive Covenants, including a request to work in a direct or indirect capacity for any</w:t>
            </w:r>
          </w:p>
        </w:tc>
      </w:tr>
      <w:tr>
        <w:trPr>
          <w:trHeight w:val="230"/>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motor vehicle manufacturer that competes with the Company, but the Company may deny such request in</w:t>
            </w:r>
          </w:p>
        </w:tc>
      </w:tr>
      <w:tr>
        <w:trPr>
          <w:trHeight w:val="250"/>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its unfettered discretion and otherwise enforce the provisions of the Restrictive Covenants.</w:t>
            </w:r>
          </w:p>
        </w:tc>
      </w:tr>
      <w:tr>
        <w:trPr>
          <w:trHeight w:val="357"/>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If you violate any of the Restrictive Covenants during its effective period without the Company’s consent,</w:t>
            </w:r>
          </w:p>
        </w:tc>
      </w:tr>
      <w:tr>
        <w:trPr>
          <w:trHeight w:val="229"/>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4"/>
              </w:rPr>
              <w:t>both the unvested and vested but unexercised portion of your Award will immediately be cancelled. In</w:t>
            </w:r>
          </w:p>
        </w:tc>
      </w:tr>
      <w:tr>
        <w:trPr>
          <w:trHeight w:val="230"/>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addition, you agree to repay to the Company all of the gains resulting from any exercise of the Options</w:t>
            </w:r>
          </w:p>
        </w:tc>
      </w:tr>
      <w:tr>
        <w:trPr>
          <w:trHeight w:val="229"/>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4"/>
              </w:rPr>
              <w:t>during the period commencing on the date that is 12 months prior to your Termination of Service and</w:t>
            </w:r>
          </w:p>
        </w:tc>
      </w:tr>
      <w:tr>
        <w:trPr>
          <w:trHeight w:val="230"/>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ending on the date that is 12 months following your Termination of Service. To the extent permitted under</w:t>
            </w:r>
          </w:p>
        </w:tc>
      </w:tr>
      <w:tr>
        <w:trPr>
          <w:trHeight w:val="230"/>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applicable law, the Company may also take action at equity or in law to enforce the provisions of the</w:t>
            </w:r>
          </w:p>
        </w:tc>
      </w:tr>
      <w:tr>
        <w:trPr>
          <w:trHeight w:val="230"/>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4"/>
              </w:rPr>
              <w:t>applicable Restrictive Covenants. Following application of this provision of the Award Document, you</w:t>
            </w:r>
          </w:p>
        </w:tc>
      </w:tr>
      <w:tr>
        <w:trPr>
          <w:trHeight w:val="229"/>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89"/>
              </w:rPr>
              <w:t>will continue to be bound by the obligations, promises and other agreements contained in the Plan and the</w:t>
            </w:r>
          </w:p>
        </w:tc>
      </w:tr>
      <w:tr>
        <w:trPr>
          <w:trHeight w:val="250"/>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Award Document.</w:t>
            </w:r>
          </w:p>
        </w:tc>
      </w:tr>
      <w:tr>
        <w:trPr>
          <w:trHeight w:val="253"/>
        </w:trPr>
        <w:tc>
          <w:tcPr>
            <w:tcW w:w="2440" w:type="dxa"/>
            <w:vAlign w:val="bottom"/>
            <w:tcBorders>
              <w:left w:val="single" w:sz="8" w:color="00000A"/>
              <w:bottom w:val="single" w:sz="8" w:color="00000A"/>
              <w:right w:val="single" w:sz="8" w:color="00000A"/>
            </w:tcBorders>
          </w:tcPr>
          <w:p>
            <w:pPr>
              <w:spacing w:after="0"/>
              <w:rPr>
                <w:sz w:val="21"/>
                <w:szCs w:val="21"/>
                <w:color w:val="auto"/>
              </w:rPr>
            </w:pPr>
          </w:p>
        </w:tc>
        <w:tc>
          <w:tcPr>
            <w:tcW w:w="8500" w:type="dxa"/>
            <w:vAlign w:val="bottom"/>
            <w:tcBorders>
              <w:bottom w:val="single" w:sz="8" w:color="00000A"/>
              <w:right w:val="single" w:sz="8" w:color="00000A"/>
            </w:tcBorders>
          </w:tcPr>
          <w:p>
            <w:pPr>
              <w:spacing w:after="0"/>
              <w:rPr>
                <w:sz w:val="21"/>
                <w:szCs w:val="21"/>
                <w:color w:val="auto"/>
              </w:rPr>
            </w:pPr>
          </w:p>
        </w:tc>
      </w:tr>
      <w:tr>
        <w:trPr>
          <w:trHeight w:val="227"/>
        </w:trPr>
        <w:tc>
          <w:tcPr>
            <w:tcW w:w="2440" w:type="dxa"/>
            <w:vAlign w:val="bottom"/>
            <w:tcBorders>
              <w:left w:val="single" w:sz="8" w:color="00000A"/>
              <w:right w:val="single" w:sz="8" w:color="00000A"/>
            </w:tcBorders>
          </w:tcPr>
          <w:p>
            <w:pPr>
              <w:ind w:left="40"/>
              <w:spacing w:after="0" w:line="228" w:lineRule="exact"/>
              <w:rPr>
                <w:sz w:val="20"/>
                <w:szCs w:val="20"/>
                <w:color w:val="auto"/>
              </w:rPr>
            </w:pPr>
            <w:r>
              <w:rPr>
                <w:rFonts w:ascii="Arial" w:cs="Arial" w:eastAsia="Arial" w:hAnsi="Arial"/>
                <w:sz w:val="20"/>
                <w:szCs w:val="20"/>
                <w:b w:val="1"/>
                <w:bCs w:val="1"/>
                <w:color w:val="auto"/>
              </w:rPr>
              <w:t>Other Terms and</w:t>
            </w:r>
          </w:p>
        </w:tc>
        <w:tc>
          <w:tcPr>
            <w:tcW w:w="8500" w:type="dxa"/>
            <w:vAlign w:val="bottom"/>
            <w:tcBorders>
              <w:right w:val="single" w:sz="8" w:color="00000A"/>
            </w:tcBorders>
          </w:tcPr>
          <w:p>
            <w:pPr>
              <w:ind w:left="20"/>
              <w:spacing w:after="0" w:line="228" w:lineRule="exact"/>
              <w:rPr>
                <w:sz w:val="20"/>
                <w:szCs w:val="20"/>
                <w:color w:val="auto"/>
              </w:rPr>
            </w:pPr>
            <w:r>
              <w:rPr>
                <w:rFonts w:ascii="Arial" w:cs="Arial" w:eastAsia="Arial" w:hAnsi="Arial"/>
                <w:sz w:val="20"/>
                <w:szCs w:val="20"/>
                <w:color w:val="auto"/>
                <w:w w:val="93"/>
              </w:rPr>
              <w:t>Refer to the Plan for additional terms and conditions applicable to your Award, including but not limited</w:t>
            </w:r>
          </w:p>
        </w:tc>
      </w:tr>
      <w:tr>
        <w:trPr>
          <w:trHeight w:val="256"/>
        </w:trPr>
        <w:tc>
          <w:tcPr>
            <w:tcW w:w="24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Conditions of the Award</w:t>
            </w:r>
          </w:p>
        </w:tc>
        <w:tc>
          <w:tcPr>
            <w:tcW w:w="85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to those relating to:</w:t>
            </w:r>
          </w:p>
        </w:tc>
      </w:tr>
      <w:tr>
        <w:trPr>
          <w:trHeight w:val="312"/>
        </w:trPr>
        <w:tc>
          <w:tcPr>
            <w:tcW w:w="2440" w:type="dxa"/>
            <w:vAlign w:val="bottom"/>
            <w:tcBorders>
              <w:left w:val="single" w:sz="8" w:color="00000A"/>
              <w:right w:val="single" w:sz="8" w:color="00000A"/>
            </w:tcBorders>
          </w:tcPr>
          <w:p>
            <w:pPr>
              <w:spacing w:after="0"/>
              <w:rPr>
                <w:sz w:val="24"/>
                <w:szCs w:val="24"/>
                <w:color w:val="auto"/>
              </w:rPr>
            </w:pPr>
          </w:p>
        </w:tc>
        <w:tc>
          <w:tcPr>
            <w:tcW w:w="8500" w:type="dxa"/>
            <w:vAlign w:val="bottom"/>
            <w:tcBorders>
              <w:right w:val="single" w:sz="8" w:color="00000A"/>
            </w:tcBorders>
          </w:tcPr>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No dividends or dividend equivalents will be earned or paid on the Options granted;</w:t>
            </w:r>
          </w:p>
        </w:tc>
      </w:tr>
      <w:tr>
        <w:trPr>
          <w:trHeight w:val="248"/>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340"/>
              <w:spacing w:after="0" w:line="247"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Effect of your Termination of Service on your Award, including upon Death, Disability,</w:t>
            </w:r>
          </w:p>
        </w:tc>
      </w:tr>
      <w:tr>
        <w:trPr>
          <w:trHeight w:val="225"/>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660"/>
              <w:spacing w:after="0" w:line="225" w:lineRule="exact"/>
              <w:rPr>
                <w:sz w:val="20"/>
                <w:szCs w:val="20"/>
                <w:color w:val="auto"/>
              </w:rPr>
            </w:pPr>
            <w:r>
              <w:rPr>
                <w:rFonts w:ascii="Arial" w:cs="Arial" w:eastAsia="Arial" w:hAnsi="Arial"/>
                <w:sz w:val="20"/>
                <w:szCs w:val="20"/>
                <w:color w:val="auto"/>
              </w:rPr>
              <w:t>achievement of Full Career Status and other Termination of Service scenarios;</w:t>
            </w:r>
          </w:p>
        </w:tc>
      </w:tr>
      <w:tr>
        <w:trPr>
          <w:trHeight w:val="248"/>
        </w:trPr>
        <w:tc>
          <w:tcPr>
            <w:tcW w:w="2440" w:type="dxa"/>
            <w:vAlign w:val="bottom"/>
            <w:tcBorders>
              <w:left w:val="single" w:sz="8" w:color="00000A"/>
              <w:right w:val="single" w:sz="8" w:color="00000A"/>
            </w:tcBorders>
          </w:tcPr>
          <w:p>
            <w:pPr>
              <w:spacing w:after="0"/>
              <w:rPr>
                <w:sz w:val="21"/>
                <w:szCs w:val="21"/>
                <w:color w:val="auto"/>
              </w:rPr>
            </w:pPr>
          </w:p>
        </w:tc>
        <w:tc>
          <w:tcPr>
            <w:tcW w:w="8500" w:type="dxa"/>
            <w:vAlign w:val="bottom"/>
            <w:tcBorders>
              <w:right w:val="single" w:sz="8" w:color="00000A"/>
            </w:tcBorders>
          </w:tcPr>
          <w:p>
            <w:pPr>
              <w:ind w:left="340"/>
              <w:spacing w:after="0" w:line="247" w:lineRule="exact"/>
              <w:rPr>
                <w:sz w:val="20"/>
                <w:szCs w:val="20"/>
                <w:color w:val="auto"/>
              </w:rPr>
            </w:pPr>
            <w:r>
              <w:rPr>
                <w:rFonts w:ascii="Arial" w:cs="Arial" w:eastAsia="Arial" w:hAnsi="Arial"/>
                <w:sz w:val="22"/>
                <w:szCs w:val="22"/>
                <w:color w:val="auto"/>
                <w:w w:val="98"/>
              </w:rPr>
              <w:t xml:space="preserve">•  </w:t>
            </w:r>
            <w:r>
              <w:rPr>
                <w:rFonts w:ascii="Arial" w:cs="Arial" w:eastAsia="Arial" w:hAnsi="Arial"/>
                <w:sz w:val="19"/>
                <w:szCs w:val="19"/>
                <w:color w:val="auto"/>
                <w:w w:val="98"/>
              </w:rPr>
              <w:t>Your Award being subject to any clawback or recoupment policies of the Company as may be in</w:t>
            </w:r>
          </w:p>
        </w:tc>
      </w:tr>
      <w:tr>
        <w:trPr>
          <w:trHeight w:val="230"/>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660"/>
              <w:spacing w:after="0"/>
              <w:rPr>
                <w:sz w:val="20"/>
                <w:szCs w:val="20"/>
                <w:color w:val="auto"/>
              </w:rPr>
            </w:pPr>
            <w:r>
              <w:rPr>
                <w:rFonts w:ascii="Arial" w:cs="Arial" w:eastAsia="Arial" w:hAnsi="Arial"/>
                <w:sz w:val="20"/>
                <w:szCs w:val="20"/>
                <w:color w:val="auto"/>
              </w:rPr>
              <w:t>effect from time to time;</w:t>
            </w:r>
          </w:p>
        </w:tc>
      </w:tr>
      <w:tr>
        <w:trPr>
          <w:trHeight w:val="225"/>
        </w:trPr>
        <w:tc>
          <w:tcPr>
            <w:tcW w:w="2440" w:type="dxa"/>
            <w:vAlign w:val="bottom"/>
            <w:tcBorders>
              <w:left w:val="single" w:sz="8" w:color="00000A"/>
              <w:right w:val="single" w:sz="8" w:color="00000A"/>
            </w:tcBorders>
          </w:tcPr>
          <w:p>
            <w:pPr>
              <w:spacing w:after="0"/>
              <w:rPr>
                <w:sz w:val="19"/>
                <w:szCs w:val="19"/>
                <w:color w:val="auto"/>
              </w:rPr>
            </w:pPr>
          </w:p>
        </w:tc>
        <w:tc>
          <w:tcPr>
            <w:tcW w:w="8500" w:type="dxa"/>
            <w:vAlign w:val="bottom"/>
            <w:tcBorders>
              <w:right w:val="single" w:sz="8" w:color="00000A"/>
            </w:tcBorders>
          </w:tcPr>
          <w:p>
            <w:pPr>
              <w:ind w:left="340"/>
              <w:spacing w:after="0" w:line="225" w:lineRule="exact"/>
              <w:rPr>
                <w:sz w:val="20"/>
                <w:szCs w:val="20"/>
                <w:color w:val="auto"/>
              </w:rPr>
            </w:pPr>
            <w:r>
              <w:rPr>
                <w:rFonts w:ascii="Arial" w:cs="Arial" w:eastAsia="Arial" w:hAnsi="Arial"/>
                <w:sz w:val="20"/>
                <w:szCs w:val="20"/>
                <w:color w:val="auto"/>
              </w:rPr>
              <w:t>•  The impact of a Change in Control or other specified corporate event on your Award; and</w:t>
            </w:r>
          </w:p>
        </w:tc>
      </w:tr>
      <w:tr>
        <w:trPr>
          <w:trHeight w:val="274"/>
        </w:trPr>
        <w:tc>
          <w:tcPr>
            <w:tcW w:w="2440" w:type="dxa"/>
            <w:vAlign w:val="bottom"/>
            <w:tcBorders>
              <w:left w:val="single" w:sz="8" w:color="00000A"/>
              <w:right w:val="single" w:sz="8" w:color="00000A"/>
            </w:tcBorders>
          </w:tcPr>
          <w:p>
            <w:pPr>
              <w:spacing w:after="0"/>
              <w:rPr>
                <w:sz w:val="23"/>
                <w:szCs w:val="23"/>
                <w:color w:val="auto"/>
              </w:rPr>
            </w:pPr>
          </w:p>
        </w:tc>
        <w:tc>
          <w:tcPr>
            <w:tcW w:w="8500" w:type="dxa"/>
            <w:vAlign w:val="bottom"/>
            <w:tcBorders>
              <w:right w:val="single" w:sz="8" w:color="00000A"/>
            </w:tcBorders>
          </w:tcPr>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Jurisdiction and governing law.</w:t>
            </w:r>
          </w:p>
        </w:tc>
      </w:tr>
      <w:tr>
        <w:trPr>
          <w:trHeight w:val="246"/>
        </w:trPr>
        <w:tc>
          <w:tcPr>
            <w:tcW w:w="2440" w:type="dxa"/>
            <w:vAlign w:val="bottom"/>
            <w:tcBorders>
              <w:left w:val="single" w:sz="8" w:color="00000A"/>
              <w:bottom w:val="single" w:sz="8" w:color="00000A"/>
              <w:right w:val="single" w:sz="8" w:color="00000A"/>
            </w:tcBorders>
          </w:tcPr>
          <w:p>
            <w:pPr>
              <w:spacing w:after="0"/>
              <w:rPr>
                <w:sz w:val="21"/>
                <w:szCs w:val="21"/>
                <w:color w:val="auto"/>
              </w:rPr>
            </w:pPr>
          </w:p>
        </w:tc>
        <w:tc>
          <w:tcPr>
            <w:tcW w:w="8500" w:type="dxa"/>
            <w:vAlign w:val="bottom"/>
            <w:tcBorders>
              <w:bottom w:val="single" w:sz="8" w:color="00000A"/>
              <w:right w:val="single" w:sz="8" w:color="00000A"/>
            </w:tcBorders>
          </w:tcPr>
          <w:p>
            <w:pPr>
              <w:spacing w:after="0"/>
              <w:rPr>
                <w:sz w:val="21"/>
                <w:szCs w:val="21"/>
                <w:color w:val="auto"/>
              </w:rPr>
            </w:pPr>
          </w:p>
        </w:tc>
      </w:tr>
    </w:tbl>
    <w:p>
      <w:pPr>
        <w:sectPr>
          <w:pgSz w:w="11900" w:h="16838" w:orient="portrait"/>
          <w:cols w:equalWidth="0" w:num="1">
            <w:col w:w="10940"/>
          </w:cols>
          <w:pgMar w:left="320" w:top="727" w:right="639" w:bottom="1440" w:gutter="0" w:footer="0" w:header="0"/>
        </w:sectPr>
      </w:pPr>
    </w:p>
    <w:bookmarkStart w:id="62" w:name="page63"/>
    <w:bookmarkEnd w:id="62"/>
    <w:p>
      <w:pPr>
        <w:spacing w:after="0"/>
        <w:rPr>
          <w:sz w:val="20"/>
          <w:szCs w:val="20"/>
          <w:color w:val="auto"/>
        </w:rPr>
      </w:pPr>
      <w:r>
        <w:rPr>
          <w:rFonts w:ascii="Arial" w:cs="Arial" w:eastAsia="Arial" w:hAnsi="Arial"/>
          <w:sz w:val="20"/>
          <w:szCs w:val="20"/>
          <w:b w:val="1"/>
          <w:bCs w:val="1"/>
          <w:color w:val="auto"/>
        </w:rPr>
        <w:t>Additional Acknowledgements</w:t>
      </w:r>
    </w:p>
    <w:p>
      <w:pPr>
        <w:spacing w:after="0" w:line="235"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the Options (and issuance of any Shares) to you. By accepting the Award you irrevocably agree and acknowledge in favor of the Company (on its own behalf and as an agent for the Subsidiaries) that:</w:t>
      </w:r>
    </w:p>
    <w:p>
      <w:pPr>
        <w:spacing w:after="0" w:line="199" w:lineRule="exact"/>
        <w:rPr>
          <w:sz w:val="20"/>
          <w:szCs w:val="20"/>
          <w:color w:val="auto"/>
        </w:rPr>
      </w:pPr>
    </w:p>
    <w:p>
      <w:pPr>
        <w:ind w:left="340" w:right="140" w:hanging="332"/>
        <w:spacing w:after="0" w:line="250" w:lineRule="auto"/>
        <w:tabs>
          <w:tab w:leader="none" w:pos="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199" w:lineRule="exact"/>
        <w:rPr>
          <w:rFonts w:ascii="Arial" w:cs="Arial" w:eastAsia="Arial" w:hAnsi="Arial"/>
          <w:sz w:val="20"/>
          <w:szCs w:val="20"/>
          <w:color w:val="auto"/>
        </w:rPr>
      </w:pPr>
    </w:p>
    <w:p>
      <w:pPr>
        <w:ind w:left="340" w:right="40" w:hanging="332"/>
        <w:spacing w:after="0" w:line="244" w:lineRule="auto"/>
        <w:tabs>
          <w:tab w:leader="none" w:pos="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single, voluntary grant and does not constitute a promise, a contractual right or other right to receive future grants. The Committee maintains the right to make available future grants under the Plan.</w:t>
      </w:r>
    </w:p>
    <w:p>
      <w:pPr>
        <w:spacing w:after="0" w:line="207" w:lineRule="exact"/>
        <w:rPr>
          <w:rFonts w:ascii="Arial" w:cs="Arial" w:eastAsia="Arial" w:hAnsi="Arial"/>
          <w:sz w:val="20"/>
          <w:szCs w:val="20"/>
          <w:color w:val="auto"/>
        </w:rPr>
      </w:pPr>
    </w:p>
    <w:p>
      <w:pPr>
        <w:ind w:left="340" w:right="60" w:hanging="332"/>
        <w:spacing w:after="0" w:line="244" w:lineRule="auto"/>
        <w:tabs>
          <w:tab w:leader="none" w:pos="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pacing w:after="0" w:line="194" w:lineRule="exact"/>
        <w:rPr>
          <w:rFonts w:ascii="Arial" w:cs="Arial" w:eastAsia="Arial" w:hAnsi="Arial"/>
          <w:sz w:val="20"/>
          <w:szCs w:val="20"/>
          <w:color w:val="auto"/>
        </w:rPr>
      </w:pPr>
    </w:p>
    <w:p>
      <w:pPr>
        <w:ind w:left="340" w:right="40" w:hanging="332"/>
        <w:spacing w:after="0" w:line="244" w:lineRule="auto"/>
        <w:tabs>
          <w:tab w:leader="none" w:pos="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of office, severance payments, leave entitlements, or any other compensation payable to you and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194" w:lineRule="exact"/>
        <w:rPr>
          <w:rFonts w:ascii="Arial" w:cs="Arial" w:eastAsia="Arial" w:hAnsi="Arial"/>
          <w:sz w:val="20"/>
          <w:szCs w:val="20"/>
          <w:color w:val="auto"/>
        </w:rPr>
      </w:pPr>
    </w:p>
    <w:p>
      <w:pPr>
        <w:ind w:left="340" w:right="220" w:hanging="332"/>
        <w:spacing w:after="0" w:line="250" w:lineRule="auto"/>
        <w:tabs>
          <w:tab w:leader="none" w:pos="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This Award includes Restrictive Covenants and conditions precedent that apply during and following your termination of employment, and the Options described in this Award constitute good and valuable consideration provided in exchange for those Restrictive Covenants.</w:t>
      </w:r>
    </w:p>
    <w:p>
      <w:pPr>
        <w:spacing w:after="0" w:line="199" w:lineRule="exact"/>
        <w:rPr>
          <w:rFonts w:ascii="Arial" w:cs="Arial" w:eastAsia="Arial" w:hAnsi="Arial"/>
          <w:sz w:val="20"/>
          <w:szCs w:val="20"/>
          <w:color w:val="auto"/>
        </w:rPr>
      </w:pPr>
    </w:p>
    <w:p>
      <w:pPr>
        <w:jc w:val="both"/>
        <w:ind w:left="340" w:right="300" w:hanging="332"/>
        <w:spacing w:after="0" w:line="250" w:lineRule="auto"/>
        <w:tabs>
          <w:tab w:leader="none" w:pos="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185" w:lineRule="exact"/>
        <w:rPr>
          <w:rFonts w:ascii="Arial" w:cs="Arial" w:eastAsia="Arial" w:hAnsi="Arial"/>
          <w:sz w:val="20"/>
          <w:szCs w:val="20"/>
          <w:color w:val="auto"/>
        </w:rPr>
      </w:pPr>
    </w:p>
    <w:p>
      <w:pPr>
        <w:ind w:left="340" w:right="60" w:hanging="332"/>
        <w:spacing w:after="0" w:line="260" w:lineRule="auto"/>
        <w:tabs>
          <w:tab w:leader="none" w:pos="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future value of the Options and subsequent Shares as a result of exercise is unknown and cannot be predicted with certainty and may increase or decrease in value.</w:t>
      </w:r>
    </w:p>
    <w:p>
      <w:pPr>
        <w:spacing w:after="0" w:line="176" w:lineRule="exact"/>
        <w:rPr>
          <w:rFonts w:ascii="Arial" w:cs="Arial" w:eastAsia="Arial" w:hAnsi="Arial"/>
          <w:sz w:val="20"/>
          <w:szCs w:val="20"/>
          <w:color w:val="auto"/>
        </w:rPr>
      </w:pPr>
    </w:p>
    <w:p>
      <w:pPr>
        <w:ind w:left="340" w:right="60" w:hanging="332"/>
        <w:spacing w:after="0" w:line="282"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will have no claim or entitlement to compensation or damages arising from the forfeiture of the Options, the termination of the Plan, or the diminution in value of the Options or Shares, including, without limitation, as a result of the termination of your employment by the Company or any Subsidiary for any reason whatsoever and whether or not in breach of contract. You irrevocably release the Company, its Subsidiaries, Affiliates, the Plan Administrator and their affiliates from any such claim that may arise.</w:t>
      </w:r>
    </w:p>
    <w:p>
      <w:pPr>
        <w:spacing w:after="0" w:line="174" w:lineRule="exact"/>
        <w:rPr>
          <w:rFonts w:ascii="Arial" w:cs="Arial" w:eastAsia="Arial" w:hAnsi="Arial"/>
          <w:sz w:val="18"/>
          <w:szCs w:val="18"/>
          <w:color w:val="auto"/>
        </w:rPr>
      </w:pPr>
    </w:p>
    <w:p>
      <w:pPr>
        <w:ind w:left="340" w:hanging="332"/>
        <w:spacing w:after="0" w:line="287" w:lineRule="auto"/>
        <w:tabs>
          <w:tab w:leader="none" w:pos="3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Company has adopted a stock ownership requirement policy and, if your position is covered, you shall be subject to and comply with this policy as may be in effect from time to time. Options do not count towards your stock ownership requirement.</w:t>
      </w:r>
    </w:p>
    <w:p>
      <w:pPr>
        <w:sectPr>
          <w:pgSz w:w="11900" w:h="16838" w:orient="portrait"/>
          <w:cols w:equalWidth="0" w:num="1">
            <w:col w:w="11240"/>
          </w:cols>
          <w:pgMar w:left="320" w:top="562" w:right="339" w:bottom="1440" w:gutter="0" w:footer="0" w:header="0"/>
        </w:sectPr>
      </w:pPr>
    </w:p>
    <w:bookmarkStart w:id="63" w:name="page64"/>
    <w:bookmarkEnd w:id="63"/>
    <w:p>
      <w:pPr>
        <w:ind w:left="340" w:right="120" w:hanging="332"/>
        <w:spacing w:after="0" w:line="282"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161" w:lineRule="exact"/>
        <w:rPr>
          <w:rFonts w:ascii="Arial" w:cs="Arial" w:eastAsia="Arial" w:hAnsi="Arial"/>
          <w:sz w:val="18"/>
          <w:szCs w:val="18"/>
          <w:color w:val="auto"/>
        </w:rPr>
      </w:pPr>
    </w:p>
    <w:p>
      <w:pPr>
        <w:ind w:left="340" w:hanging="332"/>
        <w:spacing w:after="0" w:line="276"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agree this Plan and this Award are governed by the laws of the State of Delaware, without regard to the conflicts of law provisions thereof, and further consent to the exclusive personal jurisdiction and venue of the Chancery Court of the State of Delaware and the United States District Court for the District of Delaware for any action, claim or dispute arising out of or relating to this Award, the Plan or the subject matter contained in this Award Document. The Company will make reasonable efforts so that the Award complies with all applicable federal and state securities laws; provided, however, notwithstanding any other provision of the Award Document, the Options shall not be exercisable if the exercise thereof would result in a violation of any such law.</w:t>
      </w:r>
    </w:p>
    <w:p>
      <w:pPr>
        <w:spacing w:after="0" w:line="178" w:lineRule="exact"/>
        <w:rPr>
          <w:rFonts w:ascii="Arial" w:cs="Arial" w:eastAsia="Arial" w:hAnsi="Arial"/>
          <w:sz w:val="18"/>
          <w:szCs w:val="18"/>
          <w:color w:val="auto"/>
        </w:rPr>
      </w:pPr>
    </w:p>
    <w:p>
      <w:pPr>
        <w:ind w:left="340" w:right="600" w:hanging="332"/>
        <w:spacing w:after="0" w:line="260" w:lineRule="auto"/>
        <w:tabs>
          <w:tab w:leader="none" w:pos="3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190"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You have read this Award Document and the Plan carefully and understand their terms, including but not limited to the Restrictive Covenants herein. By indicating your acceptance of these terms, you are expressly accepting the terms and conditions of the Award, and the Company may rely on your acceptance.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Offer</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To accept this offer you will need to follow the link at the bottom of this page. Your electronic acceptance confirms the following:</w:t>
      </w:r>
    </w:p>
    <w:p>
      <w:pPr>
        <w:spacing w:after="0" w:line="241"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177" w:lineRule="exact"/>
        <w:rPr>
          <w:sz w:val="20"/>
          <w:szCs w:val="20"/>
          <w:color w:val="auto"/>
        </w:rPr>
      </w:pPr>
    </w:p>
    <w:p>
      <w:pPr>
        <w:ind w:left="340" w:right="40" w:hanging="332"/>
        <w:spacing w:after="0" w:line="260" w:lineRule="auto"/>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Accept the Options (and any Shares resulting from the exercise of the Options) that are issued by the Company to me in accordance with the terms of the Plan and this Award Document; and</w:t>
      </w:r>
    </w:p>
    <w:p>
      <w:pPr>
        <w:spacing w:after="0" w:line="190" w:lineRule="exact"/>
        <w:rPr>
          <w:rFonts w:ascii="Arial" w:cs="Arial" w:eastAsia="Arial" w:hAnsi="Arial"/>
          <w:sz w:val="20"/>
          <w:szCs w:val="20"/>
          <w:color w:val="auto"/>
        </w:rPr>
      </w:pPr>
    </w:p>
    <w:p>
      <w:pPr>
        <w:ind w:left="340" w:hanging="332"/>
        <w:spacing w:after="0"/>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256"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If you do not accept this Award by [Insert Date], this offer will lapse and be incapable of acceptance (unless otherwise agreed to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offer or the Plan, please contact [Insert Contact Information].</w:t>
      </w:r>
    </w:p>
    <w:p>
      <w:pPr>
        <w:sectPr>
          <w:pgSz w:w="11900" w:h="16838" w:orient="portrait"/>
          <w:cols w:equalWidth="0" w:num="1">
            <w:col w:w="11200"/>
          </w:cols>
          <w:pgMar w:left="320" w:top="568" w:right="37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3" w:lineRule="auto"/>
        <w:tabs>
          <w:tab w:leader="none" w:pos="39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60" w:firstLine="188"/>
        <w:spacing w:after="0" w:line="263" w:lineRule="auto"/>
        <w:tabs>
          <w:tab w:leader="none" w:pos="74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60" w:firstLine="188"/>
        <w:spacing w:after="0" w:line="263" w:lineRule="auto"/>
        <w:tabs>
          <w:tab w:leader="none" w:pos="77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60" w:firstLine="188"/>
        <w:spacing w:after="0" w:line="308" w:lineRule="auto"/>
        <w:tabs>
          <w:tab w:leader="none" w:pos="777"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3" w:lineRule="auto"/>
        <w:tabs>
          <w:tab w:leader="none" w:pos="75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197"/>
        <w:spacing w:after="0" w:line="308" w:lineRule="auto"/>
        <w:tabs>
          <w:tab w:leader="none" w:pos="382"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4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1"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31750</wp:posOffset>
            </wp:positionV>
            <wp:extent cx="30600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and Chief Executive Officer</w:t>
      </w:r>
    </w:p>
    <w:p>
      <w:pPr>
        <w:spacing w:after="0" w:line="49"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6, 2020</w:t>
      </w:r>
    </w:p>
    <w:p>
      <w:pPr>
        <w:sectPr>
          <w:pgSz w:w="11900" w:h="16838" w:orient="portrait"/>
          <w:cols w:equalWidth="0" w:num="1">
            <w:col w:w="11240"/>
          </w:cols>
          <w:pgMar w:left="320" w:top="337"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Dhivya Suryadevara, certify that:</w:t>
      </w:r>
    </w:p>
    <w:p>
      <w:pPr>
        <w:spacing w:after="0" w:line="225" w:lineRule="exact"/>
        <w:rPr>
          <w:sz w:val="20"/>
          <w:szCs w:val="20"/>
          <w:color w:val="auto"/>
        </w:rPr>
      </w:pPr>
    </w:p>
    <w:p>
      <w:pPr>
        <w:ind w:left="380" w:hanging="183"/>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3" w:lineRule="auto"/>
        <w:tabs>
          <w:tab w:leader="none" w:pos="3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60" w:firstLine="188"/>
        <w:spacing w:after="0" w:line="263" w:lineRule="auto"/>
        <w:tabs>
          <w:tab w:leader="none" w:pos="74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60" w:firstLine="188"/>
        <w:spacing w:after="0" w:line="263" w:lineRule="auto"/>
        <w:tabs>
          <w:tab w:leader="none" w:pos="77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60" w:firstLine="188"/>
        <w:spacing w:after="0" w:line="308" w:lineRule="auto"/>
        <w:tabs>
          <w:tab w:leader="none" w:pos="777"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3" w:lineRule="auto"/>
        <w:tabs>
          <w:tab w:leader="none" w:pos="75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197"/>
        <w:spacing w:after="0" w:line="308" w:lineRule="auto"/>
        <w:tabs>
          <w:tab w:leader="none" w:pos="382"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4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31750</wp:posOffset>
            </wp:positionV>
            <wp:extent cx="30600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Dhivya Suryadevara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6, 2020</w:t>
      </w:r>
    </w:p>
    <w:p>
      <w:pPr>
        <w:sectPr>
          <w:pgSz w:w="11900" w:h="16838" w:orient="portrait"/>
          <w:cols w:equalWidth="0" w:num="1">
            <w:col w:w="11240"/>
          </w:cols>
          <w:pgMar w:left="320" w:top="337"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91"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March 31, 2020 as filed with the Securities and Exchange Commission on the date hereof (the “Report”), each of the undersigned officers of the Company, certify, pursuant to 18 U.S.C.</w:t>
      </w:r>
    </w:p>
    <w:p>
      <w:pPr>
        <w:ind w:left="140" w:hanging="132"/>
        <w:spacing w:after="0"/>
        <w:tabs>
          <w:tab w:leader="none" w:pos="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 to the best of such officer's knowledge:</w:t>
      </w:r>
    </w:p>
    <w:p>
      <w:pPr>
        <w:spacing w:after="0" w:line="210" w:lineRule="exact"/>
        <w:rPr>
          <w:rFonts w:ascii="Arial" w:cs="Arial" w:eastAsia="Arial" w:hAnsi="Arial"/>
          <w:sz w:val="18"/>
          <w:szCs w:val="18"/>
          <w:color w:val="auto"/>
        </w:rPr>
      </w:pPr>
    </w:p>
    <w:p>
      <w:pPr>
        <w:ind w:left="720" w:hanging="172"/>
        <w:spacing w:after="0"/>
        <w:tabs>
          <w:tab w:leader="none" w:pos="7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31750</wp:posOffset>
            </wp:positionV>
            <wp:extent cx="30600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31750</wp:posOffset>
            </wp:positionV>
            <wp:extent cx="30600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Dhivya Suryadevara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6, 2020</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lowerLetter"/>
      <w:start w:val="1"/>
    </w:lvl>
  </w:abstractNum>
  <w:abstractNum w:abstractNumId="3">
    <w:nsid w:val="333AB105"/>
    <w:multiLevelType w:val="hybridMultilevel"/>
    <w:lvl w:ilvl="0">
      <w:lvlJc w:val="left"/>
      <w:lvlText w:val="(%1)"/>
      <w:numFmt w:val="lowerLetter"/>
      <w:start w:val="1"/>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lowerLetter"/>
      <w:start w:val="1"/>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lowerLetter"/>
      <w:start w:val="1"/>
    </w:lvl>
  </w:abstractNum>
  <w:abstractNum w:abstractNumId="12">
    <w:nsid w:val="B03E0C6"/>
    <w:multiLevelType w:val="hybridMultilevel"/>
    <w:lvl w:ilvl="0">
      <w:lvlJc w:val="left"/>
      <w:lvlText w:val="(%1)"/>
      <w:numFmt w:val="lowerLetter"/>
      <w:start w:val="1"/>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1"/>
    </w:lvl>
    <w:lvl w:ilvl="1">
      <w:lvlJc w:val="left"/>
      <w:lvlText w:val="*"/>
      <w:numFmt w:val="bullet"/>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1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10"/>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17" Type="http://schemas.openxmlformats.org/officeDocument/2006/relationships/hyperlink" Target="http://www.sec.gov/Archives/edgar/data/1467858/000119312510279214/dex32.htm" TargetMode="External"/><Relationship Id="rId18" Type="http://schemas.openxmlformats.org/officeDocument/2006/relationships/hyperlink" Target="http://www.sec.gov/Archives/edgar/data/1467858/000119312518252892/d59562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2020-05-06T14:38:43Z</dcterms:created>
  <dcterms:modified xsi:type="dcterms:W3CDTF">2020-05-06T14:38:43Z</dcterms:modified>
</cp:coreProperties>
</file>