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FERGUSON ROBERT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4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9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600" w:type="dxa"/>
            <w:vAlign w:val="bottom"/>
            <w:gridSpan w:val="8"/>
          </w:tcPr>
          <w:p>
            <w:pPr>
              <w:ind w:left="2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gridSpan w:val="4"/>
          </w:tcPr>
          <w:p>
            <w:pPr>
              <w:ind w:left="24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rPr>
              <w:t>MI</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48265-3000</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6"/>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8"/>
                <w:szCs w:val="18"/>
                <w:color w:val="0000FF"/>
              </w:rPr>
              <w:t>12/31/2011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M</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9,340</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94"/>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(2)</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25,650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6"/>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2"/>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December 31, 2011 pursuant to the GMSSP and were fully vested upon grant. The SSUs will be delivered in the form of shares of Common Stock in three equal, annual installments beginning on December 31, 2012.</w:t>
      </w:r>
    </w:p>
    <w:p>
      <w:pPr>
        <w:spacing w:after="0" w:line="30"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 Each SSU is the economic equivalent of one share of Common Stock. Under the GMSSP, the Fair Market Value of the Common Stock is the average of the high and low trading prices for the Common Stock as reported on the New York Stock Exchange, on which the Common Stock is listed, on the date of the transaction, which was $20.21.</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01/04/2012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Ferguson</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834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2019-12-17T01:11:35Z</dcterms:created>
  <dcterms:modified xsi:type="dcterms:W3CDTF">2019-12-17T01:11:35Z</dcterms:modified>
</cp:coreProperties>
</file>