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6529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52907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03/31/2011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64"/>
        <w:spacing w:after="0"/>
        <w:rPr>
          <w:sz w:val="20"/>
          <w:szCs w:val="20"/>
          <w:color w:val="auto"/>
        </w:rPr>
      </w:pPr>
      <w:r>
        <w:rPr>
          <w:rFonts w:ascii="Arial" w:cs="Arial" w:eastAsia="Arial" w:hAnsi="Arial"/>
          <w:sz w:val="17"/>
          <w:szCs w:val="17"/>
          <w:color w:val="0000FF"/>
        </w:rPr>
        <w:t>Vice President</w:t>
      </w:r>
    </w:p>
    <w:p>
      <w:pPr>
        <w:spacing w:after="0" w:line="439" w:lineRule="exact"/>
        <w:rPr>
          <w:sz w:val="24"/>
          <w:szCs w:val="24"/>
          <w:color w:val="auto"/>
        </w:rPr>
      </w:pPr>
    </w:p>
    <w:p>
      <w:pPr>
        <w:sectPr>
          <w:pgSz w:w="11900" w:h="16838" w:orient="portrait"/>
          <w:cols w:equalWidth="0" w:num="3">
            <w:col w:w="3340" w:space="720"/>
            <w:col w:w="3256" w:space="720"/>
            <w:col w:w="3484"/>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80" w:type="dxa"/>
            <w:vAlign w:val="bottom"/>
            <w:gridSpan w:val="6"/>
          </w:tcPr>
          <w:p>
            <w:pPr>
              <w:jc w:val="center"/>
              <w:ind w:right="171"/>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0"/>
          </w:tcPr>
          <w:p>
            <w:pPr>
              <w:ind w:left="26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40" w:type="dxa"/>
            <w:vAlign w:val="bottom"/>
            <w:gridSpan w:val="10"/>
            <w:vMerge w:val="restart"/>
          </w:tcPr>
          <w:p>
            <w:pPr>
              <w:ind w:left="4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7"/>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3"/>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40"/>
              <w:spacing w:after="0" w:line="128" w:lineRule="exact"/>
              <w:rPr>
                <w:sz w:val="20"/>
                <w:szCs w:val="20"/>
                <w:color w:val="auto"/>
              </w:rPr>
            </w:pPr>
            <w:r>
              <w:rPr>
                <w:rFonts w:ascii="Arial" w:cs="Arial" w:eastAsia="Arial" w:hAnsi="Arial"/>
                <w:sz w:val="12"/>
                <w:szCs w:val="12"/>
                <w:b w:val="1"/>
                <w:bCs w:val="1"/>
                <w:color w:val="auto"/>
                <w:w w:val="92"/>
              </w:rPr>
              <w:t>Date</w:t>
            </w: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3"/>
          </w:tcPr>
          <w:p>
            <w:pPr>
              <w:jc w:val="center"/>
              <w:ind w:left="687"/>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1"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5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3"/>
              </w:rPr>
              <w:t>2,970</w:t>
            </w:r>
            <w:r>
              <w:rPr>
                <w:rFonts w:ascii="Arial" w:cs="Arial" w:eastAsia="Arial" w:hAnsi="Arial"/>
                <w:sz w:val="21"/>
                <w:szCs w:val="21"/>
                <w:color w:val="008000"/>
                <w:w w:val="83"/>
                <w:vertAlign w:val="superscript"/>
              </w:rPr>
              <w:t>(2)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3,170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2,018</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1,152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91"/>
              </w:rPr>
              <w:t>952</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3"/>
              </w:rPr>
              <w:t>4,959</w:t>
            </w:r>
            <w:r>
              <w:rPr>
                <w:rFonts w:ascii="Arial" w:cs="Arial" w:eastAsia="Arial" w:hAnsi="Arial"/>
                <w:sz w:val="21"/>
                <w:szCs w:val="21"/>
                <w:color w:val="008000"/>
                <w:w w:val="83"/>
                <w:vertAlign w:val="superscript"/>
              </w:rPr>
              <w:t>(5)</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spacing w:after="0" w:line="313"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(3)</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5,159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3,369</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1,790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center"/>
              <w:ind w:left="707"/>
              <w:spacing w:after="0"/>
              <w:rPr>
                <w:sz w:val="20"/>
                <w:szCs w:val="20"/>
                <w:color w:val="auto"/>
              </w:rPr>
            </w:pPr>
            <w:r>
              <w:rPr>
                <w:rFonts w:ascii="Arial" w:cs="Arial" w:eastAsia="Arial" w:hAnsi="Arial"/>
                <w:sz w:val="17"/>
                <w:szCs w:val="17"/>
                <w:color w:val="0000FF"/>
                <w:w w:val="91"/>
              </w:rPr>
              <w:t>03/31/2011</w:t>
            </w:r>
          </w:p>
        </w:tc>
        <w:tc>
          <w:tcPr>
            <w:tcW w:w="5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51"/>
              <w:spacing w:after="0"/>
              <w:rPr>
                <w:sz w:val="20"/>
                <w:szCs w:val="20"/>
                <w:color w:val="auto"/>
              </w:rPr>
            </w:pPr>
            <w:r>
              <w:rPr>
                <w:rFonts w:ascii="Arial" w:cs="Arial" w:eastAsia="Arial" w:hAnsi="Arial"/>
                <w:sz w:val="17"/>
                <w:szCs w:val="17"/>
                <w:color w:val="0000FF"/>
                <w:w w:val="89"/>
              </w:rPr>
              <w:t>1,590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31.28</w:t>
            </w:r>
            <w:r>
              <w:rPr>
                <w:rFonts w:ascii="Arial" w:cs="Arial" w:eastAsia="Arial" w:hAnsi="Arial"/>
                <w:sz w:val="21"/>
                <w:szCs w:val="21"/>
                <w:color w:val="008000"/>
                <w:w w:val="86"/>
                <w:vertAlign w:val="superscript"/>
              </w:rPr>
              <w:t>(3)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200</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2"/>
              </w:rPr>
              <w:t>Underlying</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(Instr. 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vMerge w:val="restart"/>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6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92"/>
              </w:rPr>
              <w:t>2,970</w:t>
            </w:r>
            <w:r>
              <w:rPr>
                <w:rFonts w:ascii="Arial" w:cs="Arial" w:eastAsia="Arial" w:hAnsi="Arial"/>
                <w:sz w:val="21"/>
                <w:szCs w:val="21"/>
                <w:color w:val="008000"/>
                <w:w w:val="92"/>
                <w:vertAlign w:val="superscript"/>
              </w:rPr>
              <w:t>(2)</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2,970</w:t>
            </w:r>
            <w:r>
              <w:rPr>
                <w:rFonts w:ascii="Arial" w:cs="Arial" w:eastAsia="Arial" w:hAnsi="Arial"/>
                <w:sz w:val="21"/>
                <w:szCs w:val="21"/>
                <w:color w:val="008000"/>
                <w:w w:val="87"/>
                <w:vertAlign w:val="superscript"/>
              </w:rPr>
              <w:t>(2)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2,970</w:t>
            </w:r>
            <w:r>
              <w:rPr>
                <w:rFonts w:ascii="Arial" w:cs="Arial" w:eastAsia="Arial" w:hAnsi="Arial"/>
                <w:sz w:val="21"/>
                <w:szCs w:val="21"/>
                <w:color w:val="008000"/>
                <w:w w:val="84"/>
                <w:vertAlign w:val="superscript"/>
              </w:rPr>
              <w:t>(2)</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03/31/2011</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92"/>
              </w:rPr>
              <w:t>4,959</w:t>
            </w:r>
            <w:r>
              <w:rPr>
                <w:rFonts w:ascii="Arial" w:cs="Arial" w:eastAsia="Arial" w:hAnsi="Arial"/>
                <w:sz w:val="21"/>
                <w:szCs w:val="21"/>
                <w:color w:val="008000"/>
                <w:w w:val="92"/>
                <w:vertAlign w:val="superscript"/>
              </w:rPr>
              <w:t>(5)</w:t>
            </w: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7"/>
              </w:rPr>
              <w:t>4,959</w:t>
            </w:r>
            <w:r>
              <w:rPr>
                <w:rFonts w:ascii="Arial" w:cs="Arial" w:eastAsia="Arial" w:hAnsi="Arial"/>
                <w:sz w:val="21"/>
                <w:szCs w:val="21"/>
                <w:color w:val="008000"/>
                <w:w w:val="87"/>
                <w:vertAlign w:val="superscript"/>
              </w:rPr>
              <w:t>(2)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4"/>
              </w:rPr>
              <w:t>9,912</w:t>
            </w:r>
            <w:r>
              <w:rPr>
                <w:rFonts w:ascii="Arial" w:cs="Arial" w:eastAsia="Arial" w:hAnsi="Arial"/>
                <w:sz w:val="21"/>
                <w:szCs w:val="21"/>
                <w:color w:val="008000"/>
                <w:w w:val="84"/>
                <w:vertAlign w:val="superscript"/>
              </w:rPr>
              <w:t>(2)</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0000FF"/>
                <w:w w:val="92"/>
              </w:rPr>
              <w:t>03/31/2011</w:t>
            </w:r>
          </w:p>
        </w:tc>
        <w:tc>
          <w:tcPr>
            <w:tcW w:w="1100" w:type="dxa"/>
            <w:vAlign w:val="bottom"/>
          </w:tcPr>
          <w:p>
            <w:pPr>
              <w:spacing w:after="0"/>
              <w:rPr>
                <w:sz w:val="13"/>
                <w:szCs w:val="13"/>
                <w:color w:val="auto"/>
              </w:rPr>
            </w:pPr>
          </w:p>
        </w:tc>
        <w:tc>
          <w:tcPr>
            <w:tcW w:w="780" w:type="dxa"/>
            <w:vAlign w:val="bottom"/>
            <w:gridSpan w:val="2"/>
          </w:tcPr>
          <w:p>
            <w:pPr>
              <w:jc w:val="center"/>
              <w:ind w:right="286"/>
              <w:spacing w:after="0"/>
              <w:rPr>
                <w:sz w:val="20"/>
                <w:szCs w:val="20"/>
                <w:color w:val="auto"/>
              </w:rPr>
            </w:pPr>
            <w:r>
              <w:rPr>
                <w:rFonts w:ascii="Arial" w:cs="Arial" w:eastAsia="Arial" w:hAnsi="Arial"/>
                <w:sz w:val="13"/>
                <w:szCs w:val="13"/>
                <w:color w:val="0000FF"/>
              </w:rPr>
              <w:t>M</w:t>
            </w:r>
          </w:p>
        </w:tc>
        <w:tc>
          <w:tcPr>
            <w:tcW w:w="5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(1)</w:t>
            </w:r>
          </w:p>
        </w:tc>
        <w:tc>
          <w:tcPr>
            <w:tcW w:w="740" w:type="dxa"/>
            <w:vAlign w:val="bottom"/>
          </w:tcPr>
          <w:p>
            <w:pPr>
              <w:jc w:val="center"/>
              <w:spacing w:after="0"/>
              <w:rPr>
                <w:sz w:val="20"/>
                <w:szCs w:val="20"/>
                <w:color w:val="auto"/>
              </w:rPr>
            </w:pPr>
            <w:r>
              <w:rPr>
                <w:rFonts w:ascii="Arial" w:cs="Arial" w:eastAsia="Arial" w:hAnsi="Arial"/>
                <w:sz w:val="11"/>
                <w:szCs w:val="11"/>
                <w:color w:val="008000"/>
              </w:rPr>
              <w:t>(1)</w:t>
            </w:r>
          </w:p>
        </w:tc>
        <w:tc>
          <w:tcPr>
            <w:tcW w:w="68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center"/>
              <w:ind w:right="20"/>
              <w:spacing w:after="0"/>
              <w:rPr>
                <w:sz w:val="20"/>
                <w:szCs w:val="20"/>
                <w:color w:val="auto"/>
              </w:rPr>
            </w:pPr>
            <w:r>
              <w:rPr>
                <w:rFonts w:ascii="Arial" w:cs="Arial" w:eastAsia="Arial" w:hAnsi="Arial"/>
                <w:sz w:val="11"/>
                <w:szCs w:val="11"/>
                <w:color w:val="008000"/>
              </w:rPr>
              <w:t>(3)</w:t>
            </w:r>
          </w:p>
        </w:tc>
        <w:tc>
          <w:tcPr>
            <w:tcW w:w="880" w:type="dxa"/>
            <w:vAlign w:val="bottom"/>
            <w:gridSpan w:val="2"/>
            <w:vMerge w:val="continue"/>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vMerge w:val="restart"/>
          </w:tcPr>
          <w:p>
            <w:pPr>
              <w:ind w:left="60"/>
              <w:spacing w:after="0" w:line="222"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(4)</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80"/>
              <w:spacing w:after="0" w:line="144"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6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0000FF"/>
                <w:w w:val="88"/>
              </w:rPr>
              <w:t>12,668</w:t>
            </w:r>
          </w:p>
        </w:tc>
        <w:tc>
          <w:tcPr>
            <w:tcW w:w="40" w:type="dxa"/>
            <w:vAlign w:val="bottom"/>
          </w:tcPr>
          <w:p>
            <w:pPr>
              <w:spacing w:after="0"/>
              <w:rPr>
                <w:sz w:val="16"/>
                <w:szCs w:val="16"/>
                <w:color w:val="auto"/>
              </w:rPr>
            </w:pPr>
          </w:p>
        </w:tc>
        <w:tc>
          <w:tcPr>
            <w:tcW w:w="700" w:type="dxa"/>
            <w:vAlign w:val="bottom"/>
            <w:gridSpan w:val="2"/>
            <w:vMerge w:val="restart"/>
          </w:tcPr>
          <w:p>
            <w:pPr>
              <w:jc w:val="center"/>
              <w:ind w:right="20"/>
              <w:spacing w:after="0"/>
              <w:rPr>
                <w:sz w:val="20"/>
                <w:szCs w:val="20"/>
                <w:color w:val="auto"/>
              </w:rPr>
            </w:pPr>
            <w:r>
              <w:rPr>
                <w:rFonts w:ascii="Arial" w:cs="Arial" w:eastAsia="Arial" w:hAnsi="Arial"/>
                <w:sz w:val="23"/>
                <w:szCs w:val="23"/>
                <w:color w:val="000000"/>
                <w:w w:val="82"/>
                <w:vertAlign w:val="subscript"/>
              </w:rPr>
              <w:t>$</w:t>
            </w:r>
            <w:r>
              <w:rPr>
                <w:rFonts w:ascii="Arial" w:cs="Arial" w:eastAsia="Arial" w:hAnsi="Arial"/>
                <w:sz w:val="26"/>
                <w:szCs w:val="26"/>
                <w:color w:val="0000FF"/>
                <w:w w:val="82"/>
                <w:vertAlign w:val="subscript"/>
              </w:rPr>
              <w:t>0</w:t>
            </w:r>
            <w:r>
              <w:rPr>
                <w:rFonts w:ascii="Arial" w:cs="Arial" w:eastAsia="Arial" w:hAnsi="Arial"/>
                <w:sz w:val="11"/>
                <w:szCs w:val="11"/>
                <w:color w:val="008000"/>
                <w:w w:val="82"/>
              </w:rPr>
              <w:t>(6)</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0" w:lineRule="exact"/>
              <w:rPr>
                <w:sz w:val="20"/>
                <w:szCs w:val="20"/>
                <w:color w:val="auto"/>
              </w:rPr>
            </w:pPr>
            <w:r>
              <w:rPr>
                <w:rFonts w:ascii="Arial" w:cs="Arial" w:eastAsia="Arial" w:hAnsi="Arial"/>
                <w:sz w:val="13"/>
                <w:szCs w:val="13"/>
                <w:color w:val="0000FF"/>
                <w:w w:val="92"/>
              </w:rPr>
              <w:t>03/31/2011</w:t>
            </w:r>
          </w:p>
        </w:tc>
        <w:tc>
          <w:tcPr>
            <w:tcW w:w="1100" w:type="dxa"/>
            <w:vAlign w:val="bottom"/>
          </w:tcPr>
          <w:p>
            <w:pPr>
              <w:spacing w:after="0"/>
              <w:rPr>
                <w:sz w:val="12"/>
                <w:szCs w:val="12"/>
                <w:color w:val="auto"/>
              </w:rPr>
            </w:pPr>
          </w:p>
        </w:tc>
        <w:tc>
          <w:tcPr>
            <w:tcW w:w="780" w:type="dxa"/>
            <w:vAlign w:val="bottom"/>
            <w:gridSpan w:val="2"/>
          </w:tcPr>
          <w:p>
            <w:pPr>
              <w:jc w:val="center"/>
              <w:ind w:right="286"/>
              <w:spacing w:after="0" w:line="140" w:lineRule="exact"/>
              <w:rPr>
                <w:sz w:val="20"/>
                <w:szCs w:val="20"/>
                <w:color w:val="auto"/>
              </w:rPr>
            </w:pPr>
            <w:r>
              <w:rPr>
                <w:rFonts w:ascii="Arial" w:cs="Arial" w:eastAsia="Arial" w:hAnsi="Arial"/>
                <w:sz w:val="13"/>
                <w:szCs w:val="13"/>
                <w:color w:val="0000FF"/>
                <w:w w:val="91"/>
              </w:rPr>
              <w:t>A</w:t>
            </w:r>
          </w:p>
        </w:tc>
        <w:tc>
          <w:tcPr>
            <w:tcW w:w="540" w:type="dxa"/>
            <w:vAlign w:val="bottom"/>
          </w:tcPr>
          <w:p>
            <w:pPr>
              <w:ind w:left="120"/>
              <w:spacing w:after="0" w:line="140" w:lineRule="exact"/>
              <w:rPr>
                <w:sz w:val="20"/>
                <w:szCs w:val="20"/>
                <w:color w:val="auto"/>
              </w:rPr>
            </w:pPr>
            <w:r>
              <w:rPr>
                <w:rFonts w:ascii="Arial" w:cs="Arial" w:eastAsia="Arial" w:hAnsi="Arial"/>
                <w:sz w:val="13"/>
                <w:szCs w:val="13"/>
                <w:color w:val="0000FF"/>
              </w:rPr>
              <w:t>12,668</w:t>
            </w:r>
          </w:p>
        </w:tc>
        <w:tc>
          <w:tcPr>
            <w:tcW w:w="56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rPr>
              <w:t>(6)</w:t>
            </w:r>
          </w:p>
        </w:tc>
        <w:tc>
          <w:tcPr>
            <w:tcW w:w="680" w:type="dxa"/>
            <w:vAlign w:val="bottom"/>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12,668</w:t>
            </w:r>
          </w:p>
        </w:tc>
        <w:tc>
          <w:tcPr>
            <w:tcW w:w="68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(6)</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600" w:firstLine="4"/>
        <w:spacing w:after="0" w:line="295"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deemed to have been issued, nunc pro tunc, on March 31, 2009 pursuant to the Company's Salary Stock Plan (the "GMSSP") and vested upon grant. The portion of this award currently payable was settled on March 31, 2011 in cash, less a portion withheld for taxes.</w:t>
      </w:r>
    </w:p>
    <w:p>
      <w:pPr>
        <w:ind w:left="40" w:right="14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31, 2009 the employee received a grant of 2,970 SSUs, of which 990 SSUs were scheduled to be payable on March 31, 2011. On November 1, 2010 the Company amended its certificate of incorporation to effect a stock split in which each issued and outstanding share of Common Stock was converted into three shares of Common Stock (the "Stock Split"). Pursuant to the terms of the GMSSP, each issued and outstanding SSUs was automatically converted upon the effectiveness of the Stock Split into three SSUs, so that the employee was credited with a total of 8,910 SSUs granted on March 31, 2009, of which 2,970 SSUs became payable on March 31, 2011.</w:t>
      </w:r>
    </w:p>
    <w:p>
      <w:pPr>
        <w:spacing w:after="0" w:line="32" w:lineRule="exact"/>
        <w:rPr>
          <w:rFonts w:ascii="Arial" w:cs="Arial" w:eastAsia="Arial" w:hAnsi="Arial"/>
          <w:sz w:val="13"/>
          <w:szCs w:val="13"/>
          <w:color w:val="008000"/>
        </w:rPr>
      </w:pPr>
    </w:p>
    <w:p>
      <w:pPr>
        <w:jc w:val="both"/>
        <w:ind w:left="40" w:right="160" w:firstLine="4"/>
        <w:spacing w:after="0" w:line="243"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the Company's common stock. Under the GMSSP, the fair value of the Company's common stock is the average of the high and low trading prices for the Company's common stock as reported on the New York Stock Exchange, on which the Company's common stock is listed, on the date of the transaction, which was $31.28.</w:t>
      </w:r>
    </w:p>
    <w:p>
      <w:pPr>
        <w:spacing w:after="0" w:line="29" w:lineRule="exact"/>
        <w:rPr>
          <w:rFonts w:ascii="Arial" w:cs="Arial" w:eastAsia="Arial" w:hAnsi="Arial"/>
          <w:sz w:val="13"/>
          <w:szCs w:val="13"/>
          <w:color w:val="008000"/>
        </w:rPr>
      </w:pPr>
    </w:p>
    <w:p>
      <w:pPr>
        <w:ind w:left="40" w:right="42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deemed to have been issued, nunc pro tunc, on March 31, 2010 pursuant to the GMSSP and vested upon grant. The portion of this award currently payable was settled on March 31, 2011 in cash, less a portion withheld for taxes.</w:t>
      </w:r>
    </w:p>
    <w:p>
      <w:pPr>
        <w:spacing w:after="0" w:line="22" w:lineRule="exact"/>
        <w:rPr>
          <w:rFonts w:ascii="Arial" w:cs="Arial" w:eastAsia="Arial" w:hAnsi="Arial"/>
          <w:sz w:val="13"/>
          <w:szCs w:val="13"/>
          <w:color w:val="008000"/>
        </w:rPr>
      </w:pPr>
    </w:p>
    <w:p>
      <w:pPr>
        <w:ind w:left="40" w:right="160" w:firstLine="4"/>
        <w:spacing w:after="0" w:line="243"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31, 2010 the employee received a grant of 4,959 SSUs, of which 1,653 SSUs were scheduled to be payable on March 31, 2011. Pursuant to the terms of the GMSSP, each issued and outstanding SSUs was automatically converted upon the effectiveness of the Stock Split into three SSUs, so that the employee was credited with a total of 14,877 SSUs granted on March 31, 2010, of which 4,959 SSUs became payable on March 31, 2011.</w:t>
      </w:r>
    </w:p>
    <w:p>
      <w:pPr>
        <w:spacing w:after="0" w:line="29" w:lineRule="exact"/>
        <w:rPr>
          <w:rFonts w:ascii="Arial" w:cs="Arial" w:eastAsia="Arial" w:hAnsi="Arial"/>
          <w:sz w:val="13"/>
          <w:szCs w:val="13"/>
          <w:color w:val="008000"/>
        </w:rPr>
      </w:pPr>
    </w:p>
    <w:p>
      <w:pPr>
        <w:ind w:left="40" w:right="240" w:firstLine="4"/>
        <w:spacing w:after="0" w:line="29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The SSUs reported in this item were awarded on March 31, 2011 pursuant to the Company's Salary Stock Plan (the "GMSSP"), and will be settled in three equal, annual installments beginning on March 31, 2012.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which occurred on November 17, 2010, the SSU will be settled by the delivery of cash (with certain exceptions) in an amount equal to the Fair Market Value (as defined in the GMSSP) of the Company's common stock as of the applicable anniversary date of the SSU's grant. The SSUs do not have an expiration or exercise date.</w:t>
      </w:r>
    </w:p>
    <w:p>
      <w:pPr>
        <w:sectPr>
          <w:pgSz w:w="11900" w:h="16838" w:orient="portrait"/>
          <w:cols w:equalWidth="0" w:num="1">
            <w:col w:w="11520"/>
          </w:cols>
          <w:pgMar w:left="240" w:top="223" w:right="139" w:bottom="0" w:gutter="0" w:footer="0" w:header="0"/>
          <w:type w:val="continuous"/>
        </w:sectPr>
      </w:pPr>
    </w:p>
    <w:p>
      <w:pPr>
        <w:spacing w:after="0" w:line="28" w:lineRule="exact"/>
        <w:rPr>
          <w:sz w:val="24"/>
          <w:szCs w:val="24"/>
          <w:color w:val="auto"/>
        </w:rPr>
      </w:pPr>
    </w:p>
    <w:p>
      <w:pPr>
        <w:ind w:left="6860"/>
        <w:spacing w:after="0"/>
        <w:rPr>
          <w:sz w:val="20"/>
          <w:szCs w:val="20"/>
          <w:color w:val="auto"/>
        </w:rPr>
      </w:pPr>
      <w:r>
        <w:rPr>
          <w:rFonts w:ascii="Arial" w:cs="Arial" w:eastAsia="Arial" w:hAnsi="Arial"/>
          <w:sz w:val="15"/>
          <w:szCs w:val="15"/>
          <w:color w:val="0000FF"/>
        </w:rPr>
        <w:t>/s/ Anne T. Larin,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3810</wp:posOffset>
            </wp:positionV>
            <wp:extent cx="1299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99210" cy="8255"/>
                    </a:xfrm>
                    <a:prstGeom prst="rect">
                      <a:avLst/>
                    </a:prstGeom>
                    <a:noFill/>
                  </pic:spPr>
                </pic:pic>
              </a:graphicData>
            </a:graphic>
          </wp:anchor>
        </w:drawing>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fact for Mr. Reuss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-13970</wp:posOffset>
            </wp:positionV>
            <wp:extent cx="7797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5"/>
          <w:szCs w:val="15"/>
          <w:color w:val="0000FF"/>
        </w:rPr>
        <w:t>04/04/2011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487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7680" cy="8255"/>
                    </a:xfrm>
                    <a:prstGeom prst="rect">
                      <a:avLst/>
                    </a:prstGeom>
                    <a:noFill/>
                  </pic:spPr>
                </pic:pic>
              </a:graphicData>
            </a:graphic>
          </wp:anchor>
        </w:drawing>
      </w:r>
    </w:p>
    <w:p>
      <w:pPr>
        <w:spacing w:after="0" w:line="182"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8900" w:space="240"/>
            <w:col w:w="2380"/>
          </w:cols>
          <w:pgMar w:left="240" w:top="223"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2019-12-17T00:38:14Z</dcterms:created>
  <dcterms:modified xsi:type="dcterms:W3CDTF">2019-12-17T00:38:14Z</dcterms:modified>
</cp:coreProperties>
</file>