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80"/>
        <w:spacing w:after="0"/>
        <w:rPr>
          <w:sz w:val="20"/>
          <w:szCs w:val="20"/>
          <w:color w:val="auto"/>
        </w:rPr>
      </w:pPr>
      <w:r>
        <w:rPr>
          <w:rFonts w:ascii="Arial" w:cs="Arial" w:eastAsia="Arial" w:hAnsi="Arial"/>
          <w:sz w:val="21"/>
          <w:szCs w:val="21"/>
          <w:b w:val="1"/>
          <w:bCs w:val="1"/>
          <w:color w:val="auto"/>
        </w:rPr>
        <w:t>Date of Report (Date of earliest event reported) October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9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76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80" w:space="720"/>
            <w:col w:w="3520" w:space="720"/>
            <w:col w:w="1380"/>
          </w:cols>
          <w:pgMar w:left="240" w:top="230" w:right="639" w:bottom="1440" w:gutter="0" w:footer="0" w:header="0"/>
          <w:type w:val="continuous"/>
        </w:sectPr>
      </w:pPr>
    </w:p>
    <w:p>
      <w:pPr>
        <w:jc w:val="center"/>
        <w:ind w:right="140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4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280" w:space="720"/>
            <w:col w:w="3800" w:space="720"/>
            <w:col w:w="1500"/>
          </w:cols>
          <w:pgMar w:left="240" w:top="230" w:right="639" w:bottom="1440" w:gutter="0" w:footer="0" w:header="0"/>
          <w:type w:val="continuous"/>
        </w:sectPr>
      </w:pPr>
    </w:p>
    <w:p>
      <w:pPr>
        <w:spacing w:after="0" w:line="2"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00" w:space="720"/>
            <w:col w:w="280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r>
        <w:rPr>
          <w:rFonts w:ascii="Arial" w:cs="Arial" w:eastAsia="Arial" w:hAnsi="Arial"/>
          <w:sz w:val="18"/>
          <w:szCs w:val="18"/>
          <w:b w:val="1"/>
          <w:bCs w:val="1"/>
          <w:color w:val="auto"/>
        </w:rPr>
        <w:t>ITEM 8.01</w:t>
      </w:r>
      <w:r>
        <w:rPr>
          <w:sz w:val="20"/>
          <w:szCs w:val="20"/>
          <w:color w:val="auto"/>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October 3, 2011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October 3, 2011, General Motors Company (GM) issued a news release announcing September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8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October 3, 2011</w:t>
            </w: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820" w:val="left"/>
          <w:tab w:leader="none" w:pos="6360" w:val="left"/>
        </w:tabs>
        <w:rPr>
          <w:sz w:val="20"/>
          <w:szCs w:val="20"/>
          <w:color w:val="auto"/>
        </w:rPr>
      </w:pPr>
      <w:r>
        <w:rPr>
          <w:rFonts w:ascii="Arial" w:cs="Arial" w:eastAsia="Arial" w:hAnsi="Arial"/>
          <w:sz w:val="18"/>
          <w:szCs w:val="18"/>
          <w:color w:val="auto"/>
        </w:rPr>
        <w:t>Date: October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118110</wp:posOffset>
            </wp:positionV>
            <wp:extent cx="272732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732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For Release: Monday, Oct. 3, 2011, 10 a.m. EDT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GM’s U.S. Sales Up 20 Percent in September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Higher sales at all four brands deliver eighth monthly share increase of 2011</w:t>
      </w:r>
    </w:p>
    <w:p>
      <w:pPr>
        <w:spacing w:after="0" w:line="16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total sales of 207,145 vehicles in September, a 20-percent increase compared with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2010.</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Retail deliveries were up 19 percent compared with the same month a year ago and accounted for 74 percent of GM sales. Deliveries to fleet customers increased 22 percent.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GM, all of the factors that say this is a good time to buy a new vehicle outweigh the bad news that appears to be slowing down the broader economic recovery,” said Don Johnson, vice president, U.S. Sales Operations. “We’re well positioned going forward because we have momentum and another wave of fuel-efficient passenger cars launching over the next several months at Chevrolet, Buick and Cadillac.”</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September, year-over-year passenger car sales increased 12 percent, crossover sales increased 7 percent and truck sales, which include full-size pickups and SUVs, increased 34 percent.</w:t>
      </w:r>
    </w:p>
    <w:p>
      <w:pPr>
        <w:spacing w:after="0" w:line="45" w:lineRule="exact"/>
        <w:rPr>
          <w:sz w:val="20"/>
          <w:szCs w:val="20"/>
          <w:color w:val="auto"/>
        </w:rPr>
      </w:pPr>
    </w:p>
    <w:p>
      <w:pPr>
        <w:ind w:left="900" w:right="56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Chevrolet</w:t>
      </w:r>
      <w:r>
        <w:rPr>
          <w:rFonts w:ascii="Arial" w:cs="Arial" w:eastAsia="Arial" w:hAnsi="Arial"/>
          <w:sz w:val="18"/>
          <w:szCs w:val="18"/>
          <w:color w:val="auto"/>
        </w:rPr>
        <w:t>: In September, its 12</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month since going on sale, Cruze deliveries were 18,097 units, bringing its first full year of sales to 212,019</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Silverado sales increased 36 percent, Tahoe was up 63 percent and Equinox was up 33 percent.</w:t>
      </w:r>
    </w:p>
    <w:p>
      <w:pPr>
        <w:spacing w:after="0" w:line="38" w:lineRule="exact"/>
        <w:rPr>
          <w:rFonts w:ascii="Arial" w:cs="Arial" w:eastAsia="Arial" w:hAnsi="Arial"/>
          <w:sz w:val="18"/>
          <w:szCs w:val="18"/>
          <w:color w:val="auto"/>
        </w:rPr>
      </w:pPr>
    </w:p>
    <w:p>
      <w:pPr>
        <w:ind w:left="900" w:right="28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GMC</w:t>
      </w:r>
      <w:r>
        <w:rPr>
          <w:rFonts w:ascii="Arial" w:cs="Arial" w:eastAsia="Arial" w:hAnsi="Arial"/>
          <w:sz w:val="18"/>
          <w:szCs w:val="18"/>
          <w:color w:val="auto"/>
        </w:rPr>
        <w:t>: Sales have now increased for 24 consecutive months, year over year. Sierra sales were up 26 percent, Terrain sales were up 45 percent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Yukon was up 45 percent.</w:t>
      </w:r>
    </w:p>
    <w:p>
      <w:pPr>
        <w:spacing w:after="0" w:line="38" w:lineRule="exact"/>
        <w:rPr>
          <w:rFonts w:ascii="Arial" w:cs="Arial" w:eastAsia="Arial" w:hAnsi="Arial"/>
          <w:sz w:val="18"/>
          <w:szCs w:val="18"/>
          <w:color w:val="auto"/>
        </w:rPr>
      </w:pPr>
    </w:p>
    <w:p>
      <w:pPr>
        <w:ind w:left="900" w:right="56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Cadillac</w:t>
      </w:r>
      <w:r>
        <w:rPr>
          <w:rFonts w:ascii="Arial" w:cs="Arial" w:eastAsia="Arial" w:hAnsi="Arial"/>
          <w:sz w:val="18"/>
          <w:szCs w:val="18"/>
          <w:color w:val="auto"/>
        </w:rPr>
        <w:t>: Combined sales of the Cadillac CTS sedan, coupe and wagon increased 24 percent compared with September 2010. In addition,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Cadillac SRX was up 22 percent. Cadillac reduced its fleet sales by 54 percent.</w:t>
      </w:r>
    </w:p>
    <w:p>
      <w:pPr>
        <w:spacing w:after="0" w:line="38" w:lineRule="exact"/>
        <w:rPr>
          <w:rFonts w:ascii="Arial" w:cs="Arial" w:eastAsia="Arial" w:hAnsi="Arial"/>
          <w:sz w:val="18"/>
          <w:szCs w:val="18"/>
          <w:color w:val="auto"/>
        </w:rPr>
      </w:pPr>
    </w:p>
    <w:p>
      <w:pPr>
        <w:ind w:left="900" w:right="6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Buick: </w:t>
      </w:r>
      <w:r>
        <w:rPr>
          <w:rFonts w:ascii="Arial" w:cs="Arial" w:eastAsia="Arial" w:hAnsi="Arial"/>
          <w:sz w:val="18"/>
          <w:szCs w:val="18"/>
          <w:color w:val="auto"/>
        </w:rPr>
        <w:t>September was the brand’s 24</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year-over-year sales gains, with the Regal continuing to build momentum with sales up</w:t>
      </w:r>
      <w:r>
        <w:rPr>
          <w:rFonts w:ascii="Arial" w:cs="Arial" w:eastAsia="Arial" w:hAnsi="Arial"/>
          <w:sz w:val="18"/>
          <w:szCs w:val="18"/>
          <w:b w:val="1"/>
          <w:bCs w:val="1"/>
          <w:color w:val="auto"/>
        </w:rPr>
        <w:t xml:space="preserve"> </w:t>
      </w:r>
      <w:r>
        <w:rPr>
          <w:rFonts w:ascii="Arial" w:cs="Arial" w:eastAsia="Arial" w:hAnsi="Arial"/>
          <w:sz w:val="18"/>
          <w:szCs w:val="18"/>
          <w:color w:val="auto"/>
        </w:rPr>
        <w:t>87 percent. Enclave, which began the transformation of Buick, increased its sales by 10 percent.</w:t>
      </w:r>
    </w:p>
    <w:p>
      <w:pPr>
        <w:spacing w:after="0" w:line="12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Month-end dealer inventory in the United States was 558,157 units. GM’s full-size truck inventory was 208,650 full-size pickup trucks, which equates to an 88-days supply. GM is on track to meet its target of ending 2011 with a full-size pickup inventory of about 200,000 units.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GM continues to expect that the full-year U.S. vehicle sales will be in the low end of our 13.0 million – 13.5 million unit range, given seasonally strong sales and the fact that some of the company’s domestic and Japanese competitors have largely resolved their production issues.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i w:val="1"/>
                <w:iCs w:val="1"/>
                <w:color w:val="auto"/>
                <w:w w:val="80"/>
              </w:rPr>
              <w:t>Sept. 2011</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7"/>
              </w:rPr>
              <w:t>CYTD Total</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9"/>
              </w:rPr>
              <w:t>CYTD Retail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rPr>
              <w:t>Sept. 2011</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auto"/>
                <w:w w:val="83"/>
              </w:rPr>
              <w:t>Total</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83"/>
              </w:rPr>
              <w:t>Retail Sales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CYTD Total</w:t>
            </w:r>
          </w:p>
        </w:tc>
        <w:tc>
          <w:tcPr>
            <w:tcW w:w="3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8"/>
              </w:rPr>
              <w:t>Sales Highlights</w:t>
            </w:r>
          </w:p>
        </w:tc>
        <w:tc>
          <w:tcPr>
            <w:tcW w:w="406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Total Sales</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auto"/>
                <w:w w:val="80"/>
              </w:rPr>
              <w:t>Change vs.</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auto"/>
                <w:w w:val="76"/>
              </w:rPr>
              <w:t>vs. Sept.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3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82"/>
              </w:rPr>
              <w:t>Change vs.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2"/>
              </w:rPr>
              <w:t>Change vs.</w:t>
            </w:r>
          </w:p>
        </w:tc>
        <w:tc>
          <w:tcPr>
            <w:tcW w:w="0" w:type="dxa"/>
            <w:vAlign w:val="bottom"/>
          </w:tcPr>
          <w:p>
            <w:pPr>
              <w:spacing w:after="0"/>
              <w:rPr>
                <w:sz w:val="1"/>
                <w:szCs w:val="1"/>
                <w:color w:val="auto"/>
              </w:rPr>
            </w:pPr>
          </w:p>
        </w:tc>
      </w:tr>
      <w:tr>
        <w:trPr>
          <w:trHeight w:val="153"/>
        </w:trPr>
        <w:tc>
          <w:tcPr>
            <w:tcW w:w="980" w:type="dxa"/>
            <w:vAlign w:val="bottom"/>
            <w:gridSpan w:val="2"/>
            <w:vMerge w:val="continue"/>
          </w:tcPr>
          <w:p>
            <w:pPr>
              <w:spacing w:after="0"/>
              <w:rPr>
                <w:sz w:val="13"/>
                <w:szCs w:val="13"/>
                <w:color w:val="auto"/>
              </w:rPr>
            </w:pPr>
          </w:p>
        </w:tc>
        <w:tc>
          <w:tcPr>
            <w:tcW w:w="4060" w:type="dxa"/>
            <w:vAlign w:val="bottom"/>
          </w:tcPr>
          <w:p>
            <w:pPr>
              <w:spacing w:after="0"/>
              <w:rPr>
                <w:sz w:val="13"/>
                <w:szCs w:val="13"/>
                <w:color w:val="auto"/>
              </w:rPr>
            </w:pPr>
          </w:p>
        </w:tc>
        <w:tc>
          <w:tcPr>
            <w:tcW w:w="1000" w:type="dxa"/>
            <w:vAlign w:val="bottom"/>
            <w:gridSpan w:val="2"/>
          </w:tcPr>
          <w:p>
            <w:pPr>
              <w:ind w:left="40"/>
              <w:spacing w:after="0" w:line="146" w:lineRule="exact"/>
              <w:rPr>
                <w:sz w:val="20"/>
                <w:szCs w:val="20"/>
                <w:color w:val="auto"/>
              </w:rPr>
            </w:pPr>
            <w:r>
              <w:rPr>
                <w:rFonts w:ascii="Arial" w:cs="Arial" w:eastAsia="Arial" w:hAnsi="Arial"/>
                <w:sz w:val="14"/>
                <w:szCs w:val="14"/>
                <w:b w:val="1"/>
                <w:bCs w:val="1"/>
                <w:i w:val="1"/>
                <w:iCs w:val="1"/>
                <w:color w:val="auto"/>
              </w:rPr>
              <w:t>(vehicles)</w:t>
            </w:r>
          </w:p>
        </w:tc>
        <w:tc>
          <w:tcPr>
            <w:tcW w:w="1080" w:type="dxa"/>
            <w:vAlign w:val="bottom"/>
            <w:gridSpan w:val="2"/>
          </w:tcPr>
          <w:p>
            <w:pPr>
              <w:jc w:val="center"/>
              <w:ind w:right="460"/>
              <w:spacing w:after="0" w:line="146" w:lineRule="exact"/>
              <w:rPr>
                <w:sz w:val="20"/>
                <w:szCs w:val="20"/>
                <w:color w:val="auto"/>
              </w:rPr>
            </w:pPr>
            <w:r>
              <w:rPr>
                <w:rFonts w:ascii="Arial" w:cs="Arial" w:eastAsia="Arial" w:hAnsi="Arial"/>
                <w:sz w:val="14"/>
                <w:szCs w:val="14"/>
                <w:b w:val="1"/>
                <w:bCs w:val="1"/>
                <w:i w:val="1"/>
                <w:iCs w:val="1"/>
                <w:color w:val="auto"/>
                <w:w w:val="83"/>
              </w:rPr>
              <w:t>Sept. 2010</w:t>
            </w:r>
          </w:p>
        </w:tc>
        <w:tc>
          <w:tcPr>
            <w:tcW w:w="6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2010</w:t>
            </w:r>
          </w:p>
        </w:tc>
        <w:tc>
          <w:tcPr>
            <w:tcW w:w="460" w:type="dxa"/>
            <w:vAlign w:val="bottom"/>
          </w:tcPr>
          <w:p>
            <w:pPr>
              <w:spacing w:after="0"/>
              <w:rPr>
                <w:sz w:val="13"/>
                <w:szCs w:val="13"/>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(vehicles)</w:t>
            </w:r>
          </w:p>
        </w:tc>
        <w:tc>
          <w:tcPr>
            <w:tcW w:w="1040" w:type="dxa"/>
            <w:vAlign w:val="bottom"/>
            <w:gridSpan w:val="2"/>
          </w:tcPr>
          <w:p>
            <w:pPr>
              <w:jc w:val="center"/>
              <w:ind w:left="296"/>
              <w:spacing w:after="0" w:line="146" w:lineRule="exact"/>
              <w:rPr>
                <w:sz w:val="20"/>
                <w:szCs w:val="20"/>
                <w:color w:val="auto"/>
              </w:rPr>
            </w:pPr>
            <w:r>
              <w:rPr>
                <w:rFonts w:ascii="Arial" w:cs="Arial" w:eastAsia="Arial" w:hAnsi="Arial"/>
                <w:sz w:val="14"/>
                <w:szCs w:val="14"/>
                <w:b w:val="1"/>
                <w:bCs w:val="1"/>
                <w:i w:val="1"/>
                <w:iCs w:val="1"/>
                <w:color w:val="auto"/>
                <w:w w:val="83"/>
              </w:rPr>
              <w:t>2010</w:t>
            </w:r>
          </w:p>
        </w:tc>
        <w:tc>
          <w:tcPr>
            <w:tcW w:w="460" w:type="dxa"/>
            <w:vAlign w:val="bottom"/>
          </w:tcPr>
          <w:p>
            <w:pPr>
              <w:spacing w:after="0"/>
              <w:rPr>
                <w:sz w:val="13"/>
                <w:szCs w:val="13"/>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2010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Chevrolet</w:t>
            </w:r>
          </w:p>
        </w:tc>
        <w:tc>
          <w:tcPr>
            <w:tcW w:w="5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147,611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1,353,943</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22"/>
        </w:trPr>
        <w:tc>
          <w:tcPr>
            <w:tcW w:w="980" w:type="dxa"/>
            <w:vAlign w:val="bottom"/>
            <w:gridSpan w:val="2"/>
          </w:tcPr>
          <w:p>
            <w:pPr>
              <w:spacing w:after="0"/>
              <w:rPr>
                <w:sz w:val="20"/>
                <w:szCs w:val="20"/>
                <w:color w:val="auto"/>
              </w:rPr>
            </w:pPr>
            <w:r>
              <w:rPr>
                <w:rFonts w:ascii="Arial" w:cs="Arial" w:eastAsia="Arial" w:hAnsi="Arial"/>
                <w:sz w:val="18"/>
                <w:szCs w:val="18"/>
                <w:i w:val="1"/>
                <w:iCs w:val="1"/>
                <w:color w:val="auto"/>
              </w:rPr>
              <w:t>GMC</w:t>
            </w:r>
          </w:p>
        </w:tc>
        <w:tc>
          <w:tcPr>
            <w:tcW w:w="5060" w:type="dxa"/>
            <w:vAlign w:val="bottom"/>
            <w:gridSpan w:val="3"/>
          </w:tcPr>
          <w:p>
            <w:pPr>
              <w:jc w:val="right"/>
              <w:ind w:right="380"/>
              <w:spacing w:after="0"/>
              <w:rPr>
                <w:sz w:val="20"/>
                <w:szCs w:val="20"/>
                <w:color w:val="auto"/>
              </w:rPr>
            </w:pPr>
            <w:r>
              <w:rPr>
                <w:rFonts w:ascii="Arial" w:cs="Arial" w:eastAsia="Arial" w:hAnsi="Arial"/>
                <w:sz w:val="18"/>
                <w:szCs w:val="18"/>
                <w:color w:val="auto"/>
              </w:rPr>
              <w:t>33,194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740" w:type="dxa"/>
            <w:vAlign w:val="bottom"/>
          </w:tcPr>
          <w:p>
            <w:pPr>
              <w:jc w:val="right"/>
              <w:spacing w:after="0"/>
              <w:rPr>
                <w:sz w:val="20"/>
                <w:szCs w:val="20"/>
                <w:color w:val="auto"/>
              </w:rPr>
            </w:pPr>
            <w:r>
              <w:rPr>
                <w:rFonts w:ascii="Arial" w:cs="Arial" w:eastAsia="Arial" w:hAnsi="Arial"/>
                <w:sz w:val="18"/>
                <w:szCs w:val="18"/>
                <w:color w:val="auto"/>
              </w:rPr>
              <w:t>294,947</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Buick</w:t>
            </w:r>
          </w:p>
        </w:tc>
        <w:tc>
          <w:tcPr>
            <w:tcW w:w="5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13,599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140,092</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323"/>
        </w:trPr>
        <w:tc>
          <w:tcPr>
            <w:tcW w:w="980" w:type="dxa"/>
            <w:vAlign w:val="bottom"/>
            <w:gridSpan w:val="2"/>
          </w:tcPr>
          <w:p>
            <w:pPr>
              <w:spacing w:after="0"/>
              <w:rPr>
                <w:sz w:val="20"/>
                <w:szCs w:val="20"/>
                <w:color w:val="auto"/>
              </w:rPr>
            </w:pPr>
            <w:r>
              <w:rPr>
                <w:rFonts w:ascii="Arial" w:cs="Arial" w:eastAsia="Arial" w:hAnsi="Arial"/>
                <w:sz w:val="18"/>
                <w:szCs w:val="18"/>
                <w:i w:val="1"/>
                <w:iCs w:val="1"/>
                <w:color w:val="auto"/>
              </w:rPr>
              <w:t>Cadillac</w:t>
            </w:r>
          </w:p>
        </w:tc>
        <w:tc>
          <w:tcPr>
            <w:tcW w:w="5060" w:type="dxa"/>
            <w:vAlign w:val="bottom"/>
            <w:gridSpan w:val="3"/>
          </w:tcPr>
          <w:p>
            <w:pPr>
              <w:jc w:val="right"/>
              <w:ind w:right="380"/>
              <w:spacing w:after="0"/>
              <w:rPr>
                <w:sz w:val="20"/>
                <w:szCs w:val="20"/>
                <w:color w:val="auto"/>
              </w:rPr>
            </w:pPr>
            <w:r>
              <w:rPr>
                <w:rFonts w:ascii="Arial" w:cs="Arial" w:eastAsia="Arial" w:hAnsi="Arial"/>
                <w:sz w:val="18"/>
                <w:szCs w:val="18"/>
                <w:color w:val="auto"/>
              </w:rPr>
              <w:t>12,741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740" w:type="dxa"/>
            <w:vAlign w:val="bottom"/>
          </w:tcPr>
          <w:p>
            <w:pPr>
              <w:jc w:val="right"/>
              <w:spacing w:after="0"/>
              <w:rPr>
                <w:sz w:val="20"/>
                <w:szCs w:val="20"/>
                <w:color w:val="auto"/>
              </w:rPr>
            </w:pPr>
            <w:r>
              <w:rPr>
                <w:rFonts w:ascii="Arial" w:cs="Arial" w:eastAsia="Arial" w:hAnsi="Arial"/>
                <w:sz w:val="18"/>
                <w:szCs w:val="18"/>
                <w:color w:val="auto"/>
              </w:rPr>
              <w:t>113,190</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7.8%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207,145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1,902,172</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Days Supply</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Days Supply</w:t>
            </w:r>
          </w:p>
        </w:tc>
        <w:tc>
          <w:tcPr>
            <w:tcW w:w="0" w:type="dxa"/>
            <w:vAlign w:val="bottom"/>
          </w:tcPr>
          <w:p>
            <w:pPr>
              <w:spacing w:after="0"/>
              <w:rPr>
                <w:sz w:val="1"/>
                <w:szCs w:val="1"/>
                <w:color w:val="auto"/>
              </w:rPr>
            </w:pPr>
          </w:p>
        </w:tc>
      </w:tr>
      <w:tr>
        <w:trPr>
          <w:trHeight w:val="149"/>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Inventory</w:t>
            </w: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Units @</w:t>
            </w:r>
          </w:p>
        </w:tc>
        <w:tc>
          <w:tcPr>
            <w:tcW w:w="13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2"/>
              </w:rPr>
              <w:t>(selling days</w:t>
            </w: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Units @</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(selling days</w:t>
            </w:r>
          </w:p>
        </w:tc>
        <w:tc>
          <w:tcPr>
            <w:tcW w:w="0" w:type="dxa"/>
            <w:vAlign w:val="bottom"/>
          </w:tcPr>
          <w:p>
            <w:pPr>
              <w:spacing w:after="0"/>
              <w:rPr>
                <w:sz w:val="1"/>
                <w:szCs w:val="1"/>
                <w:color w:val="auto"/>
              </w:rPr>
            </w:pPr>
          </w:p>
        </w:tc>
      </w:tr>
      <w:tr>
        <w:trPr>
          <w:trHeight w:val="155"/>
        </w:trPr>
        <w:tc>
          <w:tcPr>
            <w:tcW w:w="5540" w:type="dxa"/>
            <w:vAlign w:val="bottom"/>
            <w:gridSpan w:val="3"/>
            <w:vMerge w:val="continue"/>
          </w:tcPr>
          <w:p>
            <w:pPr>
              <w:spacing w:after="0"/>
              <w:rPr>
                <w:sz w:val="13"/>
                <w:szCs w:val="13"/>
                <w:color w:val="auto"/>
              </w:rPr>
            </w:pPr>
          </w:p>
        </w:tc>
        <w:tc>
          <w:tcPr>
            <w:tcW w:w="140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4"/>
              </w:rPr>
              <w:t>Sept. 30, 2011</w:t>
            </w:r>
          </w:p>
        </w:tc>
        <w:tc>
          <w:tcPr>
            <w:tcW w:w="13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adjusted)</w:t>
            </w:r>
          </w:p>
        </w:tc>
        <w:tc>
          <w:tcPr>
            <w:tcW w:w="140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4"/>
              </w:rPr>
              <w:t>Aug. 31, 2011</w:t>
            </w: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All Vehicles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558,157</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556,884</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Full-size Pickups</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208,650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88</w:t>
            </w:r>
          </w:p>
        </w:tc>
        <w:tc>
          <w:tcPr>
            <w:tcW w:w="780" w:type="dxa"/>
            <w:vAlign w:val="bottom"/>
          </w:tcPr>
          <w:p>
            <w:pPr>
              <w:jc w:val="right"/>
              <w:spacing w:after="0"/>
              <w:rPr>
                <w:sz w:val="20"/>
                <w:szCs w:val="20"/>
                <w:color w:val="auto"/>
              </w:rPr>
            </w:pPr>
            <w:r>
              <w:rPr>
                <w:rFonts w:ascii="Arial" w:cs="Arial" w:eastAsia="Arial" w:hAnsi="Arial"/>
                <w:sz w:val="18"/>
                <w:szCs w:val="18"/>
                <w:color w:val="auto"/>
              </w:rPr>
              <w:t>212,520</w:t>
            </w:r>
          </w:p>
        </w:tc>
        <w:tc>
          <w:tcPr>
            <w:tcW w:w="6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 General Motors (NYSE: GM, TSX: GMM), one of the world’s largest automakers, traces its roots back to 1908. With its global</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headquarters in Detroit, GM employs 208,000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The global Chevrolet brand is celebrating its 100</w:t>
      </w:r>
      <w:r>
        <w:rPr>
          <w:rFonts w:ascii="Arial" w:cs="Arial" w:eastAsia="Arial" w:hAnsi="Arial"/>
          <w:sz w:val="10"/>
          <w:szCs w:val="10"/>
          <w:color w:val="auto"/>
        </w:rPr>
        <w:t>th</w:t>
      </w:r>
      <w:r>
        <w:rPr>
          <w:rFonts w:ascii="Arial" w:cs="Arial" w:eastAsia="Arial" w:hAnsi="Arial"/>
          <w:sz w:val="16"/>
          <w:szCs w:val="16"/>
          <w:color w:val="auto"/>
        </w:rPr>
        <w:t xml:space="preserve"> anniversary in 2011.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james.cain@gm.com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26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September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Curr: 25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97"/>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280"/>
              <w:spacing w:after="0" w:line="146" w:lineRule="exact"/>
              <w:rPr>
                <w:sz w:val="20"/>
                <w:szCs w:val="20"/>
                <w:color w:val="auto"/>
              </w:rPr>
            </w:pPr>
            <w:r>
              <w:rPr>
                <w:rFonts w:ascii="Arial" w:cs="Arial" w:eastAsia="Arial" w:hAnsi="Arial"/>
                <w:sz w:val="14"/>
                <w:szCs w:val="14"/>
                <w:color w:val="auto"/>
                <w:w w:val="78"/>
              </w:rPr>
              <w:t>September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left="397"/>
              <w:spacing w:after="0" w:line="146" w:lineRule="exact"/>
              <w:rPr>
                <w:sz w:val="20"/>
                <w:szCs w:val="20"/>
                <w:color w:val="auto"/>
              </w:rPr>
            </w:pPr>
            <w:r>
              <w:rPr>
                <w:rFonts w:ascii="Arial" w:cs="Arial" w:eastAsia="Arial" w:hAnsi="Arial"/>
                <w:sz w:val="14"/>
                <w:szCs w:val="14"/>
                <w:color w:val="auto"/>
                <w:w w:val="85"/>
              </w:rPr>
              <w:t>January - September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Prev: 25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9"/>
              </w:rPr>
              <w:t>%Chg</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9"/>
              </w:rPr>
              <w:t>%Chg</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jc w:val="right"/>
              <w:ind w:right="95"/>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640" w:type="dxa"/>
            <w:vAlign w:val="bottom"/>
          </w:tcPr>
          <w:p>
            <w:pPr>
              <w:jc w:val="right"/>
              <w:ind w:right="96"/>
              <w:spacing w:after="0" w:line="146"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760" w:type="dxa"/>
            <w:vAlign w:val="bottom"/>
          </w:tcPr>
          <w:p>
            <w:pPr>
              <w:jc w:val="right"/>
              <w:ind w:right="155"/>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 Total</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207,145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173,155</w:t>
            </w:r>
          </w:p>
        </w:tc>
        <w:tc>
          <w:tcPr>
            <w:tcW w:w="2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1,902,172</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1,638,544</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207,145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172,969</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1,902,172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1,626,899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596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%Chg</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%Chg</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3"/>
                <w:szCs w:val="13"/>
                <w:color w:val="auto"/>
              </w:rPr>
            </w:pPr>
          </w:p>
        </w:tc>
        <w:tc>
          <w:tcPr>
            <w:tcW w:w="6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Buick Total</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12,741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12,620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113,190</w:t>
            </w:r>
          </w:p>
        </w:tc>
        <w:tc>
          <w:tcPr>
            <w:tcW w:w="760" w:type="dxa"/>
            <w:vAlign w:val="bottom"/>
          </w:tcPr>
          <w:p>
            <w:pPr>
              <w:jc w:val="right"/>
              <w:spacing w:after="0"/>
              <w:rPr>
                <w:sz w:val="20"/>
                <w:szCs w:val="20"/>
                <w:color w:val="auto"/>
              </w:rPr>
            </w:pPr>
            <w:r>
              <w:rPr>
                <w:rFonts w:ascii="Arial" w:cs="Arial" w:eastAsia="Arial" w:hAnsi="Arial"/>
                <w:sz w:val="18"/>
                <w:szCs w:val="18"/>
                <w:color w:val="auto"/>
              </w:rPr>
              <w:t>105,013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147,611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121,479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1,353,943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1,175,790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33,194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25,995</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294,947</w:t>
            </w:r>
          </w:p>
        </w:tc>
        <w:tc>
          <w:tcPr>
            <w:tcW w:w="760" w:type="dxa"/>
            <w:vAlign w:val="bottom"/>
          </w:tcPr>
          <w:p>
            <w:pPr>
              <w:jc w:val="right"/>
              <w:spacing w:after="0"/>
              <w:rPr>
                <w:sz w:val="20"/>
                <w:szCs w:val="20"/>
                <w:color w:val="auto"/>
              </w:rPr>
            </w:pPr>
            <w:r>
              <w:rPr>
                <w:rFonts w:ascii="Arial" w:cs="Arial" w:eastAsia="Arial" w:hAnsi="Arial"/>
                <w:sz w:val="18"/>
                <w:szCs w:val="18"/>
                <w:color w:val="auto"/>
              </w:rPr>
              <w:t>232,096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207,145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172,969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1,902,172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1,626,899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3,507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11,645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207,145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173,155</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1,902,172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1,638,544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Twenty-five selling days for the September period this year and twenty-five for last year.</w:t>
      </w:r>
    </w:p>
    <w:p>
      <w:pPr>
        <w:spacing w:after="0" w:line="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205"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September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93"/>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13"/>
              <w:spacing w:after="0" w:line="159" w:lineRule="exact"/>
              <w:rPr>
                <w:sz w:val="20"/>
                <w:szCs w:val="20"/>
                <w:color w:val="auto"/>
              </w:rPr>
            </w:pPr>
            <w:r>
              <w:rPr>
                <w:rFonts w:ascii="Arial" w:cs="Arial" w:eastAsia="Arial" w:hAnsi="Arial"/>
                <w:sz w:val="14"/>
                <w:szCs w:val="14"/>
                <w:color w:val="auto"/>
              </w:rPr>
              <w:t>September</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Borders>
              <w:bottom w:val="single" w:sz="8" w:color="auto"/>
            </w:tcBorders>
            <w:gridSpan w:val="4"/>
          </w:tcPr>
          <w:p>
            <w:pPr>
              <w:jc w:val="center"/>
              <w:ind w:left="393"/>
              <w:spacing w:after="0" w:line="159" w:lineRule="exact"/>
              <w:rPr>
                <w:sz w:val="20"/>
                <w:szCs w:val="20"/>
                <w:color w:val="auto"/>
              </w:rPr>
            </w:pPr>
            <w:r>
              <w:rPr>
                <w:rFonts w:ascii="Arial" w:cs="Arial" w:eastAsia="Arial" w:hAnsi="Arial"/>
                <w:sz w:val="14"/>
                <w:szCs w:val="14"/>
                <w:color w:val="auto"/>
                <w:w w:val="85"/>
              </w:rPr>
              <w:t>January - September</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1" w:lineRule="exact"/>
              <w:rPr>
                <w:sz w:val="20"/>
                <w:szCs w:val="20"/>
                <w:color w:val="auto"/>
              </w:rPr>
            </w:pPr>
            <w:r>
              <w:rPr>
                <w:rFonts w:ascii="Arial" w:cs="Arial" w:eastAsia="Arial" w:hAnsi="Arial"/>
                <w:sz w:val="14"/>
                <w:szCs w:val="14"/>
                <w:color w:val="auto"/>
                <w:w w:val="90"/>
              </w:rPr>
              <w:t>% Chg</w:t>
            </w:r>
          </w:p>
        </w:tc>
        <w:tc>
          <w:tcPr>
            <w:tcW w:w="22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Arial" w:cs="Arial" w:eastAsia="Arial" w:hAnsi="Arial"/>
                <w:sz w:val="14"/>
                <w:szCs w:val="14"/>
                <w:color w:val="auto"/>
                <w:w w:val="83"/>
              </w:rPr>
              <w:t>%Chg per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4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4"/>
              </w:rPr>
              <w:t>Volume</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S/D</w:t>
            </w: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Days (S/D)</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4,868</w:t>
            </w:r>
          </w:p>
        </w:tc>
        <w:tc>
          <w:tcPr>
            <w:tcW w:w="620" w:type="dxa"/>
            <w:vAlign w:val="bottom"/>
          </w:tcPr>
          <w:p>
            <w:pPr>
              <w:jc w:val="right"/>
              <w:spacing w:after="0"/>
              <w:rPr>
                <w:sz w:val="20"/>
                <w:szCs w:val="20"/>
                <w:color w:val="auto"/>
              </w:rPr>
            </w:pPr>
            <w:r>
              <w:rPr>
                <w:rFonts w:ascii="Arial" w:cs="Arial" w:eastAsia="Arial" w:hAnsi="Arial"/>
                <w:sz w:val="18"/>
                <w:szCs w:val="18"/>
                <w:color w:val="auto"/>
              </w:rPr>
              <w:t>4,408</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44,404</w:t>
            </w:r>
          </w:p>
        </w:tc>
        <w:tc>
          <w:tcPr>
            <w:tcW w:w="760" w:type="dxa"/>
            <w:vAlign w:val="bottom"/>
          </w:tcPr>
          <w:p>
            <w:pPr>
              <w:jc w:val="right"/>
              <w:spacing w:after="0"/>
              <w:rPr>
                <w:sz w:val="20"/>
                <w:szCs w:val="20"/>
                <w:color w:val="auto"/>
              </w:rPr>
            </w:pPr>
            <w:r>
              <w:rPr>
                <w:rFonts w:ascii="Arial" w:cs="Arial" w:eastAsia="Arial" w:hAnsi="Arial"/>
                <w:sz w:val="18"/>
                <w:szCs w:val="18"/>
                <w:color w:val="auto"/>
              </w:rPr>
              <w:t>40,289</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Lucerne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1,068</w:t>
            </w:r>
          </w:p>
        </w:tc>
        <w:tc>
          <w:tcPr>
            <w:tcW w:w="620" w:type="dxa"/>
            <w:vAlign w:val="bottom"/>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-45.2</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-45.2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17,973</w:t>
            </w:r>
          </w:p>
        </w:tc>
        <w:tc>
          <w:tcPr>
            <w:tcW w:w="760" w:type="dxa"/>
            <w:vAlign w:val="bottom"/>
          </w:tcPr>
          <w:p>
            <w:pPr>
              <w:jc w:val="right"/>
              <w:spacing w:after="0"/>
              <w:rPr>
                <w:sz w:val="20"/>
                <w:szCs w:val="20"/>
                <w:color w:val="auto"/>
              </w:rPr>
            </w:pPr>
            <w:r>
              <w:rPr>
                <w:rFonts w:ascii="Arial" w:cs="Arial" w:eastAsia="Arial" w:hAnsi="Arial"/>
                <w:sz w:val="18"/>
                <w:szCs w:val="18"/>
                <w:color w:val="auto"/>
              </w:rPr>
              <w:t>20,521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640" w:type="dxa"/>
            <w:vAlign w:val="bottom"/>
          </w:tcPr>
          <w:p>
            <w:pPr>
              <w:jc w:val="right"/>
              <w:spacing w:after="0"/>
              <w:rPr>
                <w:sz w:val="20"/>
                <w:szCs w:val="20"/>
                <w:color w:val="auto"/>
              </w:rPr>
            </w:pPr>
            <w:r>
              <w:rPr>
                <w:rFonts w:ascii="Arial" w:cs="Arial" w:eastAsia="Arial" w:hAnsi="Arial"/>
                <w:sz w:val="18"/>
                <w:szCs w:val="18"/>
                <w:color w:val="auto"/>
              </w:rPr>
              <w:t>13,599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12,875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140,092</w:t>
            </w:r>
          </w:p>
        </w:tc>
        <w:tc>
          <w:tcPr>
            <w:tcW w:w="760" w:type="dxa"/>
            <w:vAlign w:val="bottom"/>
          </w:tcPr>
          <w:p>
            <w:pPr>
              <w:jc w:val="right"/>
              <w:spacing w:after="0"/>
              <w:rPr>
                <w:sz w:val="20"/>
                <w:szCs w:val="20"/>
                <w:color w:val="auto"/>
              </w:rPr>
            </w:pPr>
            <w:r>
              <w:rPr>
                <w:rFonts w:ascii="Arial" w:cs="Arial" w:eastAsia="Arial" w:hAnsi="Arial"/>
                <w:sz w:val="18"/>
                <w:szCs w:val="18"/>
                <w:color w:val="auto"/>
              </w:rPr>
              <w:t>114,000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DTS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620" w:type="dxa"/>
            <w:vAlign w:val="bottom"/>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-68.8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10,755</w:t>
            </w:r>
          </w:p>
        </w:tc>
        <w:tc>
          <w:tcPr>
            <w:tcW w:w="760" w:type="dxa"/>
            <w:vAlign w:val="bottom"/>
          </w:tcPr>
          <w:p>
            <w:pPr>
              <w:jc w:val="right"/>
              <w:spacing w:after="0"/>
              <w:rPr>
                <w:sz w:val="20"/>
                <w:szCs w:val="20"/>
                <w:color w:val="auto"/>
              </w:rPr>
            </w:pPr>
            <w:r>
              <w:rPr>
                <w:rFonts w:ascii="Arial" w:cs="Arial" w:eastAsia="Arial" w:hAnsi="Arial"/>
                <w:sz w:val="18"/>
                <w:szCs w:val="18"/>
                <w:color w:val="auto"/>
              </w:rPr>
              <w:t>13,987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Escalade ESV</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713</w:t>
            </w: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5,770</w:t>
            </w:r>
          </w:p>
        </w:tc>
        <w:tc>
          <w:tcPr>
            <w:tcW w:w="760" w:type="dxa"/>
            <w:vAlign w:val="bottom"/>
          </w:tcPr>
          <w:p>
            <w:pPr>
              <w:jc w:val="right"/>
              <w:spacing w:after="0"/>
              <w:rPr>
                <w:sz w:val="20"/>
                <w:szCs w:val="20"/>
                <w:color w:val="auto"/>
              </w:rPr>
            </w:pPr>
            <w:r>
              <w:rPr>
                <w:rFonts w:ascii="Arial" w:cs="Arial" w:eastAsia="Arial" w:hAnsi="Arial"/>
                <w:sz w:val="18"/>
                <w:szCs w:val="18"/>
                <w:color w:val="auto"/>
              </w:rPr>
              <w:t>5,698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SRX</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4,901</w:t>
            </w:r>
          </w:p>
        </w:tc>
        <w:tc>
          <w:tcPr>
            <w:tcW w:w="620" w:type="dxa"/>
            <w:vAlign w:val="bottom"/>
          </w:tcPr>
          <w:p>
            <w:pPr>
              <w:jc w:val="right"/>
              <w:spacing w:after="0"/>
              <w:rPr>
                <w:sz w:val="20"/>
                <w:szCs w:val="20"/>
                <w:color w:val="auto"/>
              </w:rPr>
            </w:pPr>
            <w:r>
              <w:rPr>
                <w:rFonts w:ascii="Arial" w:cs="Arial" w:eastAsia="Arial" w:hAnsi="Arial"/>
                <w:sz w:val="18"/>
                <w:szCs w:val="18"/>
                <w:color w:val="auto"/>
              </w:rPr>
              <w:t>4,027</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21.7</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21.7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39,861</w:t>
            </w:r>
          </w:p>
        </w:tc>
        <w:tc>
          <w:tcPr>
            <w:tcW w:w="760" w:type="dxa"/>
            <w:vAlign w:val="bottom"/>
          </w:tcPr>
          <w:p>
            <w:pPr>
              <w:jc w:val="right"/>
              <w:spacing w:after="0"/>
              <w:rPr>
                <w:sz w:val="20"/>
                <w:szCs w:val="20"/>
                <w:color w:val="auto"/>
              </w:rPr>
            </w:pPr>
            <w:r>
              <w:rPr>
                <w:rFonts w:ascii="Arial" w:cs="Arial" w:eastAsia="Arial" w:hAnsi="Arial"/>
                <w:sz w:val="18"/>
                <w:szCs w:val="18"/>
                <w:color w:val="auto"/>
              </w:rPr>
              <w:t>36,730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XLR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1,760</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13,989</w:t>
            </w:r>
          </w:p>
        </w:tc>
        <w:tc>
          <w:tcPr>
            <w:tcW w:w="760" w:type="dxa"/>
            <w:vAlign w:val="bottom"/>
          </w:tcPr>
          <w:p>
            <w:pPr>
              <w:jc w:val="right"/>
              <w:spacing w:after="0"/>
              <w:rPr>
                <w:sz w:val="20"/>
                <w:szCs w:val="20"/>
                <w:color w:val="auto"/>
              </w:rPr>
            </w:pPr>
            <w:r>
              <w:rPr>
                <w:rFonts w:ascii="Arial" w:cs="Arial" w:eastAsia="Arial" w:hAnsi="Arial"/>
                <w:sz w:val="18"/>
                <w:szCs w:val="18"/>
                <w:color w:val="auto"/>
              </w:rPr>
              <w:t>15,028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Camaro</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6,994</w:t>
            </w:r>
          </w:p>
        </w:tc>
        <w:tc>
          <w:tcPr>
            <w:tcW w:w="620" w:type="dxa"/>
            <w:vAlign w:val="bottom"/>
          </w:tcPr>
          <w:p>
            <w:pPr>
              <w:jc w:val="right"/>
              <w:spacing w:after="0"/>
              <w:rPr>
                <w:sz w:val="20"/>
                <w:szCs w:val="20"/>
                <w:color w:val="auto"/>
              </w:rPr>
            </w:pPr>
            <w:r>
              <w:rPr>
                <w:rFonts w:ascii="Arial" w:cs="Arial" w:eastAsia="Arial" w:hAnsi="Arial"/>
                <w:sz w:val="18"/>
                <w:szCs w:val="18"/>
                <w:color w:val="auto"/>
              </w:rPr>
              <w:t>6,323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70,249</w:t>
            </w:r>
          </w:p>
        </w:tc>
        <w:tc>
          <w:tcPr>
            <w:tcW w:w="760" w:type="dxa"/>
            <w:vAlign w:val="bottom"/>
          </w:tcPr>
          <w:p>
            <w:pPr>
              <w:jc w:val="right"/>
              <w:spacing w:after="0"/>
              <w:rPr>
                <w:sz w:val="20"/>
                <w:szCs w:val="20"/>
                <w:color w:val="auto"/>
              </w:rPr>
            </w:pPr>
            <w:r>
              <w:rPr>
                <w:rFonts w:ascii="Arial" w:cs="Arial" w:eastAsia="Arial" w:hAnsi="Arial"/>
                <w:sz w:val="18"/>
                <w:szCs w:val="18"/>
                <w:color w:val="auto"/>
              </w:rPr>
              <w:t>66,508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Caprice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Chevy C/T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Cobalt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620" w:type="dxa"/>
            <w:vAlign w:val="bottom"/>
          </w:tcPr>
          <w:p>
            <w:pPr>
              <w:jc w:val="right"/>
              <w:spacing w:after="0"/>
              <w:rPr>
                <w:sz w:val="20"/>
                <w:szCs w:val="20"/>
                <w:color w:val="auto"/>
              </w:rPr>
            </w:pPr>
            <w:r>
              <w:rPr>
                <w:rFonts w:ascii="Arial" w:cs="Arial" w:eastAsia="Arial" w:hAnsi="Arial"/>
                <w:sz w:val="18"/>
                <w:szCs w:val="18"/>
                <w:color w:val="auto"/>
              </w:rPr>
              <w:t>3,462</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-99.9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760" w:type="dxa"/>
            <w:vAlign w:val="bottom"/>
          </w:tcPr>
          <w:p>
            <w:pPr>
              <w:jc w:val="right"/>
              <w:spacing w:after="0"/>
              <w:rPr>
                <w:sz w:val="20"/>
                <w:szCs w:val="20"/>
                <w:color w:val="auto"/>
              </w:rPr>
            </w:pPr>
            <w:r>
              <w:rPr>
                <w:rFonts w:ascii="Arial" w:cs="Arial" w:eastAsia="Arial" w:hAnsi="Arial"/>
                <w:sz w:val="18"/>
                <w:szCs w:val="18"/>
                <w:color w:val="auto"/>
              </w:rPr>
              <w:t>93,838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Corvette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1,147</w:t>
            </w:r>
          </w:p>
        </w:tc>
        <w:tc>
          <w:tcPr>
            <w:tcW w:w="620" w:type="dxa"/>
            <w:vAlign w:val="bottom"/>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10,270</w:t>
            </w:r>
          </w:p>
        </w:tc>
        <w:tc>
          <w:tcPr>
            <w:tcW w:w="760" w:type="dxa"/>
            <w:vAlign w:val="bottom"/>
          </w:tcPr>
          <w:p>
            <w:pPr>
              <w:jc w:val="right"/>
              <w:spacing w:after="0"/>
              <w:rPr>
                <w:sz w:val="20"/>
                <w:szCs w:val="20"/>
                <w:color w:val="auto"/>
              </w:rPr>
            </w:pPr>
            <w:r>
              <w:rPr>
                <w:rFonts w:ascii="Arial" w:cs="Arial" w:eastAsia="Arial" w:hAnsi="Arial"/>
                <w:sz w:val="18"/>
                <w:szCs w:val="18"/>
                <w:color w:val="auto"/>
              </w:rPr>
              <w:t>9,798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Cruze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Equinox</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15,497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11,658</w:t>
            </w:r>
          </w:p>
        </w:tc>
        <w:tc>
          <w:tcPr>
            <w:tcW w:w="440" w:type="dxa"/>
            <w:vAlign w:val="bottom"/>
          </w:tcPr>
          <w:p>
            <w:pPr>
              <w:jc w:val="right"/>
              <w:spacing w:after="0"/>
              <w:rPr>
                <w:sz w:val="20"/>
                <w:szCs w:val="20"/>
                <w:color w:val="auto"/>
              </w:rPr>
            </w:pPr>
            <w:r>
              <w:rPr>
                <w:rFonts w:ascii="Arial" w:cs="Arial" w:eastAsia="Arial" w:hAnsi="Arial"/>
                <w:sz w:val="18"/>
                <w:szCs w:val="18"/>
                <w:color w:val="auto"/>
              </w:rPr>
              <w:t>32.9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32.9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145,035</w:t>
            </w:r>
          </w:p>
        </w:tc>
        <w:tc>
          <w:tcPr>
            <w:tcW w:w="760" w:type="dxa"/>
            <w:vAlign w:val="bottom"/>
          </w:tcPr>
          <w:p>
            <w:pPr>
              <w:jc w:val="right"/>
              <w:spacing w:after="0"/>
              <w:rPr>
                <w:sz w:val="20"/>
                <w:szCs w:val="20"/>
                <w:color w:val="auto"/>
              </w:rPr>
            </w:pPr>
            <w:r>
              <w:rPr>
                <w:rFonts w:ascii="Arial" w:cs="Arial" w:eastAsia="Arial" w:hAnsi="Arial"/>
                <w:sz w:val="18"/>
                <w:szCs w:val="18"/>
                <w:color w:val="auto"/>
              </w:rPr>
              <w:t>99,055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Express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HHR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620" w:type="dxa"/>
            <w:vAlign w:val="bottom"/>
          </w:tcPr>
          <w:p>
            <w:pPr>
              <w:jc w:val="right"/>
              <w:spacing w:after="0"/>
              <w:rPr>
                <w:sz w:val="20"/>
                <w:szCs w:val="20"/>
                <w:color w:val="auto"/>
              </w:rPr>
            </w:pPr>
            <w:r>
              <w:rPr>
                <w:rFonts w:ascii="Arial" w:cs="Arial" w:eastAsia="Arial" w:hAnsi="Arial"/>
                <w:sz w:val="18"/>
                <w:szCs w:val="18"/>
                <w:color w:val="auto"/>
              </w:rPr>
              <w:t>5,209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-97.0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36,771</w:t>
            </w:r>
          </w:p>
        </w:tc>
        <w:tc>
          <w:tcPr>
            <w:tcW w:w="760" w:type="dxa"/>
            <w:vAlign w:val="bottom"/>
          </w:tcPr>
          <w:p>
            <w:pPr>
              <w:jc w:val="right"/>
              <w:spacing w:after="0"/>
              <w:rPr>
                <w:sz w:val="20"/>
                <w:szCs w:val="20"/>
                <w:color w:val="auto"/>
              </w:rPr>
            </w:pPr>
            <w:r>
              <w:rPr>
                <w:rFonts w:ascii="Arial" w:cs="Arial" w:eastAsia="Arial" w:hAnsi="Arial"/>
                <w:sz w:val="18"/>
                <w:szCs w:val="18"/>
                <w:color w:val="auto"/>
              </w:rPr>
              <w:t>62,451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Impala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Kodiak 4/5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Malibu</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11,114</w:t>
            </w:r>
          </w:p>
        </w:tc>
        <w:tc>
          <w:tcPr>
            <w:tcW w:w="620" w:type="dxa"/>
            <w:vAlign w:val="bottom"/>
          </w:tcPr>
          <w:p>
            <w:pPr>
              <w:jc w:val="right"/>
              <w:spacing w:after="0"/>
              <w:rPr>
                <w:sz w:val="20"/>
                <w:szCs w:val="20"/>
                <w:color w:val="auto"/>
              </w:rPr>
            </w:pPr>
            <w:r>
              <w:rPr>
                <w:rFonts w:ascii="Arial" w:cs="Arial" w:eastAsia="Arial" w:hAnsi="Arial"/>
                <w:sz w:val="18"/>
                <w:szCs w:val="18"/>
                <w:color w:val="auto"/>
              </w:rPr>
              <w:t>16,289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-31.8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171,266</w:t>
            </w:r>
          </w:p>
        </w:tc>
        <w:tc>
          <w:tcPr>
            <w:tcW w:w="760" w:type="dxa"/>
            <w:vAlign w:val="bottom"/>
          </w:tcPr>
          <w:p>
            <w:pPr>
              <w:jc w:val="right"/>
              <w:spacing w:after="0"/>
              <w:rPr>
                <w:sz w:val="20"/>
                <w:szCs w:val="20"/>
                <w:color w:val="auto"/>
              </w:rPr>
            </w:pPr>
            <w:r>
              <w:rPr>
                <w:rFonts w:ascii="Arial" w:cs="Arial" w:eastAsia="Arial" w:hAnsi="Arial"/>
                <w:sz w:val="18"/>
                <w:szCs w:val="18"/>
                <w:color w:val="auto"/>
              </w:rPr>
              <w:t>163,246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Silverado-C/K Pickup</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296,436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Sonic</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1,706</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Tahoe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8,813</w:t>
            </w:r>
          </w:p>
        </w:tc>
        <w:tc>
          <w:tcPr>
            <w:tcW w:w="62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62.5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56,636</w:t>
            </w:r>
          </w:p>
        </w:tc>
        <w:tc>
          <w:tcPr>
            <w:tcW w:w="760" w:type="dxa"/>
            <w:vAlign w:val="bottom"/>
          </w:tcPr>
          <w:p>
            <w:pPr>
              <w:jc w:val="right"/>
              <w:spacing w:after="0"/>
              <w:rPr>
                <w:sz w:val="20"/>
                <w:szCs w:val="20"/>
                <w:color w:val="auto"/>
              </w:rPr>
            </w:pPr>
            <w:r>
              <w:rPr>
                <w:rFonts w:ascii="Arial" w:cs="Arial" w:eastAsia="Arial" w:hAnsi="Arial"/>
                <w:sz w:val="18"/>
                <w:szCs w:val="18"/>
                <w:color w:val="auto"/>
              </w:rPr>
              <w:t>55,143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Traverse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7,873</w:t>
            </w:r>
          </w:p>
        </w:tc>
        <w:tc>
          <w:tcPr>
            <w:tcW w:w="620" w:type="dxa"/>
            <w:vAlign w:val="bottom"/>
          </w:tcPr>
          <w:p>
            <w:pPr>
              <w:jc w:val="right"/>
              <w:spacing w:after="0"/>
              <w:rPr>
                <w:sz w:val="20"/>
                <w:szCs w:val="20"/>
                <w:color w:val="auto"/>
              </w:rPr>
            </w:pPr>
            <w:r>
              <w:rPr>
                <w:rFonts w:ascii="Arial" w:cs="Arial" w:eastAsia="Arial" w:hAnsi="Arial"/>
                <w:sz w:val="18"/>
                <w:szCs w:val="18"/>
                <w:color w:val="auto"/>
              </w:rPr>
              <w:t>7,914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83,464</w:t>
            </w:r>
          </w:p>
        </w:tc>
        <w:tc>
          <w:tcPr>
            <w:tcW w:w="760" w:type="dxa"/>
            <w:vAlign w:val="bottom"/>
          </w:tcPr>
          <w:p>
            <w:pPr>
              <w:jc w:val="right"/>
              <w:spacing w:after="0"/>
              <w:rPr>
                <w:sz w:val="20"/>
                <w:szCs w:val="20"/>
                <w:color w:val="auto"/>
              </w:rPr>
            </w:pPr>
            <w:r>
              <w:rPr>
                <w:rFonts w:ascii="Arial" w:cs="Arial" w:eastAsia="Arial" w:hAnsi="Arial"/>
                <w:sz w:val="18"/>
                <w:szCs w:val="18"/>
                <w:color w:val="auto"/>
              </w:rPr>
              <w:t>78,012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Volt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3,895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147,611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121,479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1,353,943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1,175,790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Acadia</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5,287</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4,608</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62,013</w:t>
            </w:r>
          </w:p>
        </w:tc>
        <w:tc>
          <w:tcPr>
            <w:tcW w:w="760" w:type="dxa"/>
            <w:vAlign w:val="bottom"/>
          </w:tcPr>
          <w:p>
            <w:pPr>
              <w:jc w:val="right"/>
              <w:spacing w:after="0"/>
              <w:rPr>
                <w:sz w:val="20"/>
                <w:szCs w:val="20"/>
                <w:color w:val="auto"/>
              </w:rPr>
            </w:pPr>
            <w:r>
              <w:rPr>
                <w:rFonts w:ascii="Arial" w:cs="Arial" w:eastAsia="Arial" w:hAnsi="Arial"/>
                <w:sz w:val="18"/>
                <w:szCs w:val="18"/>
                <w:color w:val="auto"/>
              </w:rPr>
              <w:t>49,729</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Canyon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Envoy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GMC C/T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GMC W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Savana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Sierra</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13,904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11,077</w:t>
            </w:r>
          </w:p>
        </w:tc>
        <w:tc>
          <w:tcPr>
            <w:tcW w:w="440" w:type="dxa"/>
            <w:vAlign w:val="bottom"/>
          </w:tcPr>
          <w:p>
            <w:pPr>
              <w:jc w:val="right"/>
              <w:spacing w:after="0"/>
              <w:rPr>
                <w:sz w:val="20"/>
                <w:szCs w:val="20"/>
                <w:color w:val="auto"/>
              </w:rPr>
            </w:pPr>
            <w:r>
              <w:rPr>
                <w:rFonts w:ascii="Arial" w:cs="Arial" w:eastAsia="Arial" w:hAnsi="Arial"/>
                <w:sz w:val="18"/>
                <w:szCs w:val="18"/>
                <w:color w:val="auto"/>
              </w:rPr>
              <w:t>25.5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25.5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107,342</w:t>
            </w:r>
          </w:p>
        </w:tc>
        <w:tc>
          <w:tcPr>
            <w:tcW w:w="760" w:type="dxa"/>
            <w:vAlign w:val="bottom"/>
          </w:tcPr>
          <w:p>
            <w:pPr>
              <w:jc w:val="right"/>
              <w:spacing w:after="0"/>
              <w:rPr>
                <w:sz w:val="20"/>
                <w:szCs w:val="20"/>
                <w:color w:val="auto"/>
              </w:rPr>
            </w:pPr>
            <w:r>
              <w:rPr>
                <w:rFonts w:ascii="Arial" w:cs="Arial" w:eastAsia="Arial" w:hAnsi="Arial"/>
                <w:sz w:val="18"/>
                <w:szCs w:val="18"/>
                <w:color w:val="auto"/>
              </w:rPr>
              <w:t>90,235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Terrain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Topkick 4/5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Yukon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3,338</w:t>
            </w:r>
          </w:p>
        </w:tc>
        <w:tc>
          <w:tcPr>
            <w:tcW w:w="620" w:type="dxa"/>
            <w:vAlign w:val="bottom"/>
          </w:tcPr>
          <w:p>
            <w:pPr>
              <w:jc w:val="right"/>
              <w:spacing w:after="0"/>
              <w:rPr>
                <w:sz w:val="20"/>
                <w:szCs w:val="20"/>
                <w:color w:val="auto"/>
              </w:rPr>
            </w:pPr>
            <w:r>
              <w:rPr>
                <w:rFonts w:ascii="Arial" w:cs="Arial" w:eastAsia="Arial" w:hAnsi="Arial"/>
                <w:sz w:val="18"/>
                <w:szCs w:val="18"/>
                <w:color w:val="auto"/>
              </w:rPr>
              <w:t>2,305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44.8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24,337</w:t>
            </w:r>
          </w:p>
        </w:tc>
        <w:tc>
          <w:tcPr>
            <w:tcW w:w="760" w:type="dxa"/>
            <w:vAlign w:val="bottom"/>
          </w:tcPr>
          <w:p>
            <w:pPr>
              <w:jc w:val="right"/>
              <w:spacing w:after="0"/>
              <w:rPr>
                <w:sz w:val="20"/>
                <w:szCs w:val="20"/>
                <w:color w:val="auto"/>
              </w:rPr>
            </w:pPr>
            <w:r>
              <w:rPr>
                <w:rFonts w:ascii="Arial" w:cs="Arial" w:eastAsia="Arial" w:hAnsi="Arial"/>
                <w:sz w:val="18"/>
                <w:szCs w:val="18"/>
                <w:color w:val="auto"/>
              </w:rPr>
              <w:t>18,869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Yukon XL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GMC Total</w:t>
            </w:r>
          </w:p>
        </w:tc>
        <w:tc>
          <w:tcPr>
            <w:tcW w:w="640" w:type="dxa"/>
            <w:vAlign w:val="bottom"/>
          </w:tcPr>
          <w:p>
            <w:pPr>
              <w:jc w:val="right"/>
              <w:spacing w:after="0"/>
              <w:rPr>
                <w:sz w:val="20"/>
                <w:szCs w:val="20"/>
                <w:color w:val="auto"/>
              </w:rPr>
            </w:pPr>
            <w:r>
              <w:rPr>
                <w:rFonts w:ascii="Arial" w:cs="Arial" w:eastAsia="Arial" w:hAnsi="Arial"/>
                <w:sz w:val="18"/>
                <w:szCs w:val="18"/>
                <w:color w:val="auto"/>
              </w:rPr>
              <w:t>33,194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25,995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294,947</w:t>
            </w:r>
          </w:p>
        </w:tc>
        <w:tc>
          <w:tcPr>
            <w:tcW w:w="760" w:type="dxa"/>
            <w:vAlign w:val="bottom"/>
          </w:tcPr>
          <w:p>
            <w:pPr>
              <w:jc w:val="right"/>
              <w:spacing w:after="0"/>
              <w:rPr>
                <w:sz w:val="20"/>
                <w:szCs w:val="20"/>
                <w:color w:val="auto"/>
              </w:rPr>
            </w:pPr>
            <w:r>
              <w:rPr>
                <w:rFonts w:ascii="Arial" w:cs="Arial" w:eastAsia="Arial" w:hAnsi="Arial"/>
                <w:sz w:val="18"/>
                <w:szCs w:val="18"/>
                <w:color w:val="auto"/>
              </w:rPr>
              <w:t>232,096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207,145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172,969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1,902,172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1,626,899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HUMMER Total</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3,507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Saab Total</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Other Brand Total</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11,645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 Vehicle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207,145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173,155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1,902,172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1,638,544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ind w:left="72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07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2019-12-11T07:16:38Z</dcterms:created>
  <dcterms:modified xsi:type="dcterms:W3CDTF">2019-12-11T07:16:38Z</dcterms:modified>
</cp:coreProperties>
</file>