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780"/>
        <w:spacing w:after="0"/>
        <w:rPr>
          <w:sz w:val="20"/>
          <w:szCs w:val="20"/>
          <w:color w:val="auto"/>
        </w:rPr>
      </w:pPr>
      <w:r>
        <w:rPr>
          <w:rFonts w:ascii="Arial" w:cs="Arial" w:eastAsia="Arial" w:hAnsi="Arial"/>
          <w:sz w:val="21"/>
          <w:szCs w:val="21"/>
          <w:b w:val="1"/>
          <w:bCs w:val="1"/>
          <w:color w:val="auto"/>
        </w:rPr>
        <w:t>Date of Report (Date of earliest event reported) January 4,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020"/>
          </w:cols>
          <w:pgMar w:left="240" w:top="230" w:right="639" w:bottom="1440" w:gutter="0" w:footer="0" w:header="0"/>
        </w:sectPr>
      </w:pPr>
    </w:p>
    <w:p>
      <w:pPr>
        <w:spacing w:after="0" w:line="192" w:lineRule="exact"/>
        <w:rPr>
          <w:sz w:val="24"/>
          <w:szCs w:val="24"/>
          <w:color w:val="auto"/>
        </w:rPr>
      </w:pPr>
    </w:p>
    <w:p>
      <w:pPr>
        <w:ind w:left="1580"/>
        <w:spacing w:after="0"/>
        <w:rPr>
          <w:sz w:val="20"/>
          <w:szCs w:val="20"/>
          <w:color w:val="auto"/>
        </w:rPr>
      </w:pPr>
      <w:r>
        <w:rPr>
          <w:rFonts w:ascii="Arial" w:cs="Arial" w:eastAsia="Arial" w:hAnsi="Arial"/>
          <w:sz w:val="15"/>
          <w:szCs w:val="15"/>
          <w:b w:val="1"/>
          <w:bCs w:val="1"/>
          <w:color w:val="auto"/>
        </w:rPr>
        <w:t>001-34960</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3">
            <w:col w:w="4620" w:space="720"/>
            <w:col w:w="3120" w:space="720"/>
            <w:col w:w="1840"/>
          </w:cols>
          <w:pgMar w:left="240" w:top="230" w:right="639" w:bottom="1440" w:gutter="0" w:footer="0" w:header="0"/>
          <w:type w:val="continuous"/>
        </w:sectPr>
      </w:pPr>
    </w:p>
    <w:p>
      <w:pPr>
        <w:ind w:left="116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jc w:val="center"/>
        <w:ind w:right="166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280" w:space="720"/>
            <w:col w:w="3340" w:space="720"/>
            <w:col w:w="1960"/>
          </w:cols>
          <w:pgMar w:left="240" w:top="230" w:right="63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2760"/>
          </w:cols>
          <w:pgMar w:left="240" w:top="230"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230"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559"/>
        <w:spacing w:after="0"/>
        <w:rPr>
          <w:sz w:val="20"/>
          <w:szCs w:val="20"/>
          <w:color w:val="auto"/>
        </w:rPr>
      </w:pPr>
      <w:r>
        <w:rPr>
          <w:rFonts w:ascii="Arial" w:cs="Arial" w:eastAsia="Arial" w:hAnsi="Arial"/>
          <w:sz w:val="18"/>
          <w:szCs w:val="18"/>
          <w:b w:val="1"/>
          <w:bCs w:val="1"/>
          <w:color w:val="auto"/>
        </w:rPr>
        <w:t>TABLE OF CONTENTS</w:t>
      </w:r>
    </w:p>
    <w:p>
      <w:pPr>
        <w:spacing w:after="0" w:line="17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ITEM 8.01 Other Events</w:t>
        </w:r>
      </w:hyperlink>
    </w:p>
    <w:p>
      <w:pPr>
        <w:spacing w:after="0" w:line="9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Signature</w:t>
        </w:r>
      </w:hyperlink>
    </w:p>
    <w:p>
      <w:pPr>
        <w:spacing w:after="0" w:line="9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Index to Exhibits</w:t>
        </w:r>
      </w:hyperlink>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Release and Charts Dated January 4, 2011</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On January 4, 2011, General Motors Company (GM) issued a news release announcing December sales. The release and charts are attached as Exhibit 99.1.</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80" w:type="dxa"/>
            <w:vAlign w:val="bottom"/>
          </w:tcPr>
          <w:p>
            <w:pPr>
              <w:ind w:left="620"/>
              <w:spacing w:after="0"/>
              <w:rPr>
                <w:sz w:val="20"/>
                <w:szCs w:val="20"/>
                <w:color w:val="auto"/>
              </w:rPr>
            </w:pPr>
            <w:r>
              <w:rPr>
                <w:rFonts w:ascii="Arial" w:cs="Arial" w:eastAsia="Arial" w:hAnsi="Arial"/>
                <w:sz w:val="18"/>
                <w:szCs w:val="18"/>
                <w:b w:val="1"/>
                <w:bCs w:val="1"/>
                <w:color w:val="auto"/>
              </w:rPr>
              <w:t>EXHIBIT</w:t>
            </w:r>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53"/>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1980" w:type="dxa"/>
            <w:vAlign w:val="bottom"/>
          </w:tcPr>
          <w:p>
            <w:pPr>
              <w:spacing w:after="0"/>
              <w:rPr>
                <w:sz w:val="24"/>
                <w:szCs w:val="24"/>
                <w:color w:val="auto"/>
              </w:rPr>
            </w:pPr>
          </w:p>
        </w:tc>
        <w:tc>
          <w:tcPr>
            <w:tcW w:w="4560" w:type="dxa"/>
            <w:vAlign w:val="bottom"/>
            <w:gridSpan w:val="3"/>
          </w:tcPr>
          <w:p>
            <w:pPr>
              <w:ind w:left="1580"/>
              <w:spacing w:after="0"/>
              <w:rPr>
                <w:sz w:val="20"/>
                <w:szCs w:val="20"/>
                <w:color w:val="auto"/>
              </w:rPr>
            </w:pPr>
            <w:r>
              <w:rPr>
                <w:rFonts w:ascii="Arial" w:cs="Arial" w:eastAsia="Arial" w:hAnsi="Arial"/>
                <w:sz w:val="14"/>
                <w:szCs w:val="14"/>
                <w:b w:val="1"/>
                <w:bCs w:val="1"/>
                <w:color w:val="auto"/>
              </w:rPr>
              <w:t>Description</w:t>
            </w:r>
          </w:p>
        </w:tc>
        <w:tc>
          <w:tcPr>
            <w:tcW w:w="2280" w:type="dxa"/>
            <w:vAlign w:val="bottom"/>
            <w:gridSpan w:val="3"/>
          </w:tcPr>
          <w:p>
            <w:pPr>
              <w:ind w:left="900"/>
              <w:spacing w:after="0"/>
              <w:rPr>
                <w:sz w:val="20"/>
                <w:szCs w:val="20"/>
                <w:color w:val="auto"/>
              </w:rPr>
            </w:pPr>
            <w:r>
              <w:rPr>
                <w:rFonts w:ascii="Arial" w:cs="Arial" w:eastAsia="Arial" w:hAnsi="Arial"/>
                <w:sz w:val="14"/>
                <w:szCs w:val="14"/>
                <w:b w:val="1"/>
                <w:bCs w:val="1"/>
                <w:color w:val="auto"/>
              </w:rPr>
              <w:t>Method of Filing</w:t>
            </w:r>
          </w:p>
        </w:tc>
      </w:tr>
      <w:tr>
        <w:trPr>
          <w:trHeight w:val="20"/>
        </w:trPr>
        <w:tc>
          <w:tcPr>
            <w:tcW w:w="4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9"/>
        </w:trPr>
        <w:tc>
          <w:tcPr>
            <w:tcW w:w="244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560" w:type="dxa"/>
            <w:vAlign w:val="bottom"/>
            <w:gridSpan w:val="3"/>
          </w:tcPr>
          <w:p>
            <w:pPr>
              <w:ind w:left="1580"/>
              <w:spacing w:after="0"/>
              <w:rPr>
                <w:sz w:val="20"/>
                <w:szCs w:val="20"/>
                <w:color w:val="auto"/>
              </w:rPr>
            </w:pPr>
            <w:r>
              <w:rPr>
                <w:rFonts w:ascii="Arial" w:cs="Arial" w:eastAsia="Arial" w:hAnsi="Arial"/>
                <w:sz w:val="18"/>
                <w:szCs w:val="18"/>
                <w:color w:val="auto"/>
              </w:rPr>
              <w:t>Sales Release and Charts</w:t>
            </w:r>
          </w:p>
        </w:tc>
        <w:tc>
          <w:tcPr>
            <w:tcW w:w="2280" w:type="dxa"/>
            <w:vAlign w:val="bottom"/>
            <w:gridSpan w:val="3"/>
          </w:tcPr>
          <w:p>
            <w:pPr>
              <w:ind w:left="900"/>
              <w:spacing w:after="0"/>
              <w:rPr>
                <w:sz w:val="20"/>
                <w:szCs w:val="20"/>
                <w:color w:val="auto"/>
              </w:rPr>
            </w:pPr>
            <w:r>
              <w:rPr>
                <w:rFonts w:ascii="Arial" w:cs="Arial" w:eastAsia="Arial" w:hAnsi="Arial"/>
                <w:sz w:val="18"/>
                <w:szCs w:val="18"/>
                <w:color w:val="auto"/>
                <w:w w:val="88"/>
              </w:rPr>
              <w:t>Attached as Exhibit</w:t>
            </w:r>
          </w:p>
        </w:tc>
      </w:tr>
      <w:tr>
        <w:trPr>
          <w:trHeight w:val="222"/>
        </w:trPr>
        <w:tc>
          <w:tcPr>
            <w:tcW w:w="4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560" w:type="dxa"/>
            <w:vAlign w:val="bottom"/>
            <w:gridSpan w:val="3"/>
          </w:tcPr>
          <w:p>
            <w:pPr>
              <w:ind w:left="1580"/>
              <w:spacing w:after="0"/>
              <w:rPr>
                <w:sz w:val="20"/>
                <w:szCs w:val="20"/>
                <w:color w:val="auto"/>
              </w:rPr>
            </w:pPr>
            <w:r>
              <w:rPr>
                <w:rFonts w:ascii="Arial" w:cs="Arial" w:eastAsia="Arial" w:hAnsi="Arial"/>
                <w:sz w:val="18"/>
                <w:szCs w:val="18"/>
                <w:color w:val="auto"/>
              </w:rPr>
              <w:t>Dated January 4, 2011</w:t>
            </w:r>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ectPr>
          <w:pgSz w:w="11900" w:h="16838" w:orient="portrait"/>
          <w:cols w:equalWidth="0" w:num="1">
            <w:col w:w="10980"/>
          </w:cols>
          <w:pgMar w:left="240" w:top="459" w:right="6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u w:val="single" w:color="auto"/>
          <w:color w:val="auto"/>
        </w:rPr>
        <w:t>GENERAL MOTORS COMPANY</w:t>
      </w:r>
    </w:p>
    <w:p>
      <w:pPr>
        <w:spacing w:after="0" w:line="2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January 12, 2011</w:t>
      </w:r>
      <w:r>
        <w:rPr>
          <w:sz w:val="20"/>
          <w:szCs w:val="20"/>
          <w:color w:val="auto"/>
        </w:rPr>
        <w:tab/>
      </w:r>
      <w:r>
        <w:rPr>
          <w:rFonts w:ascii="Arial" w:cs="Arial" w:eastAsia="Arial" w:hAnsi="Arial"/>
          <w:sz w:val="16"/>
          <w:szCs w:val="16"/>
          <w:color w:val="auto"/>
        </w:rPr>
        <w:t>By: /s/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Nick S. Cyprus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Controller and Chief Accounting</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000"/>
          </w:cols>
          <w:pgMar w:left="240" w:top="459" w:right="659" w:bottom="1440" w:gutter="0" w:footer="0" w:header="0"/>
        </w:sectPr>
      </w:pPr>
    </w:p>
    <w:bookmarkStart w:id="4" w:name="page5"/>
    <w:bookmarkEnd w:id="4"/>
    <w:p>
      <w:pPr>
        <w:ind w:left="105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158115</wp:posOffset>
            </wp:positionV>
            <wp:extent cx="3970655" cy="334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70655" cy="3346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5260" w:val="left"/>
        </w:tabs>
        <w:rPr>
          <w:sz w:val="20"/>
          <w:szCs w:val="20"/>
          <w:color w:val="auto"/>
        </w:rPr>
      </w:pPr>
      <w:r>
        <w:rPr>
          <w:rFonts w:ascii="Arial" w:cs="Arial" w:eastAsia="Arial" w:hAnsi="Arial"/>
          <w:sz w:val="28"/>
          <w:szCs w:val="28"/>
          <w:b w:val="1"/>
          <w:bCs w:val="1"/>
          <w:i w:val="1"/>
          <w:iCs w:val="1"/>
          <w:color w:val="auto"/>
        </w:rPr>
        <w:t>News</w:t>
      </w:r>
      <w:r>
        <w:rPr>
          <w:sz w:val="20"/>
          <w:szCs w:val="20"/>
          <w:color w:val="auto"/>
        </w:rPr>
        <w:tab/>
      </w:r>
      <w:r>
        <w:rPr>
          <w:rFonts w:ascii="Arial" w:cs="Arial" w:eastAsia="Arial" w:hAnsi="Arial"/>
          <w:sz w:val="28"/>
          <w:szCs w:val="28"/>
          <w:b w:val="1"/>
          <w:bCs w:val="1"/>
          <w:i w:val="1"/>
          <w:iCs w:val="1"/>
          <w:color w:val="auto"/>
        </w:rPr>
        <w:t>General Motors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GM Communications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Detroit, Mich., USA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media.gm.com</w:t>
      </w:r>
    </w:p>
    <w:p>
      <w:pPr>
        <w:spacing w:after="0" w:line="9" w:lineRule="exact"/>
        <w:rPr>
          <w:sz w:val="20"/>
          <w:szCs w:val="20"/>
          <w:color w:val="auto"/>
        </w:rPr>
      </w:pPr>
    </w:p>
    <w:p>
      <w:pPr>
        <w:sectPr>
          <w:pgSz w:w="11900" w:h="16838" w:orient="portrait"/>
          <w:cols w:equalWidth="0" w:num="2">
            <w:col w:w="7740" w:space="720"/>
            <w:col w:w="2960"/>
          </w:cols>
          <w:pgMar w:left="240" w:top="125" w:right="239" w:bottom="1440" w:gutter="0" w:footer="0" w:header="0"/>
          <w:type w:val="continuous"/>
        </w:sectPr>
      </w:pPr>
    </w:p>
    <w:p>
      <w:pPr>
        <w:ind w:left="1500"/>
        <w:spacing w:after="0"/>
        <w:rPr>
          <w:sz w:val="20"/>
          <w:szCs w:val="20"/>
          <w:color w:val="auto"/>
        </w:rPr>
      </w:pPr>
      <w:r>
        <w:rPr>
          <w:rFonts w:ascii="Arial" w:cs="Arial" w:eastAsia="Arial" w:hAnsi="Arial"/>
          <w:sz w:val="18"/>
          <w:szCs w:val="18"/>
          <w:color w:val="auto"/>
        </w:rPr>
        <w:t>For Release: 10:45 a.m. EST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January 4, 2011</w:t>
      </w:r>
    </w:p>
    <w:p>
      <w:pPr>
        <w:spacing w:after="0" w:line="178" w:lineRule="exact"/>
        <w:rPr>
          <w:sz w:val="20"/>
          <w:szCs w:val="20"/>
          <w:color w:val="auto"/>
        </w:rPr>
      </w:pPr>
    </w:p>
    <w:p>
      <w:pPr>
        <w:ind w:left="3620"/>
        <w:spacing w:after="0"/>
        <w:rPr>
          <w:sz w:val="20"/>
          <w:szCs w:val="20"/>
          <w:color w:val="auto"/>
        </w:rPr>
      </w:pPr>
      <w:r>
        <w:rPr>
          <w:rFonts w:ascii="Arial" w:cs="Arial" w:eastAsia="Arial" w:hAnsi="Arial"/>
          <w:sz w:val="18"/>
          <w:szCs w:val="18"/>
          <w:b w:val="1"/>
          <w:bCs w:val="1"/>
          <w:i w:val="1"/>
          <w:iCs w:val="1"/>
          <w:color w:val="auto"/>
        </w:rPr>
        <w:t>General Motors 2010 Calendar Year Sales Up 21 Percent;</w:t>
      </w:r>
    </w:p>
    <w:p>
      <w:pPr>
        <w:spacing w:after="0" w:line="15" w:lineRule="exact"/>
        <w:rPr>
          <w:sz w:val="20"/>
          <w:szCs w:val="20"/>
          <w:color w:val="auto"/>
        </w:rPr>
      </w:pPr>
    </w:p>
    <w:p>
      <w:pPr>
        <w:ind w:left="3600"/>
        <w:spacing w:after="0"/>
        <w:rPr>
          <w:sz w:val="20"/>
          <w:szCs w:val="20"/>
          <w:color w:val="auto"/>
        </w:rPr>
      </w:pPr>
      <w:r>
        <w:rPr>
          <w:rFonts w:ascii="Arial" w:cs="Arial" w:eastAsia="Arial" w:hAnsi="Arial"/>
          <w:sz w:val="18"/>
          <w:szCs w:val="18"/>
          <w:b w:val="1"/>
          <w:bCs w:val="1"/>
          <w:i w:val="1"/>
          <w:iCs w:val="1"/>
          <w:color w:val="auto"/>
        </w:rPr>
        <w:t>December Sales Increase 16 Percent – Best Month of 2010</w:t>
      </w:r>
    </w:p>
    <w:p>
      <w:pPr>
        <w:spacing w:after="0" w:line="205"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GM’s four brands sell 118,435 more vehicles in 2010 than eight brands did in 2009</w:t>
      </w:r>
    </w:p>
    <w:p>
      <w:pPr>
        <w:spacing w:after="0" w:line="90" w:lineRule="exact"/>
        <w:rPr>
          <w:rFonts w:ascii="Arial" w:cs="Arial" w:eastAsia="Arial" w:hAnsi="Arial"/>
          <w:sz w:val="18"/>
          <w:szCs w:val="18"/>
          <w:b w:val="1"/>
          <w:bCs w:val="1"/>
          <w:i w:val="1"/>
          <w:iCs w:val="1"/>
          <w:color w:val="auto"/>
        </w:rPr>
      </w:pPr>
    </w:p>
    <w:p>
      <w:pPr>
        <w:ind w:left="440" w:hanging="324"/>
        <w:spacing w:after="0"/>
        <w:tabs>
          <w:tab w:leader="none" w:pos="4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GM December retail sales up 27 percent, best month in 2010</w:t>
      </w:r>
    </w:p>
    <w:p>
      <w:pPr>
        <w:spacing w:after="0" w:line="90" w:lineRule="exact"/>
        <w:rPr>
          <w:rFonts w:ascii="Arial" w:cs="Arial" w:eastAsia="Arial" w:hAnsi="Arial"/>
          <w:sz w:val="18"/>
          <w:szCs w:val="18"/>
          <w:b w:val="1"/>
          <w:bCs w:val="1"/>
          <w:i w:val="1"/>
          <w:iCs w:val="1"/>
          <w:color w:val="auto"/>
        </w:rPr>
      </w:pPr>
    </w:p>
    <w:p>
      <w:pPr>
        <w:ind w:left="440" w:hanging="324"/>
        <w:spacing w:after="0"/>
        <w:tabs>
          <w:tab w:leader="none" w:pos="4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Chevrolet sales improve 16 percent in 2010</w:t>
      </w:r>
    </w:p>
    <w:p>
      <w:pPr>
        <w:spacing w:after="0" w:line="90" w:lineRule="exact"/>
        <w:rPr>
          <w:rFonts w:ascii="Arial" w:cs="Arial" w:eastAsia="Arial" w:hAnsi="Arial"/>
          <w:sz w:val="18"/>
          <w:szCs w:val="18"/>
          <w:b w:val="1"/>
          <w:bCs w:val="1"/>
          <w:i w:val="1"/>
          <w:iCs w:val="1"/>
          <w:color w:val="auto"/>
        </w:rPr>
      </w:pPr>
    </w:p>
    <w:p>
      <w:pPr>
        <w:ind w:left="440" w:hanging="324"/>
        <w:spacing w:after="0"/>
        <w:tabs>
          <w:tab w:leader="none" w:pos="4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Buick sales rose 52 percent in 2010 – the highest improvement of any major brand</w:t>
      </w:r>
    </w:p>
    <w:p>
      <w:pPr>
        <w:spacing w:after="0" w:line="90" w:lineRule="exact"/>
        <w:rPr>
          <w:rFonts w:ascii="Arial" w:cs="Arial" w:eastAsia="Arial" w:hAnsi="Arial"/>
          <w:sz w:val="18"/>
          <w:szCs w:val="18"/>
          <w:b w:val="1"/>
          <w:bCs w:val="1"/>
          <w:i w:val="1"/>
          <w:iCs w:val="1"/>
          <w:color w:val="auto"/>
        </w:rPr>
      </w:pPr>
    </w:p>
    <w:p>
      <w:pPr>
        <w:ind w:left="440" w:hanging="324"/>
        <w:spacing w:after="0"/>
        <w:tabs>
          <w:tab w:leader="none" w:pos="4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GMC increased sales 29 percent for the year</w:t>
      </w:r>
    </w:p>
    <w:p>
      <w:pPr>
        <w:spacing w:after="0" w:line="90" w:lineRule="exact"/>
        <w:rPr>
          <w:rFonts w:ascii="Arial" w:cs="Arial" w:eastAsia="Arial" w:hAnsi="Arial"/>
          <w:sz w:val="18"/>
          <w:szCs w:val="18"/>
          <w:b w:val="1"/>
          <w:bCs w:val="1"/>
          <w:i w:val="1"/>
          <w:iCs w:val="1"/>
          <w:color w:val="auto"/>
        </w:rPr>
      </w:pPr>
    </w:p>
    <w:p>
      <w:pPr>
        <w:ind w:left="440" w:hanging="324"/>
        <w:spacing w:after="0"/>
        <w:tabs>
          <w:tab w:leader="none" w:pos="4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Cadillac sales gain of 35 percent in 2010 is the highest for major luxury brands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DETROIT – General Motors dealers reported 223,932 total sales in December, a 16-percent increase from a year ago for the company’s four brands. The gain was driven by solid retail sales which were 27 percent higher than a strong December a year ago. For the calendar year, total sales for GM’s four brands increased 21 percent to 2,202,927, while retail sales rose 16 percent for the year. GM’s four brands sold 118,435 more vehicles this year than the company did with eight brands in 2009, and will gain total and retail market share for the year.</w:t>
      </w:r>
    </w:p>
    <w:p>
      <w:pPr>
        <w:spacing w:after="0" w:line="14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December total sales result includes an anticipated reduction in fleet sales to rental companies. For the month, overall fleet sales represented 17 percent of GM’s total sales.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According to Don Johnson, vice president, U.S. sales operations, the company’s annual sales performance shows the strong focus of the new company.</w:t>
      </w:r>
    </w:p>
    <w:p>
      <w:pPr>
        <w:spacing w:after="0" w:line="19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sales this year reflect the impact of GM’s new business model,” Johnson said. “The consistency of results that we achieved demonstrates the focus on our brands, dealers and customers, and how we compete aggressively for every sale, every day.”</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December GM’s industry-leading lineup of fuel-efficient crossovers continued to gain in popularity with consumers. Sales of GM crossovers rose 42 percent versus December 2009. For the year, GM crossover sales were 50 percent higher than in 2009. GM sold 567,458 crossovers in the United States in 2010, far more than any other automaker.</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Since 2005, the crossovers’ proportion of the U.S. market has almost doubled to about 22 percent of the industry. In the same period, crossovers as a proportion of GM sales have increased more than threefold and now represent 26 percent of the company’s sales volume.</w:t>
      </w:r>
    </w:p>
    <w:p>
      <w:pPr>
        <w:spacing w:after="0" w:line="13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crossover market is a great example of how consumers can have their cake and eat it too,” Johnson said. “More and more, consumers are choosing to purchase fuel-efficient crossovers like the 32-mpg highway-rated Chevrolet Equinox and GMC Terrain because they get everything they want – comfort, utility and quality.”</w:t>
      </w:r>
    </w:p>
    <w:p>
      <w:pPr>
        <w:spacing w:after="0" w:line="140"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In December, sales of the Chevrolet Equinox and GMC Terrain set records for each model (22,764 and 9,303 respectively) and led GM’s crossover gains – a result of improving availability. For the year, sales of these compact crossovers were up 74 percent and 331 percent respectively, enabling them to gain market share in the compact crossover segment where sales rose an estimated 27 percent year-to-date through December. In the mid-luxury crossover segment, the Cadillac SRX gained more share than any entry, with sales up 152 percent for the year.</w:t>
      </w:r>
    </w:p>
    <w:p>
      <w:pPr>
        <w:spacing w:after="0" w:line="113"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GM’s full-size pickup truck sales improved 29 percent in December versus a year ago, when the company was clearing out a high proportion of past model-year trucks. During the month, 89 percent of GM’s full-sized pickup trucks sold were 2011 model year vehicles compared to 22 percent new model year trucks (2010) during the same month last year. In 2010, combined sales of the Chevrolet Avalanche, Chevrolet Silverado and GMC Sierra full-size pickups increased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520,444 units – up 17 percent compared to 2009.</w:t>
      </w:r>
    </w:p>
    <w:p>
      <w:pPr>
        <w:spacing w:after="0" w:line="16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Total sales of GM passenger cars declined 6 percent during December, driven by anticipated lower fleet sales. However, retail sales of GM passenger cars rose 14 percent for the month, led by improving demand for the all-new Chevrolet Cruze, Buick Regal and Cadillac CTS Coupe. For the year, sales of GM passenger cars improved 20 percent.</w:t>
      </w:r>
    </w:p>
    <w:p>
      <w:pPr>
        <w:spacing w:after="0" w:line="14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Month-end dealer inventory in the United States stood at about 511,000 units, which is about 25,000 lower compared to November and about 126,000 higher than December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Year-to-Date Key Facts:</w:t>
      </w:r>
    </w:p>
    <w:p>
      <w:pPr>
        <w:spacing w:after="0" w:line="9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Calendar-year-to-date total sales for GM’s four brands are up 21 percent, with retail sales rising 16 percent.</w:t>
      </w:r>
    </w:p>
    <w:p>
      <w:pPr>
        <w:spacing w:after="0" w:line="90" w:lineRule="exact"/>
        <w:rPr>
          <w:rFonts w:ascii="Arial" w:cs="Arial" w:eastAsia="Arial" w:hAnsi="Arial"/>
          <w:sz w:val="18"/>
          <w:szCs w:val="18"/>
          <w:b w:val="1"/>
          <w:bCs w:val="1"/>
          <w:i w:val="1"/>
          <w:iCs w:val="1"/>
          <w:color w:val="auto"/>
        </w:rPr>
      </w:pPr>
    </w:p>
    <w:p>
      <w:pPr>
        <w:ind w:left="900" w:hanging="325"/>
        <w:spacing w:after="0"/>
        <w:tabs>
          <w:tab w:leader="none" w:pos="90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GM’s four brands have sold 118,435 more vehicles in 2010 than were sold with eight brands in calendar year 2009</w:t>
      </w:r>
    </w:p>
    <w:p>
      <w:pPr>
        <w:spacing w:after="0" w:line="90" w:lineRule="exact"/>
        <w:rPr>
          <w:rFonts w:ascii="Arial" w:cs="Arial" w:eastAsia="Arial" w:hAnsi="Arial"/>
          <w:sz w:val="18"/>
          <w:szCs w:val="18"/>
          <w:b w:val="1"/>
          <w:bCs w:val="1"/>
          <w:i w:val="1"/>
          <w:iCs w:val="1"/>
          <w:color w:val="auto"/>
        </w:rPr>
      </w:pPr>
    </w:p>
    <w:p>
      <w:pPr>
        <w:ind w:left="900" w:hanging="325"/>
        <w:spacing w:after="0"/>
        <w:tabs>
          <w:tab w:leader="none" w:pos="90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GM compact crossovers, Chevrolet Equinox and GMC Terrain, increased sales by 110 percent</w:t>
      </w:r>
    </w:p>
    <w:p>
      <w:pPr>
        <w:spacing w:after="0" w:line="90" w:lineRule="exact"/>
        <w:rPr>
          <w:rFonts w:ascii="Arial" w:cs="Arial" w:eastAsia="Arial" w:hAnsi="Arial"/>
          <w:sz w:val="18"/>
          <w:szCs w:val="18"/>
          <w:b w:val="1"/>
          <w:bCs w:val="1"/>
          <w:i w:val="1"/>
          <w:iCs w:val="1"/>
          <w:color w:val="auto"/>
        </w:rPr>
      </w:pPr>
    </w:p>
    <w:p>
      <w:pPr>
        <w:ind w:left="900" w:hanging="325"/>
        <w:spacing w:after="0"/>
        <w:tabs>
          <w:tab w:leader="none" w:pos="90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GM mid-size crossovers, Buick Enclave, Chevrolet Traverse and GMC Acadia sales rose 23 percent</w:t>
      </w:r>
    </w:p>
    <w:p>
      <w:pPr>
        <w:spacing w:after="0" w:line="90" w:lineRule="exact"/>
        <w:rPr>
          <w:rFonts w:ascii="Arial" w:cs="Arial" w:eastAsia="Arial" w:hAnsi="Arial"/>
          <w:sz w:val="18"/>
          <w:szCs w:val="18"/>
          <w:b w:val="1"/>
          <w:bCs w:val="1"/>
          <w:i w:val="1"/>
          <w:iCs w:val="1"/>
          <w:color w:val="auto"/>
        </w:rPr>
      </w:pPr>
    </w:p>
    <w:p>
      <w:pPr>
        <w:ind w:left="900" w:hanging="325"/>
        <w:spacing w:after="0"/>
        <w:tabs>
          <w:tab w:leader="none" w:pos="90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GM’s mid-luxury crossover, Cadillac SRX, increased sales 152 percent</w:t>
      </w:r>
    </w:p>
    <w:p>
      <w:pPr>
        <w:sectPr>
          <w:pgSz w:w="11900" w:h="16838" w:orient="portrait"/>
          <w:cols w:equalWidth="0" w:num="1">
            <w:col w:w="11420"/>
          </w:cols>
          <w:pgMar w:left="240" w:top="280" w:right="239" w:bottom="1440" w:gutter="0" w:footer="0" w:header="0"/>
        </w:sectPr>
      </w:pPr>
    </w:p>
    <w:bookmarkStart w:id="6" w:name="page7"/>
    <w:bookmarkEnd w:id="6"/>
    <w:p>
      <w:pPr>
        <w:ind w:left="900" w:hanging="325"/>
        <w:spacing w:after="0"/>
        <w:tabs>
          <w:tab w:leader="none" w:pos="900"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567,458 sold in 2010, GM sells the most stylish, fuel-efficient crossovers in the U.S. market, an increase of 50 percent for the year</w:t>
      </w:r>
    </w:p>
    <w:p>
      <w:pPr>
        <w:spacing w:after="0" w:line="113" w:lineRule="exact"/>
        <w:rPr>
          <w:rFonts w:ascii="Arial" w:cs="Arial" w:eastAsia="Arial" w:hAnsi="Arial"/>
          <w:sz w:val="16"/>
          <w:szCs w:val="16"/>
          <w:b w:val="1"/>
          <w:bCs w:val="1"/>
          <w:i w:val="1"/>
          <w:iCs w:val="1"/>
          <w:color w:val="auto"/>
        </w:rPr>
      </w:pPr>
    </w:p>
    <w:p>
      <w:pPr>
        <w:ind w:left="900" w:hanging="325"/>
        <w:spacing w:after="0"/>
        <w:tabs>
          <w:tab w:leader="none" w:pos="90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GM’s full-size pickup truck sales of 520,444 were 17 percent higher in 2010, compared to 2009</w:t>
      </w:r>
    </w:p>
    <w:p>
      <w:pPr>
        <w:spacing w:after="0" w:line="90" w:lineRule="exact"/>
        <w:rPr>
          <w:rFonts w:ascii="Arial" w:cs="Arial" w:eastAsia="Arial" w:hAnsi="Arial"/>
          <w:sz w:val="18"/>
          <w:szCs w:val="18"/>
          <w:b w:val="1"/>
          <w:bCs w:val="1"/>
          <w:i w:val="1"/>
          <w:iCs w:val="1"/>
          <w:color w:val="auto"/>
        </w:rPr>
      </w:pPr>
    </w:p>
    <w:p>
      <w:pPr>
        <w:ind w:left="900" w:hanging="325"/>
        <w:spacing w:after="0"/>
        <w:tabs>
          <w:tab w:leader="none" w:pos="90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GM’s four brands sold 804,511 passenger cars in 2010, a 20-percent increase over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Key Facts:</w:t>
      </w:r>
    </w:p>
    <w:p>
      <w:pPr>
        <w:spacing w:after="0" w:line="96" w:lineRule="exact"/>
        <w:rPr>
          <w:sz w:val="20"/>
          <w:szCs w:val="20"/>
          <w:color w:val="auto"/>
        </w:rPr>
      </w:pPr>
    </w:p>
    <w:p>
      <w:pPr>
        <w:ind w:left="900" w:right="160" w:hanging="325"/>
        <w:spacing w:after="0" w:line="298" w:lineRule="auto"/>
        <w:tabs>
          <w:tab w:leader="none" w:pos="900" w:val="left"/>
        </w:tabs>
        <w:numPr>
          <w:ilvl w:val="0"/>
          <w:numId w:val="5"/>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 xml:space="preserve">Chevrolet: </w:t>
      </w:r>
      <w:r>
        <w:rPr>
          <w:rFonts w:ascii="Arial" w:cs="Arial" w:eastAsia="Arial" w:hAnsi="Arial"/>
          <w:sz w:val="16"/>
          <w:szCs w:val="16"/>
          <w:i w:val="1"/>
          <w:iCs w:val="1"/>
          <w:color w:val="auto"/>
        </w:rPr>
        <w:t>Chevrolet delivered 147,960 total vehicles in December, a 9-percent increase versus last year. Retail sales for Chevrolet rose 21 percent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for the month – the best retail sales month since August 2009. Retail sales were propelled by improving Cruze sales, and strong Silverado and Equinox retail sales, which were up 30 and 90 percent respectively. Equinox had its best sales month ever, aided by increased inventories. Year-to-date total Chevrolet sales increased 16 percent (</w:t>
      </w:r>
      <w:r>
        <w:rPr>
          <w:rFonts w:ascii="Arial" w:cs="Arial" w:eastAsia="Arial" w:hAnsi="Arial"/>
          <w:sz w:val="16"/>
          <w:szCs w:val="16"/>
          <w:i w:val="1"/>
          <w:iCs w:val="1"/>
          <w:u w:val="single" w:color="auto"/>
          <w:color w:val="auto"/>
        </w:rPr>
        <w:t>read more</w:t>
      </w:r>
      <w:r>
        <w:rPr>
          <w:rFonts w:ascii="Arial" w:cs="Arial" w:eastAsia="Arial" w:hAnsi="Arial"/>
          <w:sz w:val="16"/>
          <w:szCs w:val="16"/>
          <w:i w:val="1"/>
          <w:iCs w:val="1"/>
          <w:color w:val="auto"/>
        </w:rPr>
        <w:t>).</w:t>
      </w:r>
    </w:p>
    <w:p>
      <w:pPr>
        <w:spacing w:after="0" w:line="31" w:lineRule="exact"/>
        <w:rPr>
          <w:rFonts w:ascii="Arial" w:cs="Arial" w:eastAsia="Arial" w:hAnsi="Arial"/>
          <w:sz w:val="16"/>
          <w:szCs w:val="16"/>
          <w:i w:val="1"/>
          <w:iCs w:val="1"/>
          <w:color w:val="auto"/>
        </w:rPr>
      </w:pPr>
    </w:p>
    <w:p>
      <w:pPr>
        <w:jc w:val="both"/>
        <w:ind w:left="900" w:hanging="325"/>
        <w:spacing w:after="0" w:line="259" w:lineRule="auto"/>
        <w:tabs>
          <w:tab w:leader="none" w:pos="900" w:val="left"/>
        </w:tabs>
        <w:numPr>
          <w:ilvl w:val="0"/>
          <w:numId w:val="5"/>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Buick: </w:t>
      </w:r>
      <w:r>
        <w:rPr>
          <w:rFonts w:ascii="Arial" w:cs="Arial" w:eastAsia="Arial" w:hAnsi="Arial"/>
          <w:sz w:val="18"/>
          <w:szCs w:val="18"/>
          <w:i w:val="1"/>
          <w:iCs w:val="1"/>
          <w:color w:val="auto"/>
        </w:rPr>
        <w:t>Buick, the fastest growing major automotive brand in the United States, reported 17,095 total sales, a 40-percent increase compared to a year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ago. This includes a 48- percent rise in year-over-year retail sales – the fifteenth consecutive month of year-over-year sales gains for the brand. Total Buick sales increased 52 percent during the calendar year (</w:t>
      </w:r>
      <w:r>
        <w:rPr>
          <w:rFonts w:ascii="Arial" w:cs="Arial" w:eastAsia="Arial" w:hAnsi="Arial"/>
          <w:sz w:val="18"/>
          <w:szCs w:val="18"/>
          <w:i w:val="1"/>
          <w:iCs w:val="1"/>
          <w:u w:val="single" w:color="auto"/>
          <w:color w:val="auto"/>
        </w:rPr>
        <w:t>read more</w:t>
      </w:r>
      <w:r>
        <w:rPr>
          <w:rFonts w:ascii="Arial" w:cs="Arial" w:eastAsia="Arial" w:hAnsi="Arial"/>
          <w:sz w:val="18"/>
          <w:szCs w:val="18"/>
          <w:i w:val="1"/>
          <w:iCs w:val="1"/>
          <w:color w:val="auto"/>
        </w:rPr>
        <w:t>).</w:t>
      </w:r>
    </w:p>
    <w:p>
      <w:pPr>
        <w:spacing w:after="0" w:line="59" w:lineRule="exact"/>
        <w:rPr>
          <w:rFonts w:ascii="Arial" w:cs="Arial" w:eastAsia="Arial" w:hAnsi="Arial"/>
          <w:sz w:val="18"/>
          <w:szCs w:val="18"/>
          <w:i w:val="1"/>
          <w:iCs w:val="1"/>
          <w:color w:val="auto"/>
        </w:rPr>
      </w:pPr>
    </w:p>
    <w:p>
      <w:pPr>
        <w:ind w:left="900" w:right="100" w:hanging="325"/>
        <w:spacing w:after="0" w:line="306" w:lineRule="auto"/>
        <w:tabs>
          <w:tab w:leader="none" w:pos="900" w:val="left"/>
        </w:tabs>
        <w:numPr>
          <w:ilvl w:val="0"/>
          <w:numId w:val="5"/>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 xml:space="preserve">GMC: </w:t>
      </w:r>
      <w:r>
        <w:rPr>
          <w:rFonts w:ascii="Arial" w:cs="Arial" w:eastAsia="Arial" w:hAnsi="Arial"/>
          <w:sz w:val="16"/>
          <w:szCs w:val="16"/>
          <w:i w:val="1"/>
          <w:iCs w:val="1"/>
          <w:color w:val="auto"/>
        </w:rPr>
        <w:t>GMC reported total sales of 42,159, a 35-percent increase compared to the same month last year. This marks the fifteenth consecutive month</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of year-over-year sales increases. Retail sales were 40 percent higher than last year, spurred by Sierra, Acadia and Terrain – up 40 percent, 46 percent and 73 percent, respectively. For the year through December, GMC total sales improved 29 percent (</w:t>
      </w:r>
      <w:r>
        <w:rPr>
          <w:rFonts w:ascii="Arial" w:cs="Arial" w:eastAsia="Arial" w:hAnsi="Arial"/>
          <w:sz w:val="16"/>
          <w:szCs w:val="16"/>
          <w:i w:val="1"/>
          <w:iCs w:val="1"/>
          <w:u w:val="single" w:color="auto"/>
          <w:color w:val="auto"/>
        </w:rPr>
        <w:t>read more</w:t>
      </w:r>
      <w:r>
        <w:rPr>
          <w:rFonts w:ascii="Arial" w:cs="Arial" w:eastAsia="Arial" w:hAnsi="Arial"/>
          <w:sz w:val="16"/>
          <w:szCs w:val="16"/>
          <w:i w:val="1"/>
          <w:iCs w:val="1"/>
          <w:color w:val="auto"/>
        </w:rPr>
        <w:t>).</w:t>
      </w:r>
    </w:p>
    <w:p>
      <w:pPr>
        <w:spacing w:after="0" w:line="25" w:lineRule="exact"/>
        <w:rPr>
          <w:rFonts w:ascii="Arial" w:cs="Arial" w:eastAsia="Arial" w:hAnsi="Arial"/>
          <w:sz w:val="16"/>
          <w:szCs w:val="16"/>
          <w:i w:val="1"/>
          <w:iCs w:val="1"/>
          <w:color w:val="auto"/>
        </w:rPr>
      </w:pPr>
    </w:p>
    <w:p>
      <w:pPr>
        <w:ind w:left="900" w:right="20" w:hanging="325"/>
        <w:spacing w:after="0" w:line="255" w:lineRule="auto"/>
        <w:tabs>
          <w:tab w:leader="none" w:pos="900" w:val="left"/>
        </w:tabs>
        <w:numPr>
          <w:ilvl w:val="0"/>
          <w:numId w:val="5"/>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Cadillac: </w:t>
      </w:r>
      <w:r>
        <w:rPr>
          <w:rFonts w:ascii="Arial" w:cs="Arial" w:eastAsia="Arial" w:hAnsi="Arial"/>
          <w:sz w:val="18"/>
          <w:szCs w:val="18"/>
          <w:i w:val="1"/>
          <w:iCs w:val="1"/>
          <w:color w:val="auto"/>
        </w:rPr>
        <w:t>Cadillac, the fastest-growing luxury brand in the United States, reported total sales of 16,718 for December – 13 percent higher than last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December, with retail sales increasing 28 percent. December was the eleventh consecutive month of year-over-year total and retail sales gains. SRX retail sales were up 16 percent compared to a year ago and had its best month ever. CTS retail sales rose 70 percent, driven by strong demand for the all-new CTS Coupe. The Escalade family had its best retail month since December 2008, up 30 percent versus a year ago. Total sales for Cadillac are up 35 percent for the year (</w:t>
      </w:r>
      <w:r>
        <w:rPr>
          <w:rFonts w:ascii="Arial" w:cs="Arial" w:eastAsia="Arial" w:hAnsi="Arial"/>
          <w:sz w:val="18"/>
          <w:szCs w:val="18"/>
          <w:i w:val="1"/>
          <w:iCs w:val="1"/>
          <w:u w:val="single" w:color="auto"/>
          <w:color w:val="auto"/>
        </w:rPr>
        <w:t>read more</w:t>
      </w:r>
      <w:r>
        <w:rPr>
          <w:rFonts w:ascii="Arial" w:cs="Arial" w:eastAsia="Arial" w:hAnsi="Arial"/>
          <w:sz w:val="18"/>
          <w:szCs w:val="18"/>
          <w:i w:val="1"/>
          <w:iCs w:val="1"/>
          <w:color w:val="auto"/>
        </w:rPr>
        <w:t>).</w:t>
      </w:r>
    </w:p>
    <w:p>
      <w:pPr>
        <w:spacing w:after="0" w:line="61" w:lineRule="exact"/>
        <w:rPr>
          <w:rFonts w:ascii="Arial" w:cs="Arial" w:eastAsia="Arial" w:hAnsi="Arial"/>
          <w:sz w:val="18"/>
          <w:szCs w:val="18"/>
          <w:i w:val="1"/>
          <w:iCs w:val="1"/>
          <w:color w:val="auto"/>
        </w:rPr>
      </w:pPr>
    </w:p>
    <w:p>
      <w:pPr>
        <w:ind w:left="900" w:right="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Fleet sales </w:t>
      </w:r>
      <w:r>
        <w:rPr>
          <w:rFonts w:ascii="Arial" w:cs="Arial" w:eastAsia="Arial" w:hAnsi="Arial"/>
          <w:sz w:val="18"/>
          <w:szCs w:val="18"/>
          <w:i w:val="1"/>
          <w:iCs w:val="1"/>
          <w:color w:val="auto"/>
        </w:rPr>
        <w:t>for GM’s four brands were 37,658 for the month, a 21 percent decline from the prior year, due to a 35 percent reduction in sales to rental</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fleets. Commercial fleet sales rose 8 percent during the month, the ninth straight month of gains.</w:t>
      </w:r>
    </w:p>
    <w:p>
      <w:pPr>
        <w:spacing w:after="0" w:line="126" w:lineRule="exact"/>
        <w:rPr>
          <w:sz w:val="20"/>
          <w:szCs w:val="20"/>
          <w:color w:val="auto"/>
        </w:rPr>
      </w:pPr>
    </w:p>
    <w:p>
      <w:pPr>
        <w:ind w:right="440"/>
        <w:spacing w:after="0" w:line="291" w:lineRule="auto"/>
        <w:rPr>
          <w:sz w:val="20"/>
          <w:szCs w:val="20"/>
          <w:color w:val="auto"/>
        </w:rPr>
      </w:pPr>
      <w:r>
        <w:rPr>
          <w:rFonts w:ascii="Arial" w:cs="Arial" w:eastAsia="Arial" w:hAnsi="Arial"/>
          <w:sz w:val="16"/>
          <w:szCs w:val="16"/>
          <w:b w:val="1"/>
          <w:bCs w:val="1"/>
          <w:color w:val="auto"/>
        </w:rPr>
        <w:t xml:space="preserve">About General Motors: </w:t>
      </w:r>
      <w:r>
        <w:rPr>
          <w:rFonts w:ascii="Arial" w:cs="Arial" w:eastAsia="Arial" w:hAnsi="Arial"/>
          <w:sz w:val="16"/>
          <w:szCs w:val="16"/>
          <w:color w:val="auto"/>
        </w:rPr>
        <w:t>General Motors, (NYSE:GM, TSX: GMM), one of the world’s largest automakers, traces its roots back to 1908. With its global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headquarters in Detroit, GM employs 209,000 people in every major region of the world and does business in more than 120 countries. GM and its strategic partners produce cars and trucks in 31 countries, and sell and service these vehicles through the following brands: Buick, Cadillac, Chevrolet, FAW, GMC, Daewoo, Holden, Jiefang, Opel, Vauxhall and Wuling. GM’s largest national market is China, followed by the United States, Brazil, Germany, the United Kingdom, Canada, and Italy. GM’s OnStar subsidiary is the industry leader in vehicle safety, security and information services. General Motors acquired operations from General Motors Corporation on July 10, 2009, and references to prior periods in this and other press materials refer to operations of the old General Motors Corporation. More information on the new General Motors can be found at </w:t>
      </w:r>
      <w:r>
        <w:rPr>
          <w:rFonts w:ascii="Arial" w:cs="Arial" w:eastAsia="Arial" w:hAnsi="Arial"/>
          <w:sz w:val="16"/>
          <w:szCs w:val="16"/>
          <w:u w:val="single" w:color="auto"/>
          <w:color w:val="auto"/>
        </w:rPr>
        <w:t>www.gm.com.</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1400"/>
          </w:cols>
          <w:pgMar w:left="240" w:top="361"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Tom Henderson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tom.e.henderson@gm.com</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313-410-2704</w:t>
      </w:r>
    </w:p>
    <w:p>
      <w:pPr>
        <w:sectPr>
          <w:pgSz w:w="11900" w:h="16838" w:orient="portrait"/>
          <w:cols w:equalWidth="0" w:num="1">
            <w:col w:w="10219"/>
          </w:cols>
          <w:pgMar w:left="240" w:top="280" w:right="1440" w:bottom="1440" w:gutter="0" w:footer="0" w:header="0"/>
        </w:sectPr>
      </w:pPr>
    </w:p>
    <w:bookmarkStart w:id="8" w:name="page9"/>
    <w:bookmarkEnd w:id="8"/>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77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67754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Buick Sales Surge 40 Percent in December</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Enclave, LaCrosse and Regal Energize Buick’s 52 Percent Year-Over Year Increase</w:t>
      </w:r>
    </w:p>
    <w:p>
      <w:pPr>
        <w:spacing w:after="0" w:line="159"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Buick, the fastest-growing major automotive brand in the United States, finished 2010 with its best sales month of the year, delivering a 40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year-over-year increase in total sales for the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December marked Buick’s 15</w:t>
      </w:r>
      <w:r>
        <w:rPr>
          <w:rFonts w:ascii="Arial" w:cs="Arial" w:eastAsia="Arial" w:hAnsi="Arial"/>
          <w:sz w:val="11"/>
          <w:szCs w:val="11"/>
          <w:color w:val="auto"/>
        </w:rPr>
        <w:t>th</w:t>
      </w:r>
      <w:r>
        <w:rPr>
          <w:rFonts w:ascii="Arial" w:cs="Arial" w:eastAsia="Arial" w:hAnsi="Arial"/>
          <w:sz w:val="18"/>
          <w:szCs w:val="18"/>
          <w:color w:val="auto"/>
        </w:rPr>
        <w:t xml:space="preserve"> consecutive month of retail sales gains with a 48 percent increase over 2009.</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With each passing month, Enclave, LaCrosse and Regal increasingly attract new customers to the brand. Approximately 41 percent of Buick buyers come from non-GM brands, of which 27 percent come from imports. Each of the three models earned Consumer Digest’s “Best Buy” award in 2011 – the year when </w:t>
      </w:r>
      <w:r>
        <w:rPr>
          <w:rFonts w:ascii="Arial" w:cs="Arial" w:eastAsia="Arial" w:hAnsi="Arial"/>
          <w:sz w:val="18"/>
          <w:szCs w:val="18"/>
          <w:i w:val="1"/>
          <w:iCs w:val="1"/>
          <w:color w:val="auto"/>
        </w:rPr>
        <w:t xml:space="preserve">MOTOR TREND </w:t>
      </w:r>
      <w:r>
        <w:rPr>
          <w:rFonts w:ascii="Arial" w:cs="Arial" w:eastAsia="Arial" w:hAnsi="Arial"/>
          <w:sz w:val="18"/>
          <w:szCs w:val="18"/>
          <w:color w:val="auto"/>
        </w:rPr>
        <w:t>magazine declared “Buick is Back.”</w:t>
      </w:r>
    </w:p>
    <w:p>
      <w:pPr>
        <w:spacing w:after="0" w:line="140"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“The accolades and awards that Buick earned in 2010 were great, but winning new customers and giving them a reason to remain loyal through our improved dealer services was the key to Buick’s growth in 2010,” said Brian Sweeney, U.S. vice president of Buick &amp; GMC Sales and Service. “We expect the brand to grow even stronger in 2011 with the arrival of our all-new luxury sport sedan, the 2012 Buick Regal GS.”</w:t>
      </w:r>
    </w:p>
    <w:p>
      <w:pPr>
        <w:spacing w:after="0" w:line="10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Enclave had its best retail month since its launch, with its retail sales up 40 percent versus December 2009 and up 27 percent year for the calendar year. Likewise, total sales for the luxury crossover were up 22 percent for the month and up 28 percent for 2010.</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LaCrosse continued to excel in 2010, attracting non-GM and import buyers at the same rates as the brand overall. LaCrosse’s retail sales soared 112 percent in 2010, and total sales were up 120 percent for the calendar year.</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Regal had its best month in December since its launch last spring, surging 54 percent in both retail and total sales compared to November, sparked in part by the recent arrival of the Regal CXL Turbo.</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“Regal’s dynamic driving experience and intuitive, personal technologies offer customers a premium sport sedan for great value,” said Roger McCormack, Buick Marketing director. “The all-new CXL Turbo’s Interactive Drive Control System takes Regal’s performance to a whole new level by enabling the driver to choose between standard, touring and sport driving styles.”</w:t>
      </w:r>
    </w:p>
    <w:p>
      <w:pPr>
        <w:spacing w:after="0" w:line="14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Said George Peterson, president of AutoPacific, a marketing research and consultancy firm: “Buick’s solid 2010 performance has been helped by pulling former Pontiac buyers into the brand – since many or all shared dealerships – and because Buick has a critically acclaimed lineup of vehicles – LaCrosse, Regal and Enclave. Buick’s future performance looks promising as well with new products added to broaden the appeal of the brand.”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Buick</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Buick is a modern luxury brand offering vehicles with sculpted designs, luxurious interiors with thoughtful personal technologies, along with responsive-yet-efficient performance. Buick is attracting new customers with its portfolio of award-winning models, including the Enclave crossover, LaCrosse sedan and Regal sport sedan. The new Buick Verano compact sedan and</w:t>
      </w:r>
    </w:p>
    <w:p>
      <w:pPr>
        <w:sectPr>
          <w:pgSz w:w="11900" w:h="16838" w:orient="portrait"/>
          <w:cols w:equalWidth="0" w:num="1">
            <w:col w:w="11400"/>
          </w:cols>
          <w:pgMar w:left="240" w:top="1440" w:right="259" w:bottom="1440" w:gutter="0" w:footer="0" w:header="0"/>
        </w:sectPr>
      </w:pPr>
    </w:p>
    <w:bookmarkStart w:id="9" w:name="page10"/>
    <w:bookmarkEnd w:id="9"/>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77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677545"/>
                    </a:xfrm>
                    <a:prstGeom prst="rect">
                      <a:avLst/>
                    </a:prstGeom>
                    <a:noFill/>
                  </pic:spPr>
                </pic:pic>
              </a:graphicData>
            </a:graphic>
          </wp:anchor>
        </w:drawing>
        <w:t xml:space="preserve">a small crossover will join the portfolio in the next few years. Buick’s sales continue to increase in North America, and it remains a best-selling brand in China, with continuing record growth. Learn more about Buick cars and crossovers at </w:t>
      </w:r>
      <w:r>
        <w:rPr>
          <w:rFonts w:ascii="Arial" w:cs="Arial" w:eastAsia="Arial" w:hAnsi="Arial"/>
          <w:sz w:val="16"/>
          <w:szCs w:val="16"/>
          <w:u w:val="single" w:color="auto"/>
          <w:color w:val="auto"/>
        </w:rPr>
        <w:t>www.buick.com</w:t>
      </w:r>
      <w:r>
        <w:rPr>
          <w:rFonts w:ascii="Arial" w:cs="Arial" w:eastAsia="Arial" w:hAnsi="Arial"/>
          <w:sz w:val="16"/>
          <w:szCs w:val="16"/>
          <w:color w:val="auto"/>
        </w:rPr>
        <w:t xml:space="preserve">, on Twitter </w:t>
      </w:r>
      <w:r>
        <w:rPr>
          <w:rFonts w:ascii="Arial" w:cs="Arial" w:eastAsia="Arial" w:hAnsi="Arial"/>
          <w:sz w:val="16"/>
          <w:szCs w:val="16"/>
          <w:u w:val="single" w:color="auto"/>
          <w:color w:val="auto"/>
        </w:rPr>
        <w:t>@buick</w:t>
      </w:r>
      <w:r>
        <w:rPr>
          <w:rFonts w:ascii="Arial" w:cs="Arial" w:eastAsia="Arial" w:hAnsi="Arial"/>
          <w:sz w:val="16"/>
          <w:szCs w:val="16"/>
          <w:color w:val="auto"/>
        </w:rPr>
        <w:t xml:space="preserve"> or at </w:t>
      </w:r>
      <w:r>
        <w:rPr>
          <w:rFonts w:ascii="Arial" w:cs="Arial" w:eastAsia="Arial" w:hAnsi="Arial"/>
          <w:sz w:val="16"/>
          <w:szCs w:val="16"/>
          <w:u w:val="single" w:color="auto"/>
          <w:color w:val="auto"/>
        </w:rPr>
        <w:t>www.facebook.com/buick</w:t>
      </w:r>
      <w:r>
        <w:rPr>
          <w:rFonts w:ascii="Arial" w:cs="Arial" w:eastAsia="Arial" w:hAnsi="Arial"/>
          <w:sz w:val="16"/>
          <w:szCs w:val="16"/>
          <w:color w:val="auto"/>
        </w:rPr>
        <w:t>.</w:t>
      </w:r>
    </w:p>
    <w:p>
      <w:pPr>
        <w:spacing w:after="0" w:line="8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Contact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Nick Richards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313-665-9292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nick.richards@gm.com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Tom Henderson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313-410-2704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tom.e.henderson@gm.com</w:t>
      </w:r>
    </w:p>
    <w:p>
      <w:pPr>
        <w:sectPr>
          <w:pgSz w:w="11900" w:h="16838" w:orient="portrait"/>
          <w:cols w:equalWidth="0" w:num="1">
            <w:col w:w="11220"/>
          </w:cols>
          <w:pgMar w:left="240" w:top="1347" w:right="4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246630" cy="394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246630" cy="394335"/>
                    </a:xfrm>
                    <a:prstGeom prst="rect">
                      <a:avLst/>
                    </a:prstGeom>
                    <a:noFill/>
                  </pic:spPr>
                </pic:pic>
              </a:graphicData>
            </a:graphic>
          </wp:anchor>
        </w:drawing>
        <w:t>GMC Terrain Tops Off 2010 with Best Sales Month Ever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Acadia, Sierra and Yukon Help Drive GMC to 15</w:t>
      </w:r>
      <w:r>
        <w:rPr>
          <w:rFonts w:ascii="Arial" w:cs="Arial" w:eastAsia="Arial" w:hAnsi="Arial"/>
          <w:sz w:val="11"/>
          <w:szCs w:val="11"/>
          <w:i w:val="1"/>
          <w:iCs w:val="1"/>
          <w:color w:val="auto"/>
        </w:rPr>
        <w:t>th</w:t>
      </w:r>
      <w:r>
        <w:rPr>
          <w:rFonts w:ascii="Arial" w:cs="Arial" w:eastAsia="Arial" w:hAnsi="Arial"/>
          <w:sz w:val="18"/>
          <w:szCs w:val="18"/>
          <w:i w:val="1"/>
          <w:iCs w:val="1"/>
          <w:color w:val="auto"/>
        </w:rPr>
        <w:t xml:space="preserve"> Straight Month of Sales Gains</w:t>
      </w:r>
    </w:p>
    <w:p>
      <w:pPr>
        <w:spacing w:after="0" w:line="159"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b w:val="1"/>
          <w:bCs w:val="1"/>
          <w:color w:val="auto"/>
        </w:rPr>
        <w:t xml:space="preserve">DETROIT </w:t>
      </w:r>
      <w:r>
        <w:rPr>
          <w:rFonts w:ascii="Arial" w:cs="Arial" w:eastAsia="Arial" w:hAnsi="Arial"/>
          <w:sz w:val="16"/>
          <w:szCs w:val="16"/>
          <w:color w:val="auto"/>
        </w:rPr>
        <w:t>– GMC Terrain, the compact SUV that delivers a segment-leading 32 mpg, capped its first full calendar year in December with its best sales month</w:t>
      </w:r>
      <w:r>
        <w:rPr>
          <w:rFonts w:ascii="Arial" w:cs="Arial" w:eastAsia="Arial" w:hAnsi="Arial"/>
          <w:sz w:val="16"/>
          <w:szCs w:val="16"/>
          <w:b w:val="1"/>
          <w:bCs w:val="1"/>
          <w:color w:val="auto"/>
        </w:rPr>
        <w:t xml:space="preserve"> </w:t>
      </w:r>
      <w:r>
        <w:rPr>
          <w:rFonts w:ascii="Arial" w:cs="Arial" w:eastAsia="Arial" w:hAnsi="Arial"/>
          <w:sz w:val="16"/>
          <w:szCs w:val="16"/>
          <w:color w:val="auto"/>
        </w:rPr>
        <w:t>since its introduction in September 2009. Terrain’s year-over-year retail sales grew 73 percent in 2010 and total sales grew 68 percent during the same period. Terrain is averaging just 19 days on dealer lots compared with a 32-day average among competitor models.</w:t>
      </w:r>
    </w:p>
    <w:p>
      <w:pPr>
        <w:spacing w:after="0" w:line="103"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“Terrain was red-hot in December. We sold more than twice what we normally sell,” said Robert Morris, dealer principal, Morris Cadillac, Buick &amp; GMC in greater Cleveland. “People are finding out that – with the Terrain – they can have the utility of an SUV and the fuel efficiency of a passenger car.”</w:t>
      </w:r>
    </w:p>
    <w:p>
      <w:pPr>
        <w:spacing w:after="0" w:line="8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Terrain’s gains, along with year-over-year improvement for Acadia, Sierra and Yukon, helped GMC achieve its 15</w:t>
      </w:r>
      <w:r>
        <w:rPr>
          <w:rFonts w:ascii="Arial" w:cs="Arial" w:eastAsia="Arial" w:hAnsi="Arial"/>
          <w:sz w:val="11"/>
          <w:szCs w:val="11"/>
          <w:color w:val="auto"/>
        </w:rPr>
        <w:t>th</w:t>
      </w:r>
      <w:r>
        <w:rPr>
          <w:rFonts w:ascii="Arial" w:cs="Arial" w:eastAsia="Arial" w:hAnsi="Arial"/>
          <w:sz w:val="18"/>
          <w:szCs w:val="18"/>
          <w:color w:val="auto"/>
        </w:rPr>
        <w:t xml:space="preserve"> consecutive month of sales increases. GMC’s year-over-year retail sales improved 40 percent in December, and were up 36 percent for the calendar year.</w:t>
      </w:r>
    </w:p>
    <w:p>
      <w:pPr>
        <w:spacing w:after="0" w:line="13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More than any other GMC, Terrain is attracting both female and non-GM customers. Approximately 46 percent of Terrain buyers are women, which is more than 20 percentage points higher than the overall brand. In addition, 50 percent of all Terrain buyers are coming from non-GM trade-ins.</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“Terrain is helping GMC grow by attracting customers who previously might not have considered an SUV or crossover,” said Brian Sweeney, U.S. vice president for Buick &amp; GMC Sales and Service. “Together with Acadia, GMC’s crossover SUV sales are stronger than ever and we expect them to continue growing in 2011.”</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Acadia had its best month of the year in December, delivering a year-over-year retail sales increase of 46 percent and a 30 percent increase for the calendar year. Acadia’s total sales increased 27 percent compared to December 2009 and were up 27 percent for the year. More than half of all Acadia sales come from non-GM brands.</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Acadia sales were fueled in part by the recent arrival of the new 2011 Acadia Denali, which distinguishes itself from other crossovers with unique cues, including a chrome honeycomb grille, monochromatic exterior and 20-inch two-tone chrome-clad wheels.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Sierra also had its best month of the year in December, with retail sales up 40 percent year over year, and up 17 percent for the year. Total Sierra sales were up 38 percent year over year and 16 percent at year’s end. Last summer’s arrival of the new 2011 Sierra Denali 2500HD and 3500HD, the first offerings of the exclusive Denali line on a heavy-duty GMC pickup, has helped spur sales in 2010.</w:t>
      </w:r>
    </w:p>
    <w:p>
      <w:pPr>
        <w:spacing w:after="0" w:line="14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Yukon and Yukon XL also finished 2010 on a high note, with Yukon/XL collectively up 26 percent year over year in retail sales. Yukon notched a 17 percent year-over-year increase in total sales, while Yukon XL improved by 31 percent.</w:t>
      </w:r>
    </w:p>
    <w:p>
      <w:pPr>
        <w:sectPr>
          <w:pgSz w:w="11900" w:h="16838" w:orient="portrait"/>
          <w:cols w:equalWidth="0" w:num="1">
            <w:col w:w="11420"/>
          </w:cols>
          <w:pgMar w:left="240" w:top="976" w:right="239" w:bottom="1440" w:gutter="0" w:footer="0" w:header="0"/>
        </w:sectPr>
      </w:pPr>
    </w:p>
    <w:bookmarkStart w:id="11" w:name="page12"/>
    <w:bookmarkEnd w:id="1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246630" cy="394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246630" cy="394335"/>
                    </a:xfrm>
                    <a:prstGeom prst="rect">
                      <a:avLst/>
                    </a:prstGeom>
                    <a:noFill/>
                  </pic:spPr>
                </pic:pic>
              </a:graphicData>
            </a:graphic>
          </wp:anchor>
        </w:drawing>
        <w:t>“GMC is benefitting from the resurgence of the full size pickup and SUV market, strong Terrain sales and very good Acadia sales,” said George Peterson, president of AutoPacific, a marketing research and consultancy firm. “Having GMC and Buick now solidly paired helps both brands and gives Buick/GMC a strong platform for future growth.”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GMC</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GMC has built trucks since 1902, and is one of the industry’s healthiest brands. Today GMC is evolving to offer more fuel-efficient trucks and crossovers, including the Terrain small SUV and Acadia crossover. The new GMC Sierra Heavy Duty pickups are the most capable and powerful trucks in the market. Innovation and engineering excellence are woven into all GMCs, including the Yukon and Yukon XL and full line of Sierra pickups. Today GMC is the only manufacturer offering three full-size hybrid trucks. Details on all GMC models are available at </w:t>
      </w:r>
      <w:r>
        <w:rPr>
          <w:rFonts w:ascii="Arial" w:cs="Arial" w:eastAsia="Arial" w:hAnsi="Arial"/>
          <w:sz w:val="18"/>
          <w:szCs w:val="18"/>
          <w:u w:val="single" w:color="auto"/>
          <w:color w:val="auto"/>
        </w:rPr>
        <w:t>www.gmc.com</w:t>
      </w:r>
      <w:r>
        <w:rPr>
          <w:rFonts w:ascii="Arial" w:cs="Arial" w:eastAsia="Arial" w:hAnsi="Arial"/>
          <w:sz w:val="18"/>
          <w:szCs w:val="18"/>
          <w:color w:val="auto"/>
        </w:rPr>
        <w:t xml:space="preserve">, on Twitter at @thisisgmc or at </w:t>
      </w:r>
      <w:r>
        <w:rPr>
          <w:rFonts w:ascii="Arial" w:cs="Arial" w:eastAsia="Arial" w:hAnsi="Arial"/>
          <w:sz w:val="18"/>
          <w:szCs w:val="18"/>
          <w:u w:val="single" w:color="auto"/>
          <w:color w:val="auto"/>
        </w:rPr>
        <w:t>www.facebook.com/gmc</w:t>
      </w:r>
      <w:r>
        <w:rPr>
          <w:rFonts w:ascii="Arial" w:cs="Arial" w:eastAsia="Arial" w:hAnsi="Arial"/>
          <w:sz w:val="18"/>
          <w:szCs w:val="18"/>
          <w:color w:val="auto"/>
        </w:rPr>
        <w:t>.</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Contact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Kelly Cusinato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313-402-4871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kelly.cusinato@gm.com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Tom Henderson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313-410-2704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tom.e.henderson@gm.com</w:t>
      </w:r>
    </w:p>
    <w:p>
      <w:pPr>
        <w:sectPr>
          <w:pgSz w:w="11900" w:h="16838" w:orient="portrait"/>
          <w:cols w:equalWidth="0" w:num="1">
            <w:col w:w="11060"/>
          </w:cols>
          <w:pgMar w:left="240" w:top="1049" w:right="599" w:bottom="1440" w:gutter="0" w:footer="0" w:header="0"/>
        </w:sectPr>
      </w:pPr>
    </w:p>
    <w:bookmarkStart w:id="12" w:name="page13"/>
    <w:bookmarkEnd w:id="12"/>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3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7632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For Release: 10:45 a.m. EST, Jan. 4,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Cadillac is Fastest-growing Major Luxury Brand in 2010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sales rise 35 percent for full year; December sales up 13 percent</w:t>
      </w:r>
    </w:p>
    <w:p>
      <w:pPr>
        <w:spacing w:after="0" w:line="90"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SRX posts 153 percent sales increase for year, has best month ever in December</w:t>
      </w:r>
    </w:p>
    <w:p>
      <w:pPr>
        <w:spacing w:after="0" w:line="90" w:lineRule="exact"/>
        <w:rPr>
          <w:rFonts w:ascii="Arial" w:cs="Arial" w:eastAsia="Arial" w:hAnsi="Arial"/>
          <w:sz w:val="18"/>
          <w:szCs w:val="18"/>
          <w:b w:val="1"/>
          <w:bCs w:val="1"/>
          <w:i w:val="1"/>
          <w:iCs w:val="1"/>
          <w:color w:val="auto"/>
        </w:rPr>
      </w:pPr>
    </w:p>
    <w:p>
      <w:pPr>
        <w:ind w:left="660" w:hanging="206"/>
        <w:spacing w:after="0"/>
        <w:tabs>
          <w:tab w:leader="none" w:pos="6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CTS sales increase 18 percent in 2010 as CTS Coupe joins line-up</w:t>
      </w:r>
    </w:p>
    <w:p>
      <w:pPr>
        <w:spacing w:after="0" w:line="90" w:lineRule="exact"/>
        <w:rPr>
          <w:rFonts w:ascii="Arial" w:cs="Arial" w:eastAsia="Arial" w:hAnsi="Arial"/>
          <w:sz w:val="18"/>
          <w:szCs w:val="18"/>
          <w:b w:val="1"/>
          <w:bCs w:val="1"/>
          <w:i w:val="1"/>
          <w:iCs w:val="1"/>
          <w:color w:val="auto"/>
        </w:rPr>
      </w:pPr>
    </w:p>
    <w:p>
      <w:pPr>
        <w:ind w:left="660" w:hanging="206"/>
        <w:spacing w:after="0"/>
        <w:tabs>
          <w:tab w:leader="none" w:pos="6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Cadillac reports double-digit gains in New York, Los Angeles, Miami</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DETROIT – Cadillac capped off a strong year as U.S. sales rose 35 percent in 2010 to 146,925, making Cadillac the fastest-growing major luxury brand in the United States. Cadillac reported December sales of 16,718, up 13 percent compared to the same period last year.</w:t>
      </w:r>
    </w:p>
    <w:p>
      <w:pPr>
        <w:spacing w:after="0" w:line="13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Cadillac’s retail sales rose 36 percent for the full year and 28 percent in December for the best total and retail sales months since March 2008. Cadillac has reported 11 straight months of year-over-year total and retail sales gains.</w:t>
      </w:r>
    </w:p>
    <w:p>
      <w:pPr>
        <w:spacing w:after="0" w:line="132"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Cadillac’s positive sales momentum was driven by the addition of new or redesigned models and the launch of key customer service initiatives. Cadillac achieved double-digit sales increases for the year in 18 of the top 20 markets, including New York, Los Angeles, Miami, Dallas, Atlanta, Chicago, Denver and San Diego.</w:t>
      </w:r>
    </w:p>
    <w:p>
      <w:pPr>
        <w:spacing w:after="0" w:line="62"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Redesigned for the 2010 model year, the SRX quickly earned a spot among the leaders in the luxury crossover segment. SRX sales were up 18 percent in December to 5,865 and rose 153 percent for the full year to 51,094. December marked the best total and retail sales ever for SRX.</w:t>
      </w:r>
    </w:p>
    <w:p>
      <w:pPr>
        <w:spacing w:after="0" w:line="85"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award-winning CTS family continued to attract customers to Cadillac. The CTS Sport Wagon joined the line-up for the 2010 model year and the CTS Coupe launched in the second half of the year as a 2011 model. Sales of CTS increased 24 percent in December to 5,171 and 18 percent for the full year to 45,656.</w:t>
      </w:r>
    </w:p>
    <w:p>
      <w:pPr>
        <w:spacing w:after="0" w:line="8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Escalade also gained strength as the year progressed. Escalade had sales of 3,814 in December, up 16 percent compared to December of 2009. It was Escalade’s best total and retail sales month in two years. Escalade sales rose 4 percent for the full year to 26,874.</w:t>
      </w:r>
    </w:p>
    <w:p>
      <w:pPr>
        <w:spacing w:after="0" w:line="13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addition to the new and redesigned models, Cadillac rolled out new initiatives in 2010 to appeal to luxury car buyers. Cadillac and its dealers partnered with hotelier Ritz-Carlton on a series of training programs to elevate the customer experience in showrooms and in service departments. For the 2011 model year, Cadillac added Premium Care Maintenance, providing Cadillac owners with many frequently required maintenance services for the first four years or 50,000 miles.</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“Cadillac and its dealers made a concerted effort in 2010 to take all aspects of our business to new levels,” said Kurt McNeil, vice president for Cadillac sales and service. “As the luxury auto market recovered, Cadillac was poised to provide customers with compelling new products and enhanced service. We’re confident these efforts will continue to pay off for the brand and reinforce our place as the New Standard of the World.”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Cadillac</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Cadillac has been a leading luxury auto brand since 1902. In recent years, Cadillac has engineered a historic renaissance led by artful engineering and advanced technology. More information on Cadillac can be found at media.cadillac.com.</w:t>
      </w:r>
    </w:p>
    <w:p>
      <w:pPr>
        <w:sectPr>
          <w:pgSz w:w="11900" w:h="16838" w:orient="portrait"/>
          <w:cols w:equalWidth="0" w:num="1">
            <w:col w:w="11380"/>
          </w:cols>
          <w:pgMar w:left="240" w:top="1440" w:right="279" w:bottom="1440" w:gutter="0" w:footer="0" w:header="0"/>
        </w:sectPr>
      </w:pPr>
    </w:p>
    <w:bookmarkStart w:id="13" w:name="page14"/>
    <w:bookmarkEnd w:id="13"/>
    <w:p>
      <w:pPr>
        <w:jc w:val="right"/>
        <w:ind w:right="43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Nick Twork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Cadillac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586.565.1001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nicholas.twork@cadillac.com</w:t>
      </w:r>
    </w:p>
    <w:p>
      <w:pPr>
        <w:sectPr>
          <w:pgSz w:w="11900" w:h="16838" w:orient="portrait"/>
          <w:cols w:equalWidth="0" w:num="1">
            <w:col w:w="10219"/>
          </w:cols>
          <w:pgMar w:left="240" w:top="280"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December 2010 – Divisional Brand Level</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center"/>
              <w:ind w:left="364"/>
              <w:spacing w:after="0"/>
              <w:rPr>
                <w:sz w:val="20"/>
                <w:szCs w:val="20"/>
                <w:color w:val="auto"/>
              </w:rPr>
            </w:pPr>
            <w:r>
              <w:rPr>
                <w:rFonts w:ascii="Arial" w:cs="Arial" w:eastAsia="Arial" w:hAnsi="Arial"/>
                <w:sz w:val="14"/>
                <w:szCs w:val="14"/>
                <w:b w:val="1"/>
                <w:bCs w:val="1"/>
                <w:color w:val="auto"/>
                <w:w w:val="89"/>
              </w:rPr>
              <w:t>(Calendar Year-to-Date)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00" w:type="dxa"/>
            <w:vAlign w:val="bottom"/>
            <w:gridSpan w:val="5"/>
          </w:tcPr>
          <w:p>
            <w:pPr>
              <w:spacing w:after="0"/>
              <w:rPr>
                <w:sz w:val="20"/>
                <w:szCs w:val="20"/>
                <w:color w:val="auto"/>
              </w:rPr>
            </w:pPr>
            <w:r>
              <w:rPr>
                <w:rFonts w:ascii="Arial" w:cs="Arial" w:eastAsia="Arial" w:hAnsi="Arial"/>
                <w:sz w:val="14"/>
                <w:szCs w:val="14"/>
                <w:b w:val="1"/>
                <w:bCs w:val="1"/>
                <w:color w:val="auto"/>
              </w:rPr>
              <w:t>*S/D Curr: 27</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5"/>
          </w:tcPr>
          <w:p>
            <w:pPr>
              <w:ind w:left="260"/>
              <w:spacing w:after="0"/>
              <w:rPr>
                <w:sz w:val="20"/>
                <w:szCs w:val="20"/>
                <w:color w:val="auto"/>
              </w:rPr>
            </w:pPr>
            <w:r>
              <w:rPr>
                <w:rFonts w:ascii="Arial" w:cs="Arial" w:eastAsia="Arial" w:hAnsi="Arial"/>
                <w:sz w:val="14"/>
                <w:szCs w:val="14"/>
                <w:b w:val="1"/>
                <w:bCs w:val="1"/>
                <w:color w:val="auto"/>
              </w:rPr>
              <w:t>December</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center"/>
              <w:ind w:left="384"/>
              <w:spacing w:after="0"/>
              <w:rPr>
                <w:sz w:val="20"/>
                <w:szCs w:val="20"/>
                <w:color w:val="auto"/>
              </w:rPr>
            </w:pPr>
            <w:r>
              <w:rPr>
                <w:rFonts w:ascii="Arial" w:cs="Arial" w:eastAsia="Arial" w:hAnsi="Arial"/>
                <w:sz w:val="14"/>
                <w:szCs w:val="14"/>
                <w:b w:val="1"/>
                <w:bCs w:val="1"/>
                <w:color w:val="auto"/>
                <w:w w:val="88"/>
              </w:rPr>
              <w:t>January - - December</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6"/>
              </w:rPr>
              <w:t>% Chg</w:t>
            </w:r>
          </w:p>
        </w:tc>
        <w:tc>
          <w:tcPr>
            <w:tcW w:w="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5"/>
              </w:rPr>
              <w:t>%Chg</w:t>
            </w:r>
          </w:p>
        </w:tc>
        <w:tc>
          <w:tcPr>
            <w:tcW w:w="2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5"/>
              </w:rPr>
              <w:t>%Chg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000" w:type="dxa"/>
            <w:vAlign w:val="bottom"/>
            <w:gridSpan w:val="5"/>
          </w:tcPr>
          <w:p>
            <w:pPr>
              <w:spacing w:after="0"/>
              <w:rPr>
                <w:sz w:val="20"/>
                <w:szCs w:val="20"/>
                <w:color w:val="auto"/>
              </w:rPr>
            </w:pPr>
            <w:r>
              <w:rPr>
                <w:rFonts w:ascii="Arial" w:cs="Arial" w:eastAsia="Arial" w:hAnsi="Arial"/>
                <w:sz w:val="14"/>
                <w:szCs w:val="14"/>
                <w:b w:val="1"/>
                <w:bCs w:val="1"/>
                <w:color w:val="auto"/>
              </w:rPr>
              <w:t>*S/D Prev: 28</w:t>
            </w:r>
          </w:p>
        </w:tc>
        <w:tc>
          <w:tcPr>
            <w:tcW w:w="620" w:type="dxa"/>
            <w:vAlign w:val="bottom"/>
          </w:tcPr>
          <w:p>
            <w:pPr>
              <w:jc w:val="right"/>
              <w:ind w:right="95"/>
              <w:spacing w:after="0"/>
              <w:rPr>
                <w:sz w:val="20"/>
                <w:szCs w:val="20"/>
                <w:color w:val="auto"/>
              </w:rPr>
            </w:pPr>
            <w:r>
              <w:rPr>
                <w:rFonts w:ascii="Arial" w:cs="Arial" w:eastAsia="Arial" w:hAnsi="Arial"/>
                <w:sz w:val="14"/>
                <w:szCs w:val="14"/>
                <w:b w:val="1"/>
                <w:bCs w:val="1"/>
                <w:color w:val="auto"/>
              </w:rPr>
              <w:t>2010</w:t>
            </w:r>
          </w:p>
        </w:tc>
        <w:tc>
          <w:tcPr>
            <w:tcW w:w="84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Volume</w:t>
            </w:r>
          </w:p>
        </w:tc>
        <w:tc>
          <w:tcPr>
            <w:tcW w:w="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per S/D</w:t>
            </w:r>
          </w:p>
        </w:tc>
        <w:tc>
          <w:tcPr>
            <w:tcW w:w="960" w:type="dxa"/>
            <w:vAlign w:val="bottom"/>
            <w:gridSpan w:val="2"/>
          </w:tcPr>
          <w:p>
            <w:pPr>
              <w:jc w:val="right"/>
              <w:ind w:right="164"/>
              <w:spacing w:after="0"/>
              <w:rPr>
                <w:sz w:val="20"/>
                <w:szCs w:val="20"/>
                <w:color w:val="auto"/>
              </w:rPr>
            </w:pPr>
            <w:r>
              <w:rPr>
                <w:rFonts w:ascii="Arial" w:cs="Arial" w:eastAsia="Arial" w:hAnsi="Arial"/>
                <w:sz w:val="14"/>
                <w:szCs w:val="14"/>
                <w:b w:val="1"/>
                <w:bCs w:val="1"/>
                <w:color w:val="auto"/>
              </w:rPr>
              <w:t>2010</w:t>
            </w:r>
          </w:p>
        </w:tc>
        <w:tc>
          <w:tcPr>
            <w:tcW w:w="96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Volume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Vehicle Total</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224,185</w:t>
            </w:r>
          </w:p>
        </w:tc>
        <w:tc>
          <w:tcPr>
            <w:tcW w:w="10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208,511</w:t>
            </w: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2,215,227</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2,084,492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tcPr>
          <w:p>
            <w:pPr>
              <w:ind w:left="420"/>
              <w:spacing w:after="0"/>
              <w:rPr>
                <w:sz w:val="20"/>
                <w:szCs w:val="20"/>
                <w:color w:val="auto"/>
              </w:rPr>
            </w:pPr>
            <w:r>
              <w:rPr>
                <w:rFonts w:ascii="Arial" w:cs="Arial" w:eastAsia="Arial" w:hAnsi="Arial"/>
                <w:sz w:val="18"/>
                <w:szCs w:val="18"/>
                <w:color w:val="auto"/>
              </w:rPr>
              <w:t>Brand Total</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223,932</w:t>
            </w:r>
          </w:p>
        </w:tc>
        <w:tc>
          <w:tcPr>
            <w:tcW w:w="1020" w:type="dxa"/>
            <w:vAlign w:val="bottom"/>
            <w:gridSpan w:val="4"/>
          </w:tcPr>
          <w:p>
            <w:pPr>
              <w:jc w:val="right"/>
              <w:ind w:right="180"/>
              <w:spacing w:after="0"/>
              <w:rPr>
                <w:sz w:val="20"/>
                <w:szCs w:val="20"/>
                <w:color w:val="auto"/>
              </w:rPr>
            </w:pPr>
            <w:r>
              <w:rPr>
                <w:rFonts w:ascii="Arial" w:cs="Arial" w:eastAsia="Arial" w:hAnsi="Arial"/>
                <w:sz w:val="18"/>
                <w:szCs w:val="18"/>
                <w:color w:val="auto"/>
              </w:rPr>
              <w:t>193,824</w:t>
            </w: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15.5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2,202,927</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1,815,806</w:t>
            </w:r>
          </w:p>
        </w:tc>
        <w:tc>
          <w:tcPr>
            <w:tcW w:w="44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Other Brand Total</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14,687</w:t>
            </w: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-98.3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12,300</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268,686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6000" w:type="dxa"/>
            <w:vAlign w:val="bottom"/>
            <w:gridSpan w:val="5"/>
          </w:tcPr>
          <w:p>
            <w:pPr>
              <w:spacing w:after="0"/>
              <w:rPr>
                <w:sz w:val="20"/>
                <w:szCs w:val="20"/>
                <w:color w:val="auto"/>
              </w:rPr>
            </w:pPr>
            <w:r>
              <w:rPr>
                <w:rFonts w:ascii="Arial" w:cs="Arial" w:eastAsia="Arial" w:hAnsi="Arial"/>
                <w:sz w:val="18"/>
                <w:szCs w:val="18"/>
                <w:color w:val="auto"/>
              </w:rPr>
              <w:t>GM Vehicle Deliveries by Marketing Division</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%Chg</w:t>
            </w:r>
          </w:p>
        </w:tc>
        <w:tc>
          <w:tcPr>
            <w:tcW w:w="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5"/>
              </w:rPr>
              <w:t>%Chg</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%Chg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6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Volume</w:t>
            </w:r>
          </w:p>
        </w:tc>
        <w:tc>
          <w:tcPr>
            <w:tcW w:w="180" w:type="dxa"/>
            <w:vAlign w:val="bottom"/>
          </w:tcPr>
          <w:p>
            <w:pPr>
              <w:spacing w:after="0"/>
              <w:rPr>
                <w:sz w:val="14"/>
                <w:szCs w:val="14"/>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per S/D</w:t>
            </w:r>
          </w:p>
        </w:tc>
        <w:tc>
          <w:tcPr>
            <w:tcW w:w="200" w:type="dxa"/>
            <w:vAlign w:val="bottom"/>
          </w:tcPr>
          <w:p>
            <w:pPr>
              <w:spacing w:after="0"/>
              <w:rPr>
                <w:sz w:val="14"/>
                <w:szCs w:val="14"/>
                <w:color w:val="auto"/>
              </w:rPr>
            </w:pPr>
          </w:p>
        </w:tc>
        <w:tc>
          <w:tcPr>
            <w:tcW w:w="760" w:type="dxa"/>
            <w:vAlign w:val="bottom"/>
          </w:tcPr>
          <w:p>
            <w:pPr>
              <w:jc w:val="right"/>
              <w:ind w:right="164"/>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760" w:type="dxa"/>
            <w:vAlign w:val="bottom"/>
          </w:tcPr>
          <w:p>
            <w:pPr>
              <w:jc w:val="right"/>
              <w:ind w:right="159"/>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Volume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Buick Total</w:t>
            </w:r>
          </w:p>
        </w:tc>
        <w:tc>
          <w:tcPr>
            <w:tcW w:w="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17,095</w:t>
            </w: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12,237</w:t>
            </w:r>
          </w:p>
        </w:tc>
        <w:tc>
          <w:tcPr>
            <w:tcW w:w="180" w:type="dxa"/>
            <w:vAlign w:val="bottom"/>
            <w:shd w:val="clear" w:color="auto" w:fill="CCEEFF"/>
          </w:tcPr>
          <w:p>
            <w:pPr>
              <w:spacing w:after="0"/>
              <w:rPr>
                <w:sz w:val="18"/>
                <w:szCs w:val="18"/>
                <w:color w:val="auto"/>
              </w:rPr>
            </w:pPr>
          </w:p>
        </w:tc>
        <w:tc>
          <w:tcPr>
            <w:tcW w:w="48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80" w:type="dxa"/>
            <w:vAlign w:val="bottom"/>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155,389</w:t>
            </w:r>
          </w:p>
        </w:tc>
        <w:tc>
          <w:tcPr>
            <w:tcW w:w="2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102,306</w:t>
            </w:r>
          </w:p>
        </w:tc>
        <w:tc>
          <w:tcPr>
            <w:tcW w:w="2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tcPr>
          <w:p>
            <w:pPr>
              <w:spacing w:after="0"/>
              <w:rPr>
                <w:sz w:val="20"/>
                <w:szCs w:val="20"/>
                <w:color w:val="auto"/>
              </w:rPr>
            </w:pPr>
            <w:r>
              <w:rPr>
                <w:rFonts w:ascii="Arial" w:cs="Arial" w:eastAsia="Arial" w:hAnsi="Arial"/>
                <w:sz w:val="18"/>
                <w:szCs w:val="18"/>
                <w:color w:val="auto"/>
              </w:rPr>
              <w:t>Cadillac Total</w:t>
            </w:r>
          </w:p>
        </w:tc>
        <w:tc>
          <w:tcPr>
            <w:tcW w:w="620" w:type="dxa"/>
            <w:vAlign w:val="bottom"/>
          </w:tcPr>
          <w:p>
            <w:pPr>
              <w:jc w:val="right"/>
              <w:spacing w:after="0"/>
              <w:rPr>
                <w:sz w:val="20"/>
                <w:szCs w:val="20"/>
                <w:color w:val="auto"/>
              </w:rPr>
            </w:pPr>
            <w:r>
              <w:rPr>
                <w:rFonts w:ascii="Arial" w:cs="Arial" w:eastAsia="Arial" w:hAnsi="Arial"/>
                <w:sz w:val="18"/>
                <w:szCs w:val="18"/>
                <w:color w:val="auto"/>
              </w:rPr>
              <w:t>16,718</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14,745</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146,925</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109,092</w:t>
            </w:r>
          </w:p>
        </w:tc>
        <w:tc>
          <w:tcPr>
            <w:tcW w:w="44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Chevrolet Total **</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147,960</w:t>
            </w: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135,622</w:t>
            </w:r>
          </w:p>
        </w:tc>
        <w:tc>
          <w:tcPr>
            <w:tcW w:w="1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1,565,632</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1,344,629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tcPr>
          <w:p>
            <w:pPr>
              <w:spacing w:after="0"/>
              <w:rPr>
                <w:sz w:val="20"/>
                <w:szCs w:val="20"/>
                <w:color w:val="auto"/>
              </w:rPr>
            </w:pPr>
            <w:r>
              <w:rPr>
                <w:rFonts w:ascii="Arial" w:cs="Arial" w:eastAsia="Arial" w:hAnsi="Arial"/>
                <w:sz w:val="18"/>
                <w:szCs w:val="18"/>
                <w:color w:val="auto"/>
              </w:rPr>
              <w:t>GMC Total **</w:t>
            </w:r>
          </w:p>
        </w:tc>
        <w:tc>
          <w:tcPr>
            <w:tcW w:w="620" w:type="dxa"/>
            <w:vAlign w:val="bottom"/>
          </w:tcPr>
          <w:p>
            <w:pPr>
              <w:jc w:val="right"/>
              <w:spacing w:after="0"/>
              <w:rPr>
                <w:sz w:val="20"/>
                <w:szCs w:val="20"/>
                <w:color w:val="auto"/>
              </w:rPr>
            </w:pPr>
            <w:r>
              <w:rPr>
                <w:rFonts w:ascii="Arial" w:cs="Arial" w:eastAsia="Arial" w:hAnsi="Arial"/>
                <w:sz w:val="18"/>
                <w:szCs w:val="18"/>
                <w:color w:val="auto"/>
              </w:rPr>
              <w:t>42,159</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31,220</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334,981</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259,779</w:t>
            </w:r>
          </w:p>
        </w:tc>
        <w:tc>
          <w:tcPr>
            <w:tcW w:w="44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Brand Total</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223,932</w:t>
            </w: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193,824</w:t>
            </w:r>
          </w:p>
        </w:tc>
        <w:tc>
          <w:tcPr>
            <w:tcW w:w="1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2,202,927</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1,815,806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tcPr>
          <w:p>
            <w:pPr>
              <w:spacing w:after="0"/>
              <w:rPr>
                <w:sz w:val="20"/>
                <w:szCs w:val="20"/>
                <w:color w:val="auto"/>
              </w:rPr>
            </w:pPr>
            <w:r>
              <w:rPr>
                <w:rFonts w:ascii="Arial" w:cs="Arial" w:eastAsia="Arial" w:hAnsi="Arial"/>
                <w:sz w:val="18"/>
                <w:szCs w:val="18"/>
                <w:color w:val="auto"/>
              </w:rPr>
              <w:t>HUMMER Total</w:t>
            </w: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-88.3</w:t>
            </w:r>
          </w:p>
        </w:tc>
        <w:tc>
          <w:tcPr>
            <w:tcW w:w="1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-87.9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3,812</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9,046</w:t>
            </w:r>
          </w:p>
        </w:tc>
        <w:tc>
          <w:tcPr>
            <w:tcW w:w="44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Pontiac Total</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8,410</w:t>
            </w:r>
          </w:p>
        </w:tc>
        <w:tc>
          <w:tcPr>
            <w:tcW w:w="1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178,300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tcPr>
          <w:p>
            <w:pPr>
              <w:spacing w:after="0"/>
              <w:rPr>
                <w:sz w:val="20"/>
                <w:szCs w:val="20"/>
                <w:color w:val="auto"/>
              </w:rPr>
            </w:pPr>
            <w:r>
              <w:rPr>
                <w:rFonts w:ascii="Arial" w:cs="Arial" w:eastAsia="Arial" w:hAnsi="Arial"/>
                <w:sz w:val="18"/>
                <w:szCs w:val="18"/>
                <w:color w:val="auto"/>
              </w:rPr>
              <w:t>Saab Total</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868</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608</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8,680</w:t>
            </w:r>
          </w:p>
        </w:tc>
        <w:tc>
          <w:tcPr>
            <w:tcW w:w="44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Saturn Total</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1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6,698</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72,660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3"/>
          </w:tcPr>
          <w:p>
            <w:pPr>
              <w:ind w:left="420"/>
              <w:spacing w:after="0"/>
              <w:rPr>
                <w:sz w:val="20"/>
                <w:szCs w:val="20"/>
                <w:color w:val="auto"/>
              </w:rPr>
            </w:pPr>
            <w:r>
              <w:rPr>
                <w:rFonts w:ascii="Arial" w:cs="Arial" w:eastAsia="Arial" w:hAnsi="Arial"/>
                <w:sz w:val="18"/>
                <w:szCs w:val="18"/>
                <w:color w:val="auto"/>
              </w:rPr>
              <w:t>Other Brand Total</w:t>
            </w:r>
          </w:p>
        </w:tc>
        <w:tc>
          <w:tcPr>
            <w:tcW w:w="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14,687</w:t>
            </w:r>
          </w:p>
        </w:tc>
        <w:tc>
          <w:tcPr>
            <w:tcW w:w="180" w:type="dxa"/>
            <w:vAlign w:val="bottom"/>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-98.3</w:t>
            </w:r>
          </w:p>
        </w:tc>
        <w:tc>
          <w:tcPr>
            <w:tcW w:w="180" w:type="dxa"/>
            <w:vAlign w:val="bottom"/>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-98.2</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12,300</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268,686</w:t>
            </w:r>
          </w:p>
        </w:tc>
        <w:tc>
          <w:tcPr>
            <w:tcW w:w="2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GM Vehicle Total</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224,185</w:t>
            </w: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208,511</w:t>
            </w:r>
          </w:p>
        </w:tc>
        <w:tc>
          <w:tcPr>
            <w:tcW w:w="1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2,215,227</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2,084,492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Twenty-seven selling days for the December period this year and twenty-eight for last year.</w:t>
      </w:r>
    </w:p>
    <w:p>
      <w:pPr>
        <w:spacing w:after="0" w:line="1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Effective August 2007, GM includes GMC &amp; Chevrolet dealer deliveries of commercial vehicles distributed by American Isuzu Motors, Inc.</w:t>
      </w:r>
    </w:p>
    <w:p>
      <w:pPr>
        <w:spacing w:after="0" w:line="151" w:lineRule="exact"/>
        <w:rPr>
          <w:sz w:val="20"/>
          <w:szCs w:val="20"/>
          <w:color w:val="auto"/>
        </w:rPr>
      </w:pPr>
    </w:p>
    <w:p>
      <w:pPr>
        <w:spacing w:after="0"/>
        <w:tabs>
          <w:tab w:leader="none" w:pos="10600" w:val="left"/>
        </w:tabs>
        <w:rPr>
          <w:sz w:val="20"/>
          <w:szCs w:val="20"/>
          <w:color w:val="auto"/>
        </w:rPr>
      </w:pPr>
      <w:r>
        <w:rPr>
          <w:rFonts w:ascii="Arial" w:cs="Arial" w:eastAsia="Arial" w:hAnsi="Arial"/>
          <w:sz w:val="18"/>
          <w:szCs w:val="18"/>
          <w:color w:val="auto"/>
        </w:rPr>
        <w:t>Sales Reporting and Data Management</w:t>
      </w:r>
      <w:r>
        <w:rPr>
          <w:sz w:val="20"/>
          <w:szCs w:val="20"/>
          <w:color w:val="auto"/>
        </w:rPr>
        <w:tab/>
      </w:r>
      <w:r>
        <w:rPr>
          <w:rFonts w:ascii="Arial" w:cs="Arial" w:eastAsia="Arial" w:hAnsi="Arial"/>
          <w:sz w:val="15"/>
          <w:szCs w:val="15"/>
          <w:color w:val="auto"/>
        </w:rPr>
        <w:t>Page 1 of 2</w:t>
      </w:r>
    </w:p>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December 2010 by Model</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right"/>
              <w:spacing w:after="0"/>
              <w:rPr>
                <w:sz w:val="20"/>
                <w:szCs w:val="20"/>
                <w:color w:val="auto"/>
              </w:rPr>
            </w:pPr>
            <w:r>
              <w:rPr>
                <w:rFonts w:ascii="Arial" w:cs="Arial" w:eastAsia="Arial" w:hAnsi="Arial"/>
                <w:sz w:val="14"/>
                <w:szCs w:val="14"/>
                <w:b w:val="1"/>
                <w:bCs w:val="1"/>
                <w:color w:val="auto"/>
              </w:rPr>
              <w:t>(Calendar Year-to-Date)</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December</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b w:val="1"/>
                <w:bCs w:val="1"/>
                <w:color w:val="auto"/>
              </w:rPr>
              <w:t>January - - December</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6"/>
              </w:rPr>
              <w:t>% Chg</w:t>
            </w: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5"/>
              </w:rPr>
              <w:t>%Chg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%Chg</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Volume</w:t>
            </w:r>
          </w:p>
        </w:tc>
        <w:tc>
          <w:tcPr>
            <w:tcW w:w="2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per S/D</w:t>
            </w:r>
          </w:p>
        </w:tc>
        <w:tc>
          <w:tcPr>
            <w:tcW w:w="200" w:type="dxa"/>
            <w:vAlign w:val="bottom"/>
            <w:gridSpan w:val="2"/>
          </w:tcPr>
          <w:p>
            <w:pPr>
              <w:spacing w:after="0"/>
              <w:rPr>
                <w:sz w:val="14"/>
                <w:szCs w:val="14"/>
                <w:color w:val="auto"/>
              </w:rPr>
            </w:pPr>
          </w:p>
        </w:tc>
        <w:tc>
          <w:tcPr>
            <w:tcW w:w="760" w:type="dxa"/>
            <w:vAlign w:val="bottom"/>
            <w:tcBorders>
              <w:bottom w:val="single" w:sz="8" w:color="auto"/>
            </w:tcBorders>
          </w:tcPr>
          <w:p>
            <w:pPr>
              <w:jc w:val="right"/>
              <w:ind w:right="167"/>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Volume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Selling Days (S/D)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Enclave</w:t>
            </w:r>
          </w:p>
        </w:tc>
        <w:tc>
          <w:tcPr>
            <w:tcW w:w="640" w:type="dxa"/>
            <w:vAlign w:val="bottom"/>
          </w:tcPr>
          <w:p>
            <w:pPr>
              <w:jc w:val="right"/>
              <w:spacing w:after="0"/>
              <w:rPr>
                <w:sz w:val="20"/>
                <w:szCs w:val="20"/>
                <w:color w:val="auto"/>
              </w:rPr>
            </w:pPr>
            <w:r>
              <w:rPr>
                <w:rFonts w:ascii="Arial" w:cs="Arial" w:eastAsia="Arial" w:hAnsi="Arial"/>
                <w:sz w:val="18"/>
                <w:szCs w:val="18"/>
                <w:color w:val="auto"/>
              </w:rPr>
              <w:t>6,634</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5,449</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21.7</w:t>
            </w:r>
          </w:p>
        </w:tc>
        <w:tc>
          <w:tcPr>
            <w:tcW w:w="460" w:type="dxa"/>
            <w:vAlign w:val="bottom"/>
          </w:tcPr>
          <w:p>
            <w:pPr>
              <w:jc w:val="right"/>
              <w:spacing w:after="0"/>
              <w:rPr>
                <w:sz w:val="20"/>
                <w:szCs w:val="20"/>
                <w:color w:val="auto"/>
              </w:rPr>
            </w:pPr>
            <w:r>
              <w:rPr>
                <w:rFonts w:ascii="Arial" w:cs="Arial" w:eastAsia="Arial" w:hAnsi="Arial"/>
                <w:sz w:val="18"/>
                <w:szCs w:val="18"/>
                <w:color w:val="auto"/>
              </w:rPr>
              <w:t>26.3</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55,426</w:t>
            </w:r>
          </w:p>
        </w:tc>
        <w:tc>
          <w:tcPr>
            <w:tcW w:w="1160" w:type="dxa"/>
            <w:vAlign w:val="bottom"/>
            <w:gridSpan w:val="3"/>
          </w:tcPr>
          <w:p>
            <w:pPr>
              <w:jc w:val="right"/>
              <w:ind w:right="112"/>
              <w:spacing w:after="0"/>
              <w:rPr>
                <w:sz w:val="20"/>
                <w:szCs w:val="20"/>
                <w:color w:val="auto"/>
              </w:rPr>
            </w:pPr>
            <w:r>
              <w:rPr>
                <w:rFonts w:ascii="Arial" w:cs="Arial" w:eastAsia="Arial" w:hAnsi="Arial"/>
                <w:sz w:val="18"/>
                <w:szCs w:val="18"/>
                <w:color w:val="auto"/>
              </w:rPr>
              <w:t>43,150</w:t>
            </w:r>
          </w:p>
        </w:tc>
        <w:tc>
          <w:tcPr>
            <w:tcW w:w="460" w:type="dxa"/>
            <w:vAlign w:val="bottom"/>
          </w:tcPr>
          <w:p>
            <w:pPr>
              <w:jc w:val="right"/>
              <w:spacing w:after="0"/>
              <w:rPr>
                <w:sz w:val="20"/>
                <w:szCs w:val="20"/>
                <w:color w:val="auto"/>
              </w:rPr>
            </w:pPr>
            <w:r>
              <w:rPr>
                <w:rFonts w:ascii="Arial" w:cs="Arial" w:eastAsia="Arial" w:hAnsi="Arial"/>
                <w:sz w:val="18"/>
                <w:szCs w:val="18"/>
                <w:color w:val="auto"/>
              </w:rPr>
              <w:t>28.4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LaCrosse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4,581</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61,178</w:t>
            </w:r>
          </w:p>
        </w:tc>
        <w:tc>
          <w:tcPr>
            <w:tcW w:w="11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27,818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119.9</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Lucerne</w:t>
            </w:r>
          </w:p>
        </w:tc>
        <w:tc>
          <w:tcPr>
            <w:tcW w:w="640" w:type="dxa"/>
            <w:vAlign w:val="bottom"/>
          </w:tcPr>
          <w:p>
            <w:pPr>
              <w:jc w:val="right"/>
              <w:spacing w:after="0"/>
              <w:rPr>
                <w:sz w:val="20"/>
                <w:szCs w:val="20"/>
                <w:color w:val="auto"/>
              </w:rPr>
            </w:pPr>
            <w:r>
              <w:rPr>
                <w:rFonts w:ascii="Arial" w:cs="Arial" w:eastAsia="Arial" w:hAnsi="Arial"/>
                <w:sz w:val="18"/>
                <w:szCs w:val="18"/>
                <w:color w:val="auto"/>
              </w:rPr>
              <w:t>2,262</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2,207</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26,459</w:t>
            </w:r>
          </w:p>
        </w:tc>
        <w:tc>
          <w:tcPr>
            <w:tcW w:w="1160" w:type="dxa"/>
            <w:vAlign w:val="bottom"/>
            <w:gridSpan w:val="3"/>
          </w:tcPr>
          <w:p>
            <w:pPr>
              <w:jc w:val="right"/>
              <w:ind w:right="112"/>
              <w:spacing w:after="0"/>
              <w:rPr>
                <w:sz w:val="20"/>
                <w:szCs w:val="20"/>
                <w:color w:val="auto"/>
              </w:rPr>
            </w:pPr>
            <w:r>
              <w:rPr>
                <w:rFonts w:ascii="Arial" w:cs="Arial" w:eastAsia="Arial" w:hAnsi="Arial"/>
                <w:sz w:val="18"/>
                <w:szCs w:val="18"/>
                <w:color w:val="auto"/>
              </w:rPr>
              <w:t>31,292</w:t>
            </w:r>
          </w:p>
        </w:tc>
        <w:tc>
          <w:tcPr>
            <w:tcW w:w="460" w:type="dxa"/>
            <w:vAlign w:val="bottom"/>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Rainier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Regal</w:t>
            </w:r>
          </w:p>
        </w:tc>
        <w:tc>
          <w:tcPr>
            <w:tcW w:w="640" w:type="dxa"/>
            <w:vAlign w:val="bottom"/>
          </w:tcPr>
          <w:p>
            <w:pPr>
              <w:jc w:val="right"/>
              <w:spacing w:after="0"/>
              <w:rPr>
                <w:sz w:val="20"/>
                <w:szCs w:val="20"/>
                <w:color w:val="auto"/>
              </w:rPr>
            </w:pPr>
            <w:r>
              <w:rPr>
                <w:rFonts w:ascii="Arial" w:cs="Arial" w:eastAsia="Arial" w:hAnsi="Arial"/>
                <w:sz w:val="18"/>
                <w:szCs w:val="18"/>
                <w:color w:val="auto"/>
              </w:rPr>
              <w:t>3,059</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12,326</w:t>
            </w:r>
          </w:p>
        </w:tc>
        <w:tc>
          <w:tcPr>
            <w:tcW w:w="1160" w:type="dxa"/>
            <w:vAlign w:val="bottom"/>
            <w:gridSpan w:val="3"/>
          </w:tcPr>
          <w:p>
            <w:pPr>
              <w:jc w:val="right"/>
              <w:ind w:right="112"/>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Rendezvous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Terraza</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3"/>
          </w:tcPr>
          <w:p>
            <w:pPr>
              <w:jc w:val="right"/>
              <w:ind w:right="112"/>
              <w:spacing w:after="0"/>
              <w:rPr>
                <w:sz w:val="20"/>
                <w:szCs w:val="20"/>
                <w:color w:val="auto"/>
              </w:rPr>
            </w:pPr>
            <w:r>
              <w:rPr>
                <w:rFonts w:ascii="Arial" w:cs="Arial" w:eastAsia="Arial" w:hAnsi="Arial"/>
                <w:sz w:val="18"/>
                <w:szCs w:val="18"/>
                <w:color w:val="auto"/>
              </w:rPr>
              <w:t>33</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left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Buick 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17,095</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12,237</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155,389</w:t>
            </w:r>
          </w:p>
        </w:tc>
        <w:tc>
          <w:tcPr>
            <w:tcW w:w="11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102,306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color w:val="auto"/>
              </w:rPr>
              <w:t>CTS</w:t>
            </w: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20" w:type="dxa"/>
            <w:vAlign w:val="bottom"/>
            <w:gridSpan w:val="3"/>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5,171</w:t>
            </w:r>
          </w:p>
        </w:tc>
        <w:tc>
          <w:tcPr>
            <w:tcW w:w="2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4,180</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460" w:type="dxa"/>
            <w:vAlign w:val="bottom"/>
          </w:tcPr>
          <w:p>
            <w:pPr>
              <w:jc w:val="right"/>
              <w:spacing w:after="0"/>
              <w:rPr>
                <w:sz w:val="20"/>
                <w:szCs w:val="20"/>
                <w:color w:val="auto"/>
              </w:rPr>
            </w:pPr>
            <w:r>
              <w:rPr>
                <w:rFonts w:ascii="Arial" w:cs="Arial" w:eastAsia="Arial" w:hAnsi="Arial"/>
                <w:sz w:val="18"/>
                <w:szCs w:val="18"/>
                <w:color w:val="auto"/>
              </w:rPr>
              <w:t>28.3</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45,656</w:t>
            </w:r>
          </w:p>
        </w:tc>
        <w:tc>
          <w:tcPr>
            <w:tcW w:w="1160" w:type="dxa"/>
            <w:vAlign w:val="bottom"/>
            <w:gridSpan w:val="3"/>
          </w:tcPr>
          <w:p>
            <w:pPr>
              <w:jc w:val="right"/>
              <w:ind w:right="112"/>
              <w:spacing w:after="0"/>
              <w:rPr>
                <w:sz w:val="20"/>
                <w:szCs w:val="20"/>
                <w:color w:val="auto"/>
              </w:rPr>
            </w:pPr>
            <w:r>
              <w:rPr>
                <w:rFonts w:ascii="Arial" w:cs="Arial" w:eastAsia="Arial" w:hAnsi="Arial"/>
                <w:sz w:val="18"/>
                <w:szCs w:val="18"/>
                <w:color w:val="auto"/>
              </w:rPr>
              <w:t>38,817</w:t>
            </w:r>
          </w:p>
        </w:tc>
        <w:tc>
          <w:tcPr>
            <w:tcW w:w="460" w:type="dxa"/>
            <w:vAlign w:val="bottom"/>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1,901</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18,640</w:t>
            </w:r>
          </w:p>
        </w:tc>
        <w:tc>
          <w:tcPr>
            <w:tcW w:w="11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17,330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Escalade</w:t>
            </w:r>
          </w:p>
        </w:tc>
        <w:tc>
          <w:tcPr>
            <w:tcW w:w="640" w:type="dxa"/>
            <w:vAlign w:val="bottom"/>
          </w:tcPr>
          <w:p>
            <w:pPr>
              <w:jc w:val="right"/>
              <w:spacing w:after="0"/>
              <w:rPr>
                <w:sz w:val="20"/>
                <w:szCs w:val="20"/>
                <w:color w:val="auto"/>
              </w:rPr>
            </w:pPr>
            <w:r>
              <w:rPr>
                <w:rFonts w:ascii="Arial" w:cs="Arial" w:eastAsia="Arial" w:hAnsi="Arial"/>
                <w:sz w:val="18"/>
                <w:szCs w:val="18"/>
                <w:color w:val="auto"/>
              </w:rPr>
              <w:t>2,286</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2,137</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460" w:type="dxa"/>
            <w:vAlign w:val="bottom"/>
          </w:tcPr>
          <w:p>
            <w:pPr>
              <w:jc w:val="right"/>
              <w:spacing w:after="0"/>
              <w:rPr>
                <w:sz w:val="20"/>
                <w:szCs w:val="20"/>
                <w:color w:val="auto"/>
              </w:rPr>
            </w:pPr>
            <w:r>
              <w:rPr>
                <w:rFonts w:ascii="Arial" w:cs="Arial" w:eastAsia="Arial" w:hAnsi="Arial"/>
                <w:sz w:val="18"/>
                <w:szCs w:val="18"/>
                <w:color w:val="auto"/>
              </w:rPr>
              <w:t>10.9</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16,118</w:t>
            </w:r>
          </w:p>
        </w:tc>
        <w:tc>
          <w:tcPr>
            <w:tcW w:w="1160" w:type="dxa"/>
            <w:vAlign w:val="bottom"/>
            <w:gridSpan w:val="3"/>
          </w:tcPr>
          <w:p>
            <w:pPr>
              <w:jc w:val="right"/>
              <w:ind w:right="112"/>
              <w:spacing w:after="0"/>
              <w:rPr>
                <w:sz w:val="20"/>
                <w:szCs w:val="20"/>
                <w:color w:val="auto"/>
              </w:rPr>
            </w:pPr>
            <w:r>
              <w:rPr>
                <w:rFonts w:ascii="Arial" w:cs="Arial" w:eastAsia="Arial" w:hAnsi="Arial"/>
                <w:sz w:val="18"/>
                <w:szCs w:val="18"/>
                <w:color w:val="auto"/>
              </w:rPr>
              <w:t>16,873</w:t>
            </w: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Escalade ESV</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875</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8,674</w:t>
            </w:r>
          </w:p>
        </w:tc>
        <w:tc>
          <w:tcPr>
            <w:tcW w:w="11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6,588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Escalade EXT</w:t>
            </w:r>
          </w:p>
        </w:tc>
        <w:tc>
          <w:tcPr>
            <w:tcW w:w="640" w:type="dxa"/>
            <w:vAlign w:val="bottom"/>
          </w:tcPr>
          <w:p>
            <w:pPr>
              <w:jc w:val="right"/>
              <w:spacing w:after="0"/>
              <w:rPr>
                <w:sz w:val="20"/>
                <w:szCs w:val="20"/>
                <w:color w:val="auto"/>
              </w:rPr>
            </w:pPr>
            <w:r>
              <w:rPr>
                <w:rFonts w:ascii="Arial" w:cs="Arial" w:eastAsia="Arial" w:hAnsi="Arial"/>
                <w:sz w:val="18"/>
                <w:szCs w:val="18"/>
                <w:color w:val="auto"/>
              </w:rPr>
              <w:t>266</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263</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2,082</w:t>
            </w:r>
          </w:p>
        </w:tc>
        <w:tc>
          <w:tcPr>
            <w:tcW w:w="1160" w:type="dxa"/>
            <w:vAlign w:val="bottom"/>
            <w:gridSpan w:val="3"/>
          </w:tcPr>
          <w:p>
            <w:pPr>
              <w:jc w:val="right"/>
              <w:ind w:right="112"/>
              <w:spacing w:after="0"/>
              <w:rPr>
                <w:sz w:val="20"/>
                <w:szCs w:val="20"/>
                <w:color w:val="auto"/>
              </w:rPr>
            </w:pPr>
            <w:r>
              <w:rPr>
                <w:rFonts w:ascii="Arial" w:cs="Arial" w:eastAsia="Arial" w:hAnsi="Arial"/>
                <w:sz w:val="18"/>
                <w:szCs w:val="18"/>
                <w:color w:val="auto"/>
              </w:rPr>
              <w:t>2,423</w:t>
            </w:r>
          </w:p>
        </w:tc>
        <w:tc>
          <w:tcPr>
            <w:tcW w:w="460" w:type="dxa"/>
            <w:vAlign w:val="bottom"/>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SRX</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4,986</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51,094</w:t>
            </w:r>
          </w:p>
        </w:tc>
        <w:tc>
          <w:tcPr>
            <w:tcW w:w="11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20,237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152.5</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STS</w:t>
            </w:r>
          </w:p>
        </w:tc>
        <w:tc>
          <w:tcPr>
            <w:tcW w:w="640" w:type="dxa"/>
            <w:vAlign w:val="bottom"/>
          </w:tcPr>
          <w:p>
            <w:pPr>
              <w:jc w:val="right"/>
              <w:spacing w:after="0"/>
              <w:rPr>
                <w:sz w:val="20"/>
                <w:szCs w:val="20"/>
                <w:color w:val="auto"/>
              </w:rPr>
            </w:pPr>
            <w:r>
              <w:rPr>
                <w:rFonts w:ascii="Arial" w:cs="Arial" w:eastAsia="Arial" w:hAnsi="Arial"/>
                <w:sz w:val="18"/>
                <w:szCs w:val="18"/>
                <w:color w:val="auto"/>
              </w:rPr>
              <w:t>329</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360</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4,473</w:t>
            </w:r>
          </w:p>
        </w:tc>
        <w:tc>
          <w:tcPr>
            <w:tcW w:w="1160" w:type="dxa"/>
            <w:vAlign w:val="bottom"/>
            <w:gridSpan w:val="3"/>
          </w:tcPr>
          <w:p>
            <w:pPr>
              <w:jc w:val="right"/>
              <w:ind w:right="112"/>
              <w:spacing w:after="0"/>
              <w:rPr>
                <w:sz w:val="20"/>
                <w:szCs w:val="20"/>
                <w:color w:val="auto"/>
              </w:rPr>
            </w:pPr>
            <w:r>
              <w:rPr>
                <w:rFonts w:ascii="Arial" w:cs="Arial" w:eastAsia="Arial" w:hAnsi="Arial"/>
                <w:sz w:val="18"/>
                <w:szCs w:val="18"/>
                <w:color w:val="auto"/>
              </w:rPr>
              <w:t>6,037</w:t>
            </w:r>
          </w:p>
        </w:tc>
        <w:tc>
          <w:tcPr>
            <w:tcW w:w="46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XLR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1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787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420"/>
              <w:spacing w:after="0"/>
              <w:rPr>
                <w:sz w:val="20"/>
                <w:szCs w:val="20"/>
                <w:color w:val="auto"/>
              </w:rPr>
            </w:pPr>
            <w:r>
              <w:rPr>
                <w:rFonts w:ascii="Arial" w:cs="Arial" w:eastAsia="Arial" w:hAnsi="Arial"/>
                <w:sz w:val="18"/>
                <w:szCs w:val="18"/>
                <w:color w:val="auto"/>
              </w:rPr>
              <w:t>Cadillac Total</w:t>
            </w:r>
          </w:p>
        </w:tc>
        <w:tc>
          <w:tcPr>
            <w:tcW w:w="640" w:type="dxa"/>
            <w:vAlign w:val="bottom"/>
          </w:tcPr>
          <w:p>
            <w:pPr>
              <w:jc w:val="right"/>
              <w:spacing w:after="0"/>
              <w:rPr>
                <w:sz w:val="20"/>
                <w:szCs w:val="20"/>
                <w:color w:val="auto"/>
              </w:rPr>
            </w:pPr>
            <w:r>
              <w:rPr>
                <w:rFonts w:ascii="Arial" w:cs="Arial" w:eastAsia="Arial" w:hAnsi="Arial"/>
                <w:sz w:val="18"/>
                <w:szCs w:val="18"/>
                <w:color w:val="auto"/>
              </w:rPr>
              <w:t>16,718</w:t>
            </w: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14,745</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460" w:type="dxa"/>
            <w:vAlign w:val="bottom"/>
          </w:tcPr>
          <w:p>
            <w:pPr>
              <w:jc w:val="right"/>
              <w:spacing w:after="0"/>
              <w:rPr>
                <w:sz w:val="20"/>
                <w:szCs w:val="20"/>
                <w:color w:val="auto"/>
              </w:rPr>
            </w:pPr>
            <w:r>
              <w:rPr>
                <w:rFonts w:ascii="Arial" w:cs="Arial" w:eastAsia="Arial" w:hAnsi="Arial"/>
                <w:sz w:val="18"/>
                <w:szCs w:val="18"/>
                <w:color w:val="auto"/>
              </w:rPr>
              <w:t>17.6</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146,925</w:t>
            </w:r>
          </w:p>
        </w:tc>
        <w:tc>
          <w:tcPr>
            <w:tcW w:w="1160" w:type="dxa"/>
            <w:vAlign w:val="bottom"/>
            <w:gridSpan w:val="3"/>
          </w:tcPr>
          <w:p>
            <w:pPr>
              <w:jc w:val="right"/>
              <w:ind w:right="112"/>
              <w:spacing w:after="0"/>
              <w:rPr>
                <w:sz w:val="20"/>
                <w:szCs w:val="20"/>
                <w:color w:val="auto"/>
              </w:rPr>
            </w:pPr>
            <w:r>
              <w:rPr>
                <w:rFonts w:ascii="Arial" w:cs="Arial" w:eastAsia="Arial" w:hAnsi="Arial"/>
                <w:sz w:val="18"/>
                <w:szCs w:val="18"/>
                <w:color w:val="auto"/>
              </w:rPr>
              <w:t>109,092</w:t>
            </w:r>
          </w:p>
        </w:tc>
        <w:tc>
          <w:tcPr>
            <w:tcW w:w="460" w:type="dxa"/>
            <w:vAlign w:val="bottom"/>
          </w:tcPr>
          <w:p>
            <w:pPr>
              <w:jc w:val="right"/>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Avalanche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2,120</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20,515</w:t>
            </w:r>
          </w:p>
        </w:tc>
        <w:tc>
          <w:tcPr>
            <w:tcW w:w="11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16,432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Aveo</w:t>
            </w:r>
          </w:p>
        </w:tc>
        <w:tc>
          <w:tcPr>
            <w:tcW w:w="640" w:type="dxa"/>
            <w:vAlign w:val="bottom"/>
          </w:tcPr>
          <w:p>
            <w:pPr>
              <w:jc w:val="right"/>
              <w:spacing w:after="0"/>
              <w:rPr>
                <w:sz w:val="20"/>
                <w:szCs w:val="20"/>
                <w:color w:val="auto"/>
              </w:rPr>
            </w:pPr>
            <w:r>
              <w:rPr>
                <w:rFonts w:ascii="Arial" w:cs="Arial" w:eastAsia="Arial" w:hAnsi="Arial"/>
                <w:sz w:val="18"/>
                <w:szCs w:val="18"/>
                <w:color w:val="auto"/>
              </w:rPr>
              <w:t>4,037</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3,359</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20.2</w:t>
            </w:r>
          </w:p>
        </w:tc>
        <w:tc>
          <w:tcPr>
            <w:tcW w:w="460" w:type="dxa"/>
            <w:vAlign w:val="bottom"/>
          </w:tcPr>
          <w:p>
            <w:pPr>
              <w:jc w:val="right"/>
              <w:spacing w:after="0"/>
              <w:rPr>
                <w:sz w:val="20"/>
                <w:szCs w:val="20"/>
                <w:color w:val="auto"/>
              </w:rPr>
            </w:pPr>
            <w:r>
              <w:rPr>
                <w:rFonts w:ascii="Arial" w:cs="Arial" w:eastAsia="Arial" w:hAnsi="Arial"/>
                <w:sz w:val="18"/>
                <w:szCs w:val="18"/>
                <w:color w:val="auto"/>
              </w:rPr>
              <w:t>24.6</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48,623</w:t>
            </w:r>
          </w:p>
        </w:tc>
        <w:tc>
          <w:tcPr>
            <w:tcW w:w="1160" w:type="dxa"/>
            <w:vAlign w:val="bottom"/>
            <w:gridSpan w:val="3"/>
          </w:tcPr>
          <w:p>
            <w:pPr>
              <w:jc w:val="right"/>
              <w:ind w:right="112"/>
              <w:spacing w:after="0"/>
              <w:rPr>
                <w:sz w:val="20"/>
                <w:szCs w:val="20"/>
                <w:color w:val="auto"/>
              </w:rPr>
            </w:pPr>
            <w:r>
              <w:rPr>
                <w:rFonts w:ascii="Arial" w:cs="Arial" w:eastAsia="Arial" w:hAnsi="Arial"/>
                <w:sz w:val="18"/>
                <w:szCs w:val="18"/>
                <w:color w:val="auto"/>
              </w:rPr>
              <w:t>38,516</w:t>
            </w:r>
          </w:p>
        </w:tc>
        <w:tc>
          <w:tcPr>
            <w:tcW w:w="460" w:type="dxa"/>
            <w:vAlign w:val="bottom"/>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Camaro</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7,548</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81,299</w:t>
            </w:r>
          </w:p>
        </w:tc>
        <w:tc>
          <w:tcPr>
            <w:tcW w:w="11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61,648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Chevy C/T Series</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160" w:type="dxa"/>
            <w:vAlign w:val="bottom"/>
            <w:gridSpan w:val="3"/>
          </w:tcPr>
          <w:p>
            <w:pPr>
              <w:jc w:val="right"/>
              <w:ind w:right="112"/>
              <w:spacing w:after="0"/>
              <w:rPr>
                <w:sz w:val="20"/>
                <w:szCs w:val="20"/>
                <w:color w:val="auto"/>
              </w:rPr>
            </w:pPr>
            <w:r>
              <w:rPr>
                <w:rFonts w:ascii="Arial" w:cs="Arial" w:eastAsia="Arial" w:hAnsi="Arial"/>
                <w:sz w:val="18"/>
                <w:szCs w:val="18"/>
                <w:color w:val="auto"/>
              </w:rPr>
              <w:t>41</w:t>
            </w:r>
          </w:p>
        </w:tc>
        <w:tc>
          <w:tcPr>
            <w:tcW w:w="460" w:type="dxa"/>
            <w:vAlign w:val="bottom"/>
          </w:tcPr>
          <w:p>
            <w:pPr>
              <w:jc w:val="right"/>
              <w:spacing w:after="0"/>
              <w:rPr>
                <w:sz w:val="20"/>
                <w:szCs w:val="20"/>
                <w:color w:val="auto"/>
              </w:rPr>
            </w:pPr>
            <w:r>
              <w:rPr>
                <w:rFonts w:ascii="Arial" w:cs="Arial" w:eastAsia="Arial" w:hAnsi="Arial"/>
                <w:sz w:val="18"/>
                <w:szCs w:val="18"/>
                <w:color w:val="auto"/>
              </w:rPr>
              <w:t>-78.0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Chevy W Series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1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694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Cobalt</w:t>
            </w:r>
          </w:p>
        </w:tc>
        <w:tc>
          <w:tcPr>
            <w:tcW w:w="640" w:type="dxa"/>
            <w:vAlign w:val="bottom"/>
          </w:tcPr>
          <w:p>
            <w:pPr>
              <w:jc w:val="right"/>
              <w:spacing w:after="0"/>
              <w:rPr>
                <w:sz w:val="20"/>
                <w:szCs w:val="20"/>
                <w:color w:val="auto"/>
              </w:rPr>
            </w:pPr>
            <w:r>
              <w:rPr>
                <w:rFonts w:ascii="Arial" w:cs="Arial" w:eastAsia="Arial" w:hAnsi="Arial"/>
                <w:sz w:val="18"/>
                <w:szCs w:val="18"/>
                <w:color w:val="auto"/>
              </w:rPr>
              <w:t>636</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8,672</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-92.7</w:t>
            </w:r>
          </w:p>
        </w:tc>
        <w:tc>
          <w:tcPr>
            <w:tcW w:w="460" w:type="dxa"/>
            <w:vAlign w:val="bottom"/>
          </w:tcPr>
          <w:p>
            <w:pPr>
              <w:jc w:val="right"/>
              <w:spacing w:after="0"/>
              <w:rPr>
                <w:sz w:val="20"/>
                <w:szCs w:val="20"/>
                <w:color w:val="auto"/>
              </w:rPr>
            </w:pPr>
            <w:r>
              <w:rPr>
                <w:rFonts w:ascii="Arial" w:cs="Arial" w:eastAsia="Arial" w:hAnsi="Arial"/>
                <w:sz w:val="18"/>
                <w:szCs w:val="18"/>
                <w:color w:val="auto"/>
              </w:rPr>
              <w:t>-92.4</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97,376</w:t>
            </w:r>
          </w:p>
        </w:tc>
        <w:tc>
          <w:tcPr>
            <w:tcW w:w="1160" w:type="dxa"/>
            <w:vAlign w:val="bottom"/>
            <w:gridSpan w:val="3"/>
          </w:tcPr>
          <w:p>
            <w:pPr>
              <w:jc w:val="right"/>
              <w:ind w:right="112"/>
              <w:spacing w:after="0"/>
              <w:rPr>
                <w:sz w:val="20"/>
                <w:szCs w:val="20"/>
                <w:color w:val="auto"/>
              </w:rPr>
            </w:pPr>
            <w:r>
              <w:rPr>
                <w:rFonts w:ascii="Arial" w:cs="Arial" w:eastAsia="Arial" w:hAnsi="Arial"/>
                <w:sz w:val="18"/>
                <w:szCs w:val="18"/>
                <w:color w:val="auto"/>
              </w:rPr>
              <w:t>104,724</w:t>
            </w: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Colorado</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1,799</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24,642</w:t>
            </w:r>
          </w:p>
        </w:tc>
        <w:tc>
          <w:tcPr>
            <w:tcW w:w="11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32,413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Corvette</w:t>
            </w:r>
          </w:p>
        </w:tc>
        <w:tc>
          <w:tcPr>
            <w:tcW w:w="640" w:type="dxa"/>
            <w:vAlign w:val="bottom"/>
          </w:tcPr>
          <w:p>
            <w:pPr>
              <w:jc w:val="right"/>
              <w:spacing w:after="0"/>
              <w:rPr>
                <w:sz w:val="20"/>
                <w:szCs w:val="20"/>
                <w:color w:val="auto"/>
              </w:rPr>
            </w:pPr>
            <w:r>
              <w:rPr>
                <w:rFonts w:ascii="Arial" w:cs="Arial" w:eastAsia="Arial" w:hAnsi="Arial"/>
                <w:sz w:val="18"/>
                <w:szCs w:val="18"/>
                <w:color w:val="auto"/>
              </w:rPr>
              <w:t>979</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1,033</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12,624</w:t>
            </w:r>
          </w:p>
        </w:tc>
        <w:tc>
          <w:tcPr>
            <w:tcW w:w="1160" w:type="dxa"/>
            <w:vAlign w:val="bottom"/>
            <w:gridSpan w:val="3"/>
          </w:tcPr>
          <w:p>
            <w:pPr>
              <w:jc w:val="right"/>
              <w:ind w:right="112"/>
              <w:spacing w:after="0"/>
              <w:rPr>
                <w:sz w:val="20"/>
                <w:szCs w:val="20"/>
                <w:color w:val="auto"/>
              </w:rPr>
            </w:pPr>
            <w:r>
              <w:rPr>
                <w:rFonts w:ascii="Arial" w:cs="Arial" w:eastAsia="Arial" w:hAnsi="Arial"/>
                <w:sz w:val="18"/>
                <w:szCs w:val="18"/>
                <w:color w:val="auto"/>
              </w:rPr>
              <w:t>13,934</w:t>
            </w:r>
          </w:p>
        </w:tc>
        <w:tc>
          <w:tcPr>
            <w:tcW w:w="46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Cruze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10,865</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24,495</w:t>
            </w:r>
          </w:p>
        </w:tc>
        <w:tc>
          <w:tcPr>
            <w:tcW w:w="11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Equinox</w:t>
            </w:r>
          </w:p>
        </w:tc>
        <w:tc>
          <w:tcPr>
            <w:tcW w:w="640" w:type="dxa"/>
            <w:vAlign w:val="bottom"/>
          </w:tcPr>
          <w:p>
            <w:pPr>
              <w:jc w:val="right"/>
              <w:spacing w:after="0"/>
              <w:rPr>
                <w:sz w:val="20"/>
                <w:szCs w:val="20"/>
                <w:color w:val="auto"/>
              </w:rPr>
            </w:pPr>
            <w:r>
              <w:rPr>
                <w:rFonts w:ascii="Arial" w:cs="Arial" w:eastAsia="Arial" w:hAnsi="Arial"/>
                <w:sz w:val="18"/>
                <w:szCs w:val="18"/>
                <w:color w:val="auto"/>
              </w:rPr>
              <w:t>22,764</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12,711</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79.1</w:t>
            </w:r>
          </w:p>
        </w:tc>
        <w:tc>
          <w:tcPr>
            <w:tcW w:w="460" w:type="dxa"/>
            <w:vAlign w:val="bottom"/>
          </w:tcPr>
          <w:p>
            <w:pPr>
              <w:jc w:val="right"/>
              <w:spacing w:after="0"/>
              <w:rPr>
                <w:sz w:val="20"/>
                <w:szCs w:val="20"/>
                <w:color w:val="auto"/>
              </w:rPr>
            </w:pPr>
            <w:r>
              <w:rPr>
                <w:rFonts w:ascii="Arial" w:cs="Arial" w:eastAsia="Arial" w:hAnsi="Arial"/>
                <w:sz w:val="18"/>
                <w:szCs w:val="18"/>
                <w:color w:val="auto"/>
              </w:rPr>
              <w:t>85.7</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149,979</w:t>
            </w:r>
          </w:p>
        </w:tc>
        <w:tc>
          <w:tcPr>
            <w:tcW w:w="1160" w:type="dxa"/>
            <w:vAlign w:val="bottom"/>
            <w:gridSpan w:val="3"/>
          </w:tcPr>
          <w:p>
            <w:pPr>
              <w:jc w:val="right"/>
              <w:ind w:right="112"/>
              <w:spacing w:after="0"/>
              <w:rPr>
                <w:sz w:val="20"/>
                <w:szCs w:val="20"/>
                <w:color w:val="auto"/>
              </w:rPr>
            </w:pPr>
            <w:r>
              <w:rPr>
                <w:rFonts w:ascii="Arial" w:cs="Arial" w:eastAsia="Arial" w:hAnsi="Arial"/>
                <w:sz w:val="18"/>
                <w:szCs w:val="18"/>
                <w:color w:val="auto"/>
              </w:rPr>
              <w:t>86,148</w:t>
            </w:r>
          </w:p>
        </w:tc>
        <w:tc>
          <w:tcPr>
            <w:tcW w:w="460" w:type="dxa"/>
            <w:vAlign w:val="bottom"/>
          </w:tcPr>
          <w:p>
            <w:pPr>
              <w:jc w:val="right"/>
              <w:spacing w:after="0"/>
              <w:rPr>
                <w:sz w:val="20"/>
                <w:szCs w:val="20"/>
                <w:color w:val="auto"/>
              </w:rPr>
            </w:pPr>
            <w:r>
              <w:rPr>
                <w:rFonts w:ascii="Arial" w:cs="Arial" w:eastAsia="Arial" w:hAnsi="Arial"/>
                <w:sz w:val="18"/>
                <w:szCs w:val="18"/>
                <w:color w:val="auto"/>
              </w:rPr>
              <w:t>74.1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Express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5,162</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59,753</w:t>
            </w:r>
          </w:p>
        </w:tc>
        <w:tc>
          <w:tcPr>
            <w:tcW w:w="11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54,302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HHR</w:t>
            </w:r>
          </w:p>
        </w:tc>
        <w:tc>
          <w:tcPr>
            <w:tcW w:w="640" w:type="dxa"/>
            <w:vAlign w:val="bottom"/>
          </w:tcPr>
          <w:p>
            <w:pPr>
              <w:jc w:val="right"/>
              <w:spacing w:after="0"/>
              <w:rPr>
                <w:sz w:val="20"/>
                <w:szCs w:val="20"/>
                <w:color w:val="auto"/>
              </w:rPr>
            </w:pPr>
            <w:r>
              <w:rPr>
                <w:rFonts w:ascii="Arial" w:cs="Arial" w:eastAsia="Arial" w:hAnsi="Arial"/>
                <w:sz w:val="18"/>
                <w:szCs w:val="18"/>
                <w:color w:val="auto"/>
              </w:rPr>
              <w:t>4,030</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3,440</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460" w:type="dxa"/>
            <w:vAlign w:val="bottom"/>
          </w:tcPr>
          <w:p>
            <w:pPr>
              <w:jc w:val="right"/>
              <w:spacing w:after="0"/>
              <w:rPr>
                <w:sz w:val="20"/>
                <w:szCs w:val="20"/>
                <w:color w:val="auto"/>
              </w:rPr>
            </w:pPr>
            <w:r>
              <w:rPr>
                <w:rFonts w:ascii="Arial" w:cs="Arial" w:eastAsia="Arial" w:hAnsi="Arial"/>
                <w:sz w:val="18"/>
                <w:szCs w:val="18"/>
                <w:color w:val="auto"/>
              </w:rPr>
              <w:t>21.5</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75,401</w:t>
            </w:r>
          </w:p>
        </w:tc>
        <w:tc>
          <w:tcPr>
            <w:tcW w:w="1160" w:type="dxa"/>
            <w:vAlign w:val="bottom"/>
            <w:gridSpan w:val="3"/>
          </w:tcPr>
          <w:p>
            <w:pPr>
              <w:jc w:val="right"/>
              <w:ind w:right="112"/>
              <w:spacing w:after="0"/>
              <w:rPr>
                <w:sz w:val="20"/>
                <w:szCs w:val="20"/>
                <w:color w:val="auto"/>
              </w:rPr>
            </w:pPr>
            <w:r>
              <w:rPr>
                <w:rFonts w:ascii="Arial" w:cs="Arial" w:eastAsia="Arial" w:hAnsi="Arial"/>
                <w:sz w:val="18"/>
                <w:szCs w:val="18"/>
                <w:color w:val="auto"/>
              </w:rPr>
              <w:t>70,842</w:t>
            </w:r>
          </w:p>
        </w:tc>
        <w:tc>
          <w:tcPr>
            <w:tcW w:w="46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Impala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11,411</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13,613</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172,078</w:t>
            </w:r>
          </w:p>
        </w:tc>
        <w:tc>
          <w:tcPr>
            <w:tcW w:w="11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165,565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Kodiak 4/5 Series</w:t>
            </w: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404</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-96.0</w:t>
            </w:r>
          </w:p>
        </w:tc>
        <w:tc>
          <w:tcPr>
            <w:tcW w:w="460" w:type="dxa"/>
            <w:vAlign w:val="bottom"/>
          </w:tcPr>
          <w:p>
            <w:pPr>
              <w:jc w:val="right"/>
              <w:spacing w:after="0"/>
              <w:rPr>
                <w:sz w:val="20"/>
                <w:szCs w:val="20"/>
                <w:color w:val="auto"/>
              </w:rPr>
            </w:pPr>
            <w:r>
              <w:rPr>
                <w:rFonts w:ascii="Arial" w:cs="Arial" w:eastAsia="Arial" w:hAnsi="Arial"/>
                <w:sz w:val="18"/>
                <w:szCs w:val="18"/>
                <w:color w:val="auto"/>
              </w:rPr>
              <w:t>-95.9</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1,205</w:t>
            </w:r>
          </w:p>
        </w:tc>
        <w:tc>
          <w:tcPr>
            <w:tcW w:w="1160" w:type="dxa"/>
            <w:vAlign w:val="bottom"/>
            <w:gridSpan w:val="3"/>
          </w:tcPr>
          <w:p>
            <w:pPr>
              <w:jc w:val="right"/>
              <w:ind w:right="112"/>
              <w:spacing w:after="0"/>
              <w:rPr>
                <w:sz w:val="20"/>
                <w:szCs w:val="20"/>
                <w:color w:val="auto"/>
              </w:rPr>
            </w:pPr>
            <w:r>
              <w:rPr>
                <w:rFonts w:ascii="Arial" w:cs="Arial" w:eastAsia="Arial" w:hAnsi="Arial"/>
                <w:sz w:val="18"/>
                <w:szCs w:val="18"/>
                <w:color w:val="auto"/>
              </w:rPr>
              <w:t>4,369</w:t>
            </w:r>
          </w:p>
        </w:tc>
        <w:tc>
          <w:tcPr>
            <w:tcW w:w="460" w:type="dxa"/>
            <w:vAlign w:val="bottom"/>
          </w:tcPr>
          <w:p>
            <w:pPr>
              <w:jc w:val="right"/>
              <w:spacing w:after="0"/>
              <w:rPr>
                <w:sz w:val="20"/>
                <w:szCs w:val="20"/>
                <w:color w:val="auto"/>
              </w:rPr>
            </w:pPr>
            <w:r>
              <w:rPr>
                <w:rFonts w:ascii="Arial" w:cs="Arial" w:eastAsia="Arial" w:hAnsi="Arial"/>
                <w:sz w:val="18"/>
                <w:szCs w:val="18"/>
                <w:color w:val="auto"/>
              </w:rPr>
              <w:t>-72.4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Kodiak 6/7/8 Series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1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913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Malibu</w:t>
            </w:r>
          </w:p>
        </w:tc>
        <w:tc>
          <w:tcPr>
            <w:tcW w:w="640" w:type="dxa"/>
            <w:vAlign w:val="bottom"/>
          </w:tcPr>
          <w:p>
            <w:pPr>
              <w:jc w:val="right"/>
              <w:spacing w:after="0"/>
              <w:rPr>
                <w:sz w:val="20"/>
                <w:szCs w:val="20"/>
                <w:color w:val="auto"/>
              </w:rPr>
            </w:pPr>
            <w:r>
              <w:rPr>
                <w:rFonts w:ascii="Arial" w:cs="Arial" w:eastAsia="Arial" w:hAnsi="Arial"/>
                <w:sz w:val="18"/>
                <w:szCs w:val="18"/>
                <w:color w:val="auto"/>
              </w:rPr>
              <w:t>11,520</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19,374</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-40.5</w:t>
            </w:r>
          </w:p>
        </w:tc>
        <w:tc>
          <w:tcPr>
            <w:tcW w:w="460" w:type="dxa"/>
            <w:vAlign w:val="bottom"/>
          </w:tcPr>
          <w:p>
            <w:pPr>
              <w:jc w:val="right"/>
              <w:spacing w:after="0"/>
              <w:rPr>
                <w:sz w:val="20"/>
                <w:szCs w:val="20"/>
                <w:color w:val="auto"/>
              </w:rPr>
            </w:pPr>
            <w:r>
              <w:rPr>
                <w:rFonts w:ascii="Arial" w:cs="Arial" w:eastAsia="Arial" w:hAnsi="Arial"/>
                <w:sz w:val="18"/>
                <w:szCs w:val="18"/>
                <w:color w:val="auto"/>
              </w:rPr>
              <w:t>-38.3</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198,770</w:t>
            </w:r>
          </w:p>
        </w:tc>
        <w:tc>
          <w:tcPr>
            <w:tcW w:w="1160" w:type="dxa"/>
            <w:vAlign w:val="bottom"/>
            <w:gridSpan w:val="3"/>
          </w:tcPr>
          <w:p>
            <w:pPr>
              <w:jc w:val="right"/>
              <w:ind w:right="112"/>
              <w:spacing w:after="0"/>
              <w:rPr>
                <w:sz w:val="20"/>
                <w:szCs w:val="20"/>
                <w:color w:val="auto"/>
              </w:rPr>
            </w:pPr>
            <w:r>
              <w:rPr>
                <w:rFonts w:ascii="Arial" w:cs="Arial" w:eastAsia="Arial" w:hAnsi="Arial"/>
                <w:sz w:val="18"/>
                <w:szCs w:val="18"/>
                <w:color w:val="auto"/>
              </w:rPr>
              <w:t>161,568</w:t>
            </w:r>
          </w:p>
        </w:tc>
        <w:tc>
          <w:tcPr>
            <w:tcW w:w="460" w:type="dxa"/>
            <w:vAlign w:val="bottom"/>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Monte Carlo</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Silverado-C/K Pickup</w:t>
            </w:r>
          </w:p>
        </w:tc>
        <w:tc>
          <w:tcPr>
            <w:tcW w:w="640" w:type="dxa"/>
            <w:vAlign w:val="bottom"/>
          </w:tcPr>
          <w:p>
            <w:pPr>
              <w:jc w:val="right"/>
              <w:spacing w:after="0"/>
              <w:rPr>
                <w:sz w:val="20"/>
                <w:szCs w:val="20"/>
                <w:color w:val="auto"/>
              </w:rPr>
            </w:pPr>
            <w:r>
              <w:rPr>
                <w:rFonts w:ascii="Arial" w:cs="Arial" w:eastAsia="Arial" w:hAnsi="Arial"/>
                <w:sz w:val="18"/>
                <w:szCs w:val="18"/>
                <w:color w:val="auto"/>
              </w:rPr>
              <w:t>42,518</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33,301</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27.7</w:t>
            </w:r>
          </w:p>
        </w:tc>
        <w:tc>
          <w:tcPr>
            <w:tcW w:w="460" w:type="dxa"/>
            <w:vAlign w:val="bottom"/>
          </w:tcPr>
          <w:p>
            <w:pPr>
              <w:jc w:val="right"/>
              <w:spacing w:after="0"/>
              <w:rPr>
                <w:sz w:val="20"/>
                <w:szCs w:val="20"/>
                <w:color w:val="auto"/>
              </w:rPr>
            </w:pPr>
            <w:r>
              <w:rPr>
                <w:rFonts w:ascii="Arial" w:cs="Arial" w:eastAsia="Arial" w:hAnsi="Arial"/>
                <w:sz w:val="18"/>
                <w:szCs w:val="18"/>
                <w:color w:val="auto"/>
              </w:rPr>
              <w:t>32.4</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370,135</w:t>
            </w:r>
          </w:p>
        </w:tc>
        <w:tc>
          <w:tcPr>
            <w:tcW w:w="1160" w:type="dxa"/>
            <w:vAlign w:val="bottom"/>
            <w:gridSpan w:val="3"/>
          </w:tcPr>
          <w:p>
            <w:pPr>
              <w:jc w:val="right"/>
              <w:ind w:right="112"/>
              <w:spacing w:after="0"/>
              <w:rPr>
                <w:sz w:val="20"/>
                <w:szCs w:val="20"/>
                <w:color w:val="auto"/>
              </w:rPr>
            </w:pPr>
            <w:r>
              <w:rPr>
                <w:rFonts w:ascii="Arial" w:cs="Arial" w:eastAsia="Arial" w:hAnsi="Arial"/>
                <w:sz w:val="18"/>
                <w:szCs w:val="18"/>
                <w:color w:val="auto"/>
              </w:rPr>
              <w:t>316,544</w:t>
            </w:r>
          </w:p>
        </w:tc>
        <w:tc>
          <w:tcPr>
            <w:tcW w:w="460" w:type="dxa"/>
            <w:vAlign w:val="bottom"/>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Suburban (Chevy)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4,705</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45,152</w:t>
            </w:r>
          </w:p>
        </w:tc>
        <w:tc>
          <w:tcPr>
            <w:tcW w:w="11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41,055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Tahoe</w:t>
            </w:r>
          </w:p>
        </w:tc>
        <w:tc>
          <w:tcPr>
            <w:tcW w:w="640" w:type="dxa"/>
            <w:vAlign w:val="bottom"/>
          </w:tcPr>
          <w:p>
            <w:pPr>
              <w:jc w:val="right"/>
              <w:spacing w:after="0"/>
              <w:rPr>
                <w:sz w:val="20"/>
                <w:szCs w:val="20"/>
                <w:color w:val="auto"/>
              </w:rPr>
            </w:pPr>
            <w:r>
              <w:rPr>
                <w:rFonts w:ascii="Arial" w:cs="Arial" w:eastAsia="Arial" w:hAnsi="Arial"/>
                <w:sz w:val="18"/>
                <w:szCs w:val="18"/>
                <w:color w:val="auto"/>
              </w:rPr>
              <w:t>7,482</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9,283</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460" w:type="dxa"/>
            <w:vAlign w:val="bottom"/>
          </w:tcPr>
          <w:p>
            <w:pPr>
              <w:jc w:val="right"/>
              <w:spacing w:after="0"/>
              <w:rPr>
                <w:sz w:val="20"/>
                <w:szCs w:val="20"/>
                <w:color w:val="auto"/>
              </w:rPr>
            </w:pPr>
            <w:r>
              <w:rPr>
                <w:rFonts w:ascii="Arial" w:cs="Arial" w:eastAsia="Arial" w:hAnsi="Arial"/>
                <w:sz w:val="18"/>
                <w:szCs w:val="18"/>
                <w:color w:val="auto"/>
              </w:rPr>
              <w:t>-16.4</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75,675</w:t>
            </w:r>
          </w:p>
        </w:tc>
        <w:tc>
          <w:tcPr>
            <w:tcW w:w="1160" w:type="dxa"/>
            <w:vAlign w:val="bottom"/>
            <w:gridSpan w:val="3"/>
          </w:tcPr>
          <w:p>
            <w:pPr>
              <w:jc w:val="right"/>
              <w:ind w:right="112"/>
              <w:spacing w:after="0"/>
              <w:rPr>
                <w:sz w:val="20"/>
                <w:szCs w:val="20"/>
                <w:color w:val="auto"/>
              </w:rPr>
            </w:pPr>
            <w:r>
              <w:rPr>
                <w:rFonts w:ascii="Arial" w:cs="Arial" w:eastAsia="Arial" w:hAnsi="Arial"/>
                <w:sz w:val="18"/>
                <w:szCs w:val="18"/>
                <w:color w:val="auto"/>
              </w:rPr>
              <w:t>73,254</w:t>
            </w: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TrailBlazer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1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8,829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Traverse</w:t>
            </w:r>
          </w:p>
        </w:tc>
        <w:tc>
          <w:tcPr>
            <w:tcW w:w="640" w:type="dxa"/>
            <w:vAlign w:val="bottom"/>
          </w:tcPr>
          <w:p>
            <w:pPr>
              <w:jc w:val="right"/>
              <w:spacing w:after="0"/>
              <w:rPr>
                <w:sz w:val="20"/>
                <w:szCs w:val="20"/>
                <w:color w:val="auto"/>
              </w:rPr>
            </w:pPr>
            <w:r>
              <w:rPr>
                <w:rFonts w:ascii="Arial" w:cs="Arial" w:eastAsia="Arial" w:hAnsi="Arial"/>
                <w:sz w:val="18"/>
                <w:szCs w:val="18"/>
                <w:color w:val="auto"/>
              </w:rPr>
              <w:t>10,523</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8,864</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460" w:type="dxa"/>
            <w:vAlign w:val="bottom"/>
          </w:tcPr>
          <w:p>
            <w:pPr>
              <w:jc w:val="right"/>
              <w:spacing w:after="0"/>
              <w:rPr>
                <w:sz w:val="20"/>
                <w:szCs w:val="20"/>
                <w:color w:val="auto"/>
              </w:rPr>
            </w:pPr>
            <w:r>
              <w:rPr>
                <w:rFonts w:ascii="Arial" w:cs="Arial" w:eastAsia="Arial" w:hAnsi="Arial"/>
                <w:sz w:val="18"/>
                <w:szCs w:val="18"/>
                <w:color w:val="auto"/>
              </w:rPr>
              <w:t>23.1</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106,744</w:t>
            </w:r>
          </w:p>
        </w:tc>
        <w:tc>
          <w:tcPr>
            <w:tcW w:w="1160" w:type="dxa"/>
            <w:vAlign w:val="bottom"/>
            <w:gridSpan w:val="3"/>
          </w:tcPr>
          <w:p>
            <w:pPr>
              <w:jc w:val="right"/>
              <w:ind w:right="112"/>
              <w:spacing w:after="0"/>
              <w:rPr>
                <w:sz w:val="20"/>
                <w:szCs w:val="20"/>
                <w:color w:val="auto"/>
              </w:rPr>
            </w:pPr>
            <w:r>
              <w:rPr>
                <w:rFonts w:ascii="Arial" w:cs="Arial" w:eastAsia="Arial" w:hAnsi="Arial"/>
                <w:sz w:val="18"/>
                <w:szCs w:val="18"/>
                <w:color w:val="auto"/>
              </w:rPr>
              <w:t>91,074</w:t>
            </w:r>
          </w:p>
        </w:tc>
        <w:tc>
          <w:tcPr>
            <w:tcW w:w="460" w:type="dxa"/>
            <w:vAlign w:val="bottom"/>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Uplander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1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1,758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Volt</w:t>
            </w:r>
          </w:p>
        </w:tc>
        <w:tc>
          <w:tcPr>
            <w:tcW w:w="640" w:type="dxa"/>
            <w:vAlign w:val="bottom"/>
          </w:tcPr>
          <w:p>
            <w:pPr>
              <w:jc w:val="right"/>
              <w:spacing w:after="0"/>
              <w:rPr>
                <w:sz w:val="20"/>
                <w:szCs w:val="20"/>
                <w:color w:val="auto"/>
              </w:rPr>
            </w:pPr>
            <w:r>
              <w:rPr>
                <w:rFonts w:ascii="Arial" w:cs="Arial" w:eastAsia="Arial" w:hAnsi="Arial"/>
                <w:sz w:val="18"/>
                <w:szCs w:val="18"/>
                <w:color w:val="auto"/>
              </w:rPr>
              <w:t>326</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326</w:t>
            </w:r>
          </w:p>
        </w:tc>
        <w:tc>
          <w:tcPr>
            <w:tcW w:w="1160" w:type="dxa"/>
            <w:vAlign w:val="bottom"/>
            <w:gridSpan w:val="3"/>
          </w:tcPr>
          <w:p>
            <w:pPr>
              <w:jc w:val="right"/>
              <w:ind w:right="112"/>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left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Chevrolet 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147,960</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135,622</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1,565,632</w:t>
            </w:r>
          </w:p>
        </w:tc>
        <w:tc>
          <w:tcPr>
            <w:tcW w:w="11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1,344,629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color w:val="auto"/>
              </w:rPr>
              <w:t>Acadia</w:t>
            </w: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20" w:type="dxa"/>
            <w:vAlign w:val="bottom"/>
            <w:gridSpan w:val="3"/>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7,618</w:t>
            </w:r>
          </w:p>
        </w:tc>
        <w:tc>
          <w:tcPr>
            <w:tcW w:w="2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5,986</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27.3</w:t>
            </w:r>
          </w:p>
        </w:tc>
        <w:tc>
          <w:tcPr>
            <w:tcW w:w="460" w:type="dxa"/>
            <w:vAlign w:val="bottom"/>
          </w:tcPr>
          <w:p>
            <w:pPr>
              <w:jc w:val="right"/>
              <w:spacing w:after="0"/>
              <w:rPr>
                <w:sz w:val="20"/>
                <w:szCs w:val="20"/>
                <w:color w:val="auto"/>
              </w:rPr>
            </w:pPr>
            <w:r>
              <w:rPr>
                <w:rFonts w:ascii="Arial" w:cs="Arial" w:eastAsia="Arial" w:hAnsi="Arial"/>
                <w:sz w:val="18"/>
                <w:szCs w:val="18"/>
                <w:color w:val="auto"/>
              </w:rPr>
              <w:t>32.0</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68,295</w:t>
            </w:r>
          </w:p>
        </w:tc>
        <w:tc>
          <w:tcPr>
            <w:tcW w:w="1160" w:type="dxa"/>
            <w:vAlign w:val="bottom"/>
            <w:gridSpan w:val="3"/>
          </w:tcPr>
          <w:p>
            <w:pPr>
              <w:jc w:val="right"/>
              <w:ind w:right="112"/>
              <w:spacing w:after="0"/>
              <w:rPr>
                <w:sz w:val="20"/>
                <w:szCs w:val="20"/>
                <w:color w:val="auto"/>
              </w:rPr>
            </w:pPr>
            <w:r>
              <w:rPr>
                <w:rFonts w:ascii="Arial" w:cs="Arial" w:eastAsia="Arial" w:hAnsi="Arial"/>
                <w:sz w:val="18"/>
                <w:szCs w:val="18"/>
                <w:color w:val="auto"/>
              </w:rPr>
              <w:t>53,820</w:t>
            </w:r>
          </w:p>
        </w:tc>
        <w:tc>
          <w:tcPr>
            <w:tcW w:w="460" w:type="dxa"/>
            <w:vAlign w:val="bottom"/>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Canyon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626</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7,992</w:t>
            </w:r>
          </w:p>
        </w:tc>
        <w:tc>
          <w:tcPr>
            <w:tcW w:w="11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10,107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Envoy</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-98.0</w:t>
            </w:r>
          </w:p>
        </w:tc>
        <w:tc>
          <w:tcPr>
            <w:tcW w:w="460" w:type="dxa"/>
            <w:vAlign w:val="bottom"/>
          </w:tcPr>
          <w:p>
            <w:pPr>
              <w:jc w:val="right"/>
              <w:spacing w:after="0"/>
              <w:rPr>
                <w:sz w:val="20"/>
                <w:szCs w:val="20"/>
                <w:color w:val="auto"/>
              </w:rPr>
            </w:pPr>
            <w:r>
              <w:rPr>
                <w:rFonts w:ascii="Arial" w:cs="Arial" w:eastAsia="Arial" w:hAnsi="Arial"/>
                <w:sz w:val="18"/>
                <w:szCs w:val="18"/>
                <w:color w:val="auto"/>
              </w:rPr>
              <w:t>-97.9</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84</w:t>
            </w:r>
          </w:p>
        </w:tc>
        <w:tc>
          <w:tcPr>
            <w:tcW w:w="1160" w:type="dxa"/>
            <w:vAlign w:val="bottom"/>
            <w:gridSpan w:val="3"/>
          </w:tcPr>
          <w:p>
            <w:pPr>
              <w:jc w:val="right"/>
              <w:ind w:right="112"/>
              <w:spacing w:after="0"/>
              <w:rPr>
                <w:sz w:val="20"/>
                <w:szCs w:val="20"/>
                <w:color w:val="auto"/>
              </w:rPr>
            </w:pPr>
            <w:r>
              <w:rPr>
                <w:rFonts w:ascii="Arial" w:cs="Arial" w:eastAsia="Arial" w:hAnsi="Arial"/>
                <w:sz w:val="18"/>
                <w:szCs w:val="18"/>
                <w:color w:val="auto"/>
              </w:rPr>
              <w:t>4,857</w:t>
            </w:r>
          </w:p>
        </w:tc>
        <w:tc>
          <w:tcPr>
            <w:tcW w:w="460" w:type="dxa"/>
            <w:vAlign w:val="bottom"/>
          </w:tcPr>
          <w:p>
            <w:pPr>
              <w:jc w:val="right"/>
              <w:spacing w:after="0"/>
              <w:rPr>
                <w:sz w:val="20"/>
                <w:szCs w:val="20"/>
                <w:color w:val="auto"/>
              </w:rPr>
            </w:pPr>
            <w:r>
              <w:rPr>
                <w:rFonts w:ascii="Arial" w:cs="Arial" w:eastAsia="Arial" w:hAnsi="Arial"/>
                <w:sz w:val="18"/>
                <w:szCs w:val="18"/>
                <w:color w:val="auto"/>
              </w:rPr>
              <w:t>-98.3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GMC C/T Series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1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454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GMC W Series</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136</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382</w:t>
            </w:r>
          </w:p>
        </w:tc>
        <w:tc>
          <w:tcPr>
            <w:tcW w:w="1160" w:type="dxa"/>
            <w:vAlign w:val="bottom"/>
            <w:gridSpan w:val="3"/>
          </w:tcPr>
          <w:p>
            <w:pPr>
              <w:jc w:val="right"/>
              <w:ind w:right="112"/>
              <w:spacing w:after="0"/>
              <w:rPr>
                <w:sz w:val="20"/>
                <w:szCs w:val="20"/>
                <w:color w:val="auto"/>
              </w:rPr>
            </w:pPr>
            <w:r>
              <w:rPr>
                <w:rFonts w:ascii="Arial" w:cs="Arial" w:eastAsia="Arial" w:hAnsi="Arial"/>
                <w:sz w:val="18"/>
                <w:szCs w:val="18"/>
                <w:color w:val="auto"/>
              </w:rPr>
              <w:t>1,727</w:t>
            </w:r>
          </w:p>
        </w:tc>
        <w:tc>
          <w:tcPr>
            <w:tcW w:w="460" w:type="dxa"/>
            <w:vAlign w:val="bottom"/>
          </w:tcPr>
          <w:p>
            <w:pPr>
              <w:jc w:val="right"/>
              <w:spacing w:after="0"/>
              <w:rPr>
                <w:sz w:val="20"/>
                <w:szCs w:val="20"/>
                <w:color w:val="auto"/>
              </w:rPr>
            </w:pPr>
            <w:r>
              <w:rPr>
                <w:rFonts w:ascii="Arial" w:cs="Arial" w:eastAsia="Arial" w:hAnsi="Arial"/>
                <w:sz w:val="18"/>
                <w:szCs w:val="18"/>
                <w:color w:val="auto"/>
              </w:rPr>
              <w:t>-77.9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Savana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1,046</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13,942</w:t>
            </w:r>
          </w:p>
        </w:tc>
        <w:tc>
          <w:tcPr>
            <w:tcW w:w="11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12,164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Sierra</w:t>
            </w:r>
          </w:p>
        </w:tc>
        <w:tc>
          <w:tcPr>
            <w:tcW w:w="640" w:type="dxa"/>
            <w:vAlign w:val="bottom"/>
          </w:tcPr>
          <w:p>
            <w:pPr>
              <w:jc w:val="right"/>
              <w:spacing w:after="0"/>
              <w:rPr>
                <w:sz w:val="20"/>
                <w:szCs w:val="20"/>
                <w:color w:val="auto"/>
              </w:rPr>
            </w:pPr>
            <w:r>
              <w:rPr>
                <w:rFonts w:ascii="Arial" w:cs="Arial" w:eastAsia="Arial" w:hAnsi="Arial"/>
                <w:sz w:val="18"/>
                <w:szCs w:val="18"/>
                <w:color w:val="auto"/>
              </w:rPr>
              <w:t>16,795</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12,144</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38.3</w:t>
            </w:r>
          </w:p>
        </w:tc>
        <w:tc>
          <w:tcPr>
            <w:tcW w:w="460" w:type="dxa"/>
            <w:vAlign w:val="bottom"/>
          </w:tcPr>
          <w:p>
            <w:pPr>
              <w:jc w:val="right"/>
              <w:spacing w:after="0"/>
              <w:rPr>
                <w:sz w:val="20"/>
                <w:szCs w:val="20"/>
                <w:color w:val="auto"/>
              </w:rPr>
            </w:pPr>
            <w:r>
              <w:rPr>
                <w:rFonts w:ascii="Arial" w:cs="Arial" w:eastAsia="Arial" w:hAnsi="Arial"/>
                <w:sz w:val="18"/>
                <w:szCs w:val="18"/>
                <w:color w:val="auto"/>
              </w:rPr>
              <w:t>43.4</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129,794</w:t>
            </w:r>
          </w:p>
        </w:tc>
        <w:tc>
          <w:tcPr>
            <w:tcW w:w="1160" w:type="dxa"/>
            <w:vAlign w:val="bottom"/>
            <w:gridSpan w:val="3"/>
          </w:tcPr>
          <w:p>
            <w:pPr>
              <w:jc w:val="right"/>
              <w:ind w:right="112"/>
              <w:spacing w:after="0"/>
              <w:rPr>
                <w:sz w:val="20"/>
                <w:szCs w:val="20"/>
                <w:color w:val="auto"/>
              </w:rPr>
            </w:pPr>
            <w:r>
              <w:rPr>
                <w:rFonts w:ascii="Arial" w:cs="Arial" w:eastAsia="Arial" w:hAnsi="Arial"/>
                <w:sz w:val="18"/>
                <w:szCs w:val="18"/>
                <w:color w:val="auto"/>
              </w:rPr>
              <w:t>111,842</w:t>
            </w:r>
          </w:p>
        </w:tc>
        <w:tc>
          <w:tcPr>
            <w:tcW w:w="460" w:type="dxa"/>
            <w:vAlign w:val="bottom"/>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Terrain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9,303</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5,547</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60,519</w:t>
            </w:r>
          </w:p>
        </w:tc>
        <w:tc>
          <w:tcPr>
            <w:tcW w:w="11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14,033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331.3</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Topkick 4/5 Series</w:t>
            </w: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194</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-95.9</w:t>
            </w:r>
          </w:p>
        </w:tc>
        <w:tc>
          <w:tcPr>
            <w:tcW w:w="460" w:type="dxa"/>
            <w:vAlign w:val="bottom"/>
          </w:tcPr>
          <w:p>
            <w:pPr>
              <w:jc w:val="right"/>
              <w:spacing w:after="0"/>
              <w:rPr>
                <w:sz w:val="20"/>
                <w:szCs w:val="20"/>
                <w:color w:val="auto"/>
              </w:rPr>
            </w:pPr>
            <w:r>
              <w:rPr>
                <w:rFonts w:ascii="Arial" w:cs="Arial" w:eastAsia="Arial" w:hAnsi="Arial"/>
                <w:sz w:val="18"/>
                <w:szCs w:val="18"/>
                <w:color w:val="auto"/>
              </w:rPr>
              <w:t>-95.7</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915</w:t>
            </w:r>
          </w:p>
        </w:tc>
        <w:tc>
          <w:tcPr>
            <w:tcW w:w="1160" w:type="dxa"/>
            <w:vAlign w:val="bottom"/>
            <w:gridSpan w:val="3"/>
          </w:tcPr>
          <w:p>
            <w:pPr>
              <w:jc w:val="right"/>
              <w:ind w:right="112"/>
              <w:spacing w:after="0"/>
              <w:rPr>
                <w:sz w:val="20"/>
                <w:szCs w:val="20"/>
                <w:color w:val="auto"/>
              </w:rPr>
            </w:pPr>
            <w:r>
              <w:rPr>
                <w:rFonts w:ascii="Arial" w:cs="Arial" w:eastAsia="Arial" w:hAnsi="Arial"/>
                <w:sz w:val="18"/>
                <w:szCs w:val="18"/>
                <w:color w:val="auto"/>
              </w:rPr>
              <w:t>2,705</w:t>
            </w:r>
          </w:p>
        </w:tc>
        <w:tc>
          <w:tcPr>
            <w:tcW w:w="460" w:type="dxa"/>
            <w:vAlign w:val="bottom"/>
          </w:tcPr>
          <w:p>
            <w:pPr>
              <w:jc w:val="right"/>
              <w:spacing w:after="0"/>
              <w:rPr>
                <w:sz w:val="20"/>
                <w:szCs w:val="20"/>
                <w:color w:val="auto"/>
              </w:rPr>
            </w:pPr>
            <w:r>
              <w:rPr>
                <w:rFonts w:ascii="Arial" w:cs="Arial" w:eastAsia="Arial" w:hAnsi="Arial"/>
                <w:sz w:val="18"/>
                <w:szCs w:val="18"/>
                <w:color w:val="auto"/>
              </w:rPr>
              <w:t>-66.2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Topkick 6/7/8 Series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1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1,840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Yukon</w:t>
            </w:r>
          </w:p>
        </w:tc>
        <w:tc>
          <w:tcPr>
            <w:tcW w:w="640" w:type="dxa"/>
            <w:vAlign w:val="bottom"/>
          </w:tcPr>
          <w:p>
            <w:pPr>
              <w:jc w:val="right"/>
              <w:spacing w:after="0"/>
              <w:rPr>
                <w:sz w:val="20"/>
                <w:szCs w:val="20"/>
                <w:color w:val="auto"/>
              </w:rPr>
            </w:pPr>
            <w:r>
              <w:rPr>
                <w:rFonts w:ascii="Arial" w:cs="Arial" w:eastAsia="Arial" w:hAnsi="Arial"/>
                <w:sz w:val="18"/>
                <w:szCs w:val="18"/>
                <w:color w:val="auto"/>
              </w:rPr>
              <w:t>3,891</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3,338</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460" w:type="dxa"/>
            <w:vAlign w:val="bottom"/>
          </w:tcPr>
          <w:p>
            <w:pPr>
              <w:jc w:val="right"/>
              <w:spacing w:after="0"/>
              <w:rPr>
                <w:sz w:val="20"/>
                <w:szCs w:val="20"/>
                <w:color w:val="auto"/>
              </w:rPr>
            </w:pPr>
            <w:r>
              <w:rPr>
                <w:rFonts w:ascii="Arial" w:cs="Arial" w:eastAsia="Arial" w:hAnsi="Arial"/>
                <w:sz w:val="18"/>
                <w:szCs w:val="18"/>
                <w:color w:val="auto"/>
              </w:rPr>
              <w:t>20.9</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28,781</w:t>
            </w:r>
          </w:p>
        </w:tc>
        <w:tc>
          <w:tcPr>
            <w:tcW w:w="1160" w:type="dxa"/>
            <w:vAlign w:val="bottom"/>
            <w:gridSpan w:val="3"/>
          </w:tcPr>
          <w:p>
            <w:pPr>
              <w:jc w:val="right"/>
              <w:ind w:right="112"/>
              <w:spacing w:after="0"/>
              <w:rPr>
                <w:sz w:val="20"/>
                <w:szCs w:val="20"/>
                <w:color w:val="auto"/>
              </w:rPr>
            </w:pPr>
            <w:r>
              <w:rPr>
                <w:rFonts w:ascii="Arial" w:cs="Arial" w:eastAsia="Arial" w:hAnsi="Arial"/>
                <w:sz w:val="18"/>
                <w:szCs w:val="18"/>
                <w:color w:val="auto"/>
              </w:rPr>
              <w:t>29,411</w:t>
            </w: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Yukon XL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1,953</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23,797</w:t>
            </w:r>
          </w:p>
        </w:tc>
        <w:tc>
          <w:tcPr>
            <w:tcW w:w="11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16,819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420"/>
              <w:spacing w:after="0"/>
              <w:rPr>
                <w:sz w:val="20"/>
                <w:szCs w:val="20"/>
                <w:color w:val="auto"/>
              </w:rPr>
            </w:pPr>
            <w:r>
              <w:rPr>
                <w:rFonts w:ascii="Arial" w:cs="Arial" w:eastAsia="Arial" w:hAnsi="Arial"/>
                <w:sz w:val="18"/>
                <w:szCs w:val="18"/>
                <w:color w:val="auto"/>
              </w:rPr>
              <w:t>GMC Total</w:t>
            </w:r>
          </w:p>
        </w:tc>
        <w:tc>
          <w:tcPr>
            <w:tcW w:w="640" w:type="dxa"/>
            <w:vAlign w:val="bottom"/>
          </w:tcPr>
          <w:p>
            <w:pPr>
              <w:jc w:val="right"/>
              <w:spacing w:after="0"/>
              <w:rPr>
                <w:sz w:val="20"/>
                <w:szCs w:val="20"/>
                <w:color w:val="auto"/>
              </w:rPr>
            </w:pPr>
            <w:r>
              <w:rPr>
                <w:rFonts w:ascii="Arial" w:cs="Arial" w:eastAsia="Arial" w:hAnsi="Arial"/>
                <w:sz w:val="18"/>
                <w:szCs w:val="18"/>
                <w:color w:val="auto"/>
              </w:rPr>
              <w:t>42,159</w:t>
            </w: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31,220</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35.0</w:t>
            </w:r>
          </w:p>
        </w:tc>
        <w:tc>
          <w:tcPr>
            <w:tcW w:w="460" w:type="dxa"/>
            <w:vAlign w:val="bottom"/>
          </w:tcPr>
          <w:p>
            <w:pPr>
              <w:jc w:val="right"/>
              <w:spacing w:after="0"/>
              <w:rPr>
                <w:sz w:val="20"/>
                <w:szCs w:val="20"/>
                <w:color w:val="auto"/>
              </w:rPr>
            </w:pPr>
            <w:r>
              <w:rPr>
                <w:rFonts w:ascii="Arial" w:cs="Arial" w:eastAsia="Arial" w:hAnsi="Arial"/>
                <w:sz w:val="18"/>
                <w:szCs w:val="18"/>
                <w:color w:val="auto"/>
              </w:rPr>
              <w:t>40.0</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334,981</w:t>
            </w:r>
          </w:p>
        </w:tc>
        <w:tc>
          <w:tcPr>
            <w:tcW w:w="1160" w:type="dxa"/>
            <w:vAlign w:val="bottom"/>
            <w:gridSpan w:val="3"/>
          </w:tcPr>
          <w:p>
            <w:pPr>
              <w:jc w:val="right"/>
              <w:ind w:right="112"/>
              <w:spacing w:after="0"/>
              <w:rPr>
                <w:sz w:val="20"/>
                <w:szCs w:val="20"/>
                <w:color w:val="auto"/>
              </w:rPr>
            </w:pPr>
            <w:r>
              <w:rPr>
                <w:rFonts w:ascii="Arial" w:cs="Arial" w:eastAsia="Arial" w:hAnsi="Arial"/>
                <w:sz w:val="18"/>
                <w:szCs w:val="18"/>
                <w:color w:val="auto"/>
              </w:rPr>
              <w:t>259,779</w:t>
            </w:r>
          </w:p>
        </w:tc>
        <w:tc>
          <w:tcPr>
            <w:tcW w:w="460" w:type="dxa"/>
            <w:vAlign w:val="bottom"/>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b w:val="1"/>
                <w:bCs w:val="1"/>
                <w:color w:val="auto"/>
                <w:w w:val="91"/>
              </w:rPr>
              <w:t>Brand Total</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223,932</w:t>
            </w: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193,824</w:t>
            </w: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15.5</w:t>
            </w:r>
          </w:p>
        </w:tc>
        <w:tc>
          <w:tcPr>
            <w:tcW w:w="2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19.8</w:t>
            </w:r>
          </w:p>
        </w:tc>
        <w:tc>
          <w:tcPr>
            <w:tcW w:w="100" w:type="dxa"/>
            <w:vAlign w:val="bottom"/>
            <w:tcBorders>
              <w:bottom w:val="single" w:sz="8" w:color="auto"/>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2,202,927</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92"/>
              </w:rPr>
              <w:t>1,815,806</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21.3</w:t>
            </w:r>
          </w:p>
        </w:tc>
        <w:tc>
          <w:tcPr>
            <w:tcW w:w="22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5"/>
              </w:rPr>
              <w:t>HUMMER Total</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38</w:t>
            </w:r>
          </w:p>
        </w:tc>
        <w:tc>
          <w:tcPr>
            <w:tcW w:w="820" w:type="dxa"/>
            <w:vAlign w:val="bottom"/>
            <w:tcBorders>
              <w:bottom w:val="single" w:sz="8" w:color="auto"/>
            </w:tcBorders>
            <w:gridSpan w:val="2"/>
          </w:tcPr>
          <w:p>
            <w:pPr>
              <w:jc w:val="center"/>
              <w:ind w:left="152"/>
              <w:spacing w:after="0"/>
              <w:rPr>
                <w:sz w:val="20"/>
                <w:szCs w:val="20"/>
                <w:color w:val="auto"/>
              </w:rPr>
            </w:pPr>
            <w:r>
              <w:rPr>
                <w:rFonts w:ascii="Arial" w:cs="Arial" w:eastAsia="Arial" w:hAnsi="Arial"/>
                <w:sz w:val="18"/>
                <w:szCs w:val="18"/>
                <w:color w:val="auto"/>
                <w:w w:val="86"/>
              </w:rPr>
              <w:t>325</w:t>
            </w: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-88.3</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-87.9</w:t>
            </w:r>
          </w:p>
        </w:tc>
        <w:tc>
          <w:tcPr>
            <w:tcW w:w="10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tcBorders>
            <w:gridSpan w:val="2"/>
          </w:tcPr>
          <w:p>
            <w:pPr>
              <w:jc w:val="center"/>
              <w:ind w:left="72"/>
              <w:spacing w:after="0"/>
              <w:rPr>
                <w:sz w:val="20"/>
                <w:szCs w:val="20"/>
                <w:color w:val="auto"/>
              </w:rPr>
            </w:pPr>
            <w:r>
              <w:rPr>
                <w:rFonts w:ascii="Arial" w:cs="Arial" w:eastAsia="Arial" w:hAnsi="Arial"/>
                <w:sz w:val="18"/>
                <w:szCs w:val="18"/>
                <w:color w:val="auto"/>
                <w:w w:val="84"/>
              </w:rPr>
              <w:t>3,812</w:t>
            </w:r>
          </w:p>
        </w:tc>
        <w:tc>
          <w:tcPr>
            <w:tcW w:w="96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18"/>
                <w:szCs w:val="18"/>
                <w:color w:val="auto"/>
                <w:w w:val="84"/>
              </w:rPr>
              <w:t>9,046</w:t>
            </w: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-57.9</w:t>
            </w: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87"/>
              </w:rPr>
              <w:t>Pontiac Total</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130</w:t>
            </w:r>
          </w:p>
        </w:tc>
        <w:tc>
          <w:tcPr>
            <w:tcW w:w="820" w:type="dxa"/>
            <w:vAlign w:val="bottom"/>
            <w:tcBorders>
              <w:bottom w:val="single" w:sz="8" w:color="auto"/>
            </w:tcBorders>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8"/>
              </w:rPr>
              <w:t>8,410</w:t>
            </w: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-98.5</w:t>
            </w:r>
          </w:p>
        </w:tc>
        <w:tc>
          <w:tcPr>
            <w:tcW w:w="2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-98.4</w:t>
            </w:r>
          </w:p>
        </w:tc>
        <w:tc>
          <w:tcPr>
            <w:tcW w:w="100" w:type="dxa"/>
            <w:vAlign w:val="bottom"/>
            <w:tcBorders>
              <w:bottom w:val="single" w:sz="8" w:color="auto"/>
              <w:right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4"/>
              </w:rPr>
              <w:t>1,182</w:t>
            </w:r>
          </w:p>
        </w:tc>
        <w:tc>
          <w:tcPr>
            <w:tcW w:w="960" w:type="dxa"/>
            <w:vAlign w:val="bottom"/>
            <w:tcBorders>
              <w:bottom w:val="single" w:sz="8" w:color="auto"/>
            </w:tcBorders>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9"/>
              </w:rPr>
              <w:t>178,300</w:t>
            </w: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-99.3</w:t>
            </w:r>
          </w:p>
        </w:tc>
        <w:tc>
          <w:tcPr>
            <w:tcW w:w="22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7"/>
              </w:rPr>
              <w:t>Saab Total</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820" w:type="dxa"/>
            <w:vAlign w:val="bottom"/>
            <w:tcBorders>
              <w:bottom w:val="single" w:sz="8" w:color="auto"/>
            </w:tcBorders>
            <w:gridSpan w:val="2"/>
          </w:tcPr>
          <w:p>
            <w:pPr>
              <w:jc w:val="center"/>
              <w:ind w:left="152"/>
              <w:spacing w:after="0"/>
              <w:rPr>
                <w:sz w:val="20"/>
                <w:szCs w:val="20"/>
                <w:color w:val="auto"/>
              </w:rPr>
            </w:pPr>
            <w:r>
              <w:rPr>
                <w:rFonts w:ascii="Arial" w:cs="Arial" w:eastAsia="Arial" w:hAnsi="Arial"/>
                <w:sz w:val="18"/>
                <w:szCs w:val="18"/>
                <w:color w:val="auto"/>
                <w:w w:val="86"/>
              </w:rPr>
              <w:t>868</w:t>
            </w: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tcBorders>
            <w:gridSpan w:val="2"/>
          </w:tcPr>
          <w:p>
            <w:pPr>
              <w:jc w:val="center"/>
              <w:ind w:left="72"/>
              <w:spacing w:after="0"/>
              <w:rPr>
                <w:sz w:val="20"/>
                <w:szCs w:val="20"/>
                <w:color w:val="auto"/>
              </w:rPr>
            </w:pPr>
            <w:r>
              <w:rPr>
                <w:rFonts w:ascii="Arial" w:cs="Arial" w:eastAsia="Arial" w:hAnsi="Arial"/>
                <w:sz w:val="18"/>
                <w:szCs w:val="18"/>
                <w:color w:val="auto"/>
                <w:w w:val="86"/>
              </w:rPr>
              <w:t>608</w:t>
            </w:r>
          </w:p>
        </w:tc>
        <w:tc>
          <w:tcPr>
            <w:tcW w:w="96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18"/>
                <w:szCs w:val="18"/>
                <w:color w:val="auto"/>
                <w:w w:val="84"/>
              </w:rPr>
              <w:t>8,680</w:t>
            </w: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-93.0</w:t>
            </w: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Saturn Total</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85</w:t>
            </w:r>
          </w:p>
        </w:tc>
        <w:tc>
          <w:tcPr>
            <w:tcW w:w="820" w:type="dxa"/>
            <w:vAlign w:val="bottom"/>
            <w:tcBorders>
              <w:bottom w:val="single" w:sz="8" w:color="auto"/>
            </w:tcBorders>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8"/>
              </w:rPr>
              <w:t>5,084</w:t>
            </w: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-98.3</w:t>
            </w:r>
          </w:p>
        </w:tc>
        <w:tc>
          <w:tcPr>
            <w:tcW w:w="2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-98.3</w:t>
            </w:r>
          </w:p>
        </w:tc>
        <w:tc>
          <w:tcPr>
            <w:tcW w:w="100" w:type="dxa"/>
            <w:vAlign w:val="bottom"/>
            <w:tcBorders>
              <w:bottom w:val="single" w:sz="8" w:color="auto"/>
              <w:right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4"/>
              </w:rPr>
              <w:t>6,698</w:t>
            </w:r>
          </w:p>
        </w:tc>
        <w:tc>
          <w:tcPr>
            <w:tcW w:w="960" w:type="dxa"/>
            <w:vAlign w:val="bottom"/>
            <w:tcBorders>
              <w:bottom w:val="single" w:sz="8" w:color="auto"/>
            </w:tcBorders>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90"/>
              </w:rPr>
              <w:t>72,660</w:t>
            </w: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-90.8</w:t>
            </w:r>
          </w:p>
        </w:tc>
        <w:tc>
          <w:tcPr>
            <w:tcW w:w="22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b w:val="1"/>
                <w:bCs w:val="1"/>
                <w:color w:val="auto"/>
                <w:w w:val="91"/>
              </w:rPr>
              <w:t>Other Brand Total</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253</w:t>
            </w:r>
          </w:p>
        </w:tc>
        <w:tc>
          <w:tcPr>
            <w:tcW w:w="82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18"/>
                <w:szCs w:val="18"/>
                <w:b w:val="1"/>
                <w:bCs w:val="1"/>
                <w:color w:val="auto"/>
                <w:w w:val="87"/>
              </w:rPr>
              <w:t>14,687</w:t>
            </w: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-98.3</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-98.2</w:t>
            </w:r>
          </w:p>
        </w:tc>
        <w:tc>
          <w:tcPr>
            <w:tcW w:w="10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tcBorders>
            <w:gridSpan w:val="2"/>
          </w:tcPr>
          <w:p>
            <w:pPr>
              <w:jc w:val="center"/>
              <w:ind w:left="92"/>
              <w:spacing w:after="0"/>
              <w:rPr>
                <w:sz w:val="20"/>
                <w:szCs w:val="20"/>
                <w:color w:val="auto"/>
              </w:rPr>
            </w:pPr>
            <w:r>
              <w:rPr>
                <w:rFonts w:ascii="Arial" w:cs="Arial" w:eastAsia="Arial" w:hAnsi="Arial"/>
                <w:sz w:val="18"/>
                <w:szCs w:val="18"/>
                <w:b w:val="1"/>
                <w:bCs w:val="1"/>
                <w:color w:val="auto"/>
                <w:w w:val="87"/>
              </w:rPr>
              <w:t>12,300</w:t>
            </w:r>
          </w:p>
        </w:tc>
        <w:tc>
          <w:tcPr>
            <w:tcW w:w="96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18"/>
                <w:szCs w:val="18"/>
                <w:b w:val="1"/>
                <w:bCs w:val="1"/>
                <w:color w:val="auto"/>
                <w:w w:val="89"/>
              </w:rPr>
              <w:t>268,686</w:t>
            </w: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-95.4</w:t>
            </w: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b w:val="1"/>
                <w:bCs w:val="1"/>
                <w:color w:val="auto"/>
                <w:w w:val="93"/>
              </w:rPr>
              <w:t>GM Total</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224,185</w:t>
            </w:r>
          </w:p>
        </w:tc>
        <w:tc>
          <w:tcPr>
            <w:tcW w:w="820" w:type="dxa"/>
            <w:vAlign w:val="bottom"/>
            <w:tcBorders>
              <w:bottom w:val="single" w:sz="8" w:color="auto"/>
            </w:tcBorders>
            <w:gridSpan w:val="2"/>
            <w:shd w:val="clear" w:color="auto" w:fill="CCEEFF"/>
          </w:tcPr>
          <w:p>
            <w:pPr>
              <w:jc w:val="center"/>
              <w:ind w:left="172"/>
              <w:spacing w:after="0"/>
              <w:rPr>
                <w:sz w:val="20"/>
                <w:szCs w:val="20"/>
                <w:color w:val="auto"/>
              </w:rPr>
            </w:pPr>
            <w:r>
              <w:rPr>
                <w:rFonts w:ascii="Arial" w:cs="Arial" w:eastAsia="Arial" w:hAnsi="Arial"/>
                <w:sz w:val="18"/>
                <w:szCs w:val="18"/>
                <w:b w:val="1"/>
                <w:bCs w:val="1"/>
                <w:color w:val="auto"/>
                <w:w w:val="86"/>
              </w:rPr>
              <w:t>208,511</w:t>
            </w: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7.5</w:t>
            </w:r>
          </w:p>
        </w:tc>
        <w:tc>
          <w:tcPr>
            <w:tcW w:w="2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11.5</w:t>
            </w:r>
          </w:p>
        </w:tc>
        <w:tc>
          <w:tcPr>
            <w:tcW w:w="100" w:type="dxa"/>
            <w:vAlign w:val="bottom"/>
            <w:tcBorders>
              <w:bottom w:val="single" w:sz="8" w:color="auto"/>
              <w:right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2,215,227</w:t>
            </w:r>
          </w:p>
        </w:tc>
        <w:tc>
          <w:tcPr>
            <w:tcW w:w="1160" w:type="dxa"/>
            <w:vAlign w:val="bottom"/>
            <w:tcBorders>
              <w:bottom w:val="single" w:sz="8" w:color="auto"/>
            </w:tcBorders>
            <w:gridSpan w:val="3"/>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2,084,492</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6.3</w:t>
            </w:r>
          </w:p>
        </w:tc>
        <w:tc>
          <w:tcPr>
            <w:tcW w:w="22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5820" w:type="dxa"/>
            <w:vAlign w:val="bottom"/>
            <w:gridSpan w:val="3"/>
          </w:tcPr>
          <w:p>
            <w:pPr>
              <w:spacing w:after="0"/>
              <w:rPr>
                <w:sz w:val="20"/>
                <w:szCs w:val="20"/>
                <w:color w:val="auto"/>
              </w:rPr>
            </w:pPr>
            <w:r>
              <w:rPr>
                <w:rFonts w:ascii="Arial" w:cs="Arial" w:eastAsia="Arial" w:hAnsi="Arial"/>
                <w:sz w:val="18"/>
                <w:szCs w:val="18"/>
                <w:color w:val="auto"/>
              </w:rPr>
              <w:t>Sales Reporting and Data Management</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gridSpan w:val="3"/>
          </w:tcPr>
          <w:p>
            <w:pPr>
              <w:ind w:left="80"/>
              <w:spacing w:after="0"/>
              <w:rPr>
                <w:sz w:val="20"/>
                <w:szCs w:val="20"/>
                <w:color w:val="auto"/>
              </w:rPr>
            </w:pPr>
            <w:r>
              <w:rPr>
                <w:rFonts w:ascii="Arial" w:cs="Arial" w:eastAsia="Arial" w:hAnsi="Arial"/>
                <w:sz w:val="18"/>
                <w:szCs w:val="18"/>
                <w:color w:val="auto"/>
                <w:w w:val="82"/>
              </w:rPr>
              <w:t>Page 2 of 2</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76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2019-12-11T07:33:11Z</dcterms:created>
  <dcterms:modified xsi:type="dcterms:W3CDTF">2019-12-11T07:33:11Z</dcterms:modified>
</cp:coreProperties>
</file>