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746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4636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70"/>
        <w:spacing w:after="0"/>
        <w:rPr>
          <w:sz w:val="20"/>
          <w:szCs w:val="20"/>
          <w:color w:val="auto"/>
        </w:rPr>
      </w:pPr>
      <w:r>
        <w:rPr>
          <w:rFonts w:ascii="Arial" w:cs="Arial" w:eastAsia="Arial" w:hAnsi="Arial"/>
          <w:sz w:val="17"/>
          <w:szCs w:val="17"/>
          <w:color w:val="0000FF"/>
        </w:rPr>
        <w:t>Executive Vice President</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jc w:val="center"/>
              <w:ind w:right="10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9,094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90,729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4,201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86,528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4,893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81,635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8,416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90,051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3,888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86,163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4,528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81,635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85"/>
              </w:rPr>
              <w:t>4,326</w:t>
            </w:r>
            <w:r>
              <w:rPr>
                <w:rFonts w:ascii="Arial" w:cs="Arial" w:eastAsia="Arial" w:hAnsi="Arial"/>
                <w:sz w:val="22"/>
                <w:szCs w:val="22"/>
                <w:color w:val="008000"/>
                <w:w w:val="85"/>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85,961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1,999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83,962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64"/>
              <w:spacing w:after="0"/>
              <w:rPr>
                <w:sz w:val="20"/>
                <w:szCs w:val="20"/>
                <w:color w:val="auto"/>
              </w:rPr>
            </w:pPr>
            <w:r>
              <w:rPr>
                <w:rFonts w:ascii="Arial" w:cs="Arial" w:eastAsia="Arial" w:hAnsi="Arial"/>
                <w:sz w:val="17"/>
                <w:szCs w:val="17"/>
                <w:color w:val="0000FF"/>
                <w:w w:val="93"/>
              </w:rPr>
              <w:t>09/30/2013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3"/>
              </w:rPr>
              <w:t>2,327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35.97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81,635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jc w:val="center"/>
              <w:ind w:left="42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79"/>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79"/>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6"/>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9,094</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09/30/2013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9,094</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78"/>
              <w:spacing w:after="0" w:line="142" w:lineRule="exact"/>
              <w:rPr>
                <w:sz w:val="20"/>
                <w:szCs w:val="20"/>
                <w:color w:val="auto"/>
              </w:rPr>
            </w:pPr>
            <w:r>
              <w:rPr>
                <w:rFonts w:ascii="Arial" w:cs="Arial" w:eastAsia="Arial" w:hAnsi="Arial"/>
                <w:sz w:val="13"/>
                <w:szCs w:val="13"/>
                <w:color w:val="0000FF"/>
                <w:w w:val="90"/>
              </w:rPr>
              <w:t>18,187</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8,416</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09/30/2013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8,416</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8,415</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4,326</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09/30/2013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4,326</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19,739</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09/30/2013</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19,739</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(6)</w:t>
            </w:r>
          </w:p>
        </w:tc>
        <w:tc>
          <w:tcPr>
            <w:tcW w:w="740" w:type="dxa"/>
            <w:vAlign w:val="bottom"/>
          </w:tcPr>
          <w:p>
            <w:pPr>
              <w:ind w:left="300"/>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8"/>
              <w:spacing w:after="0" w:line="142" w:lineRule="exact"/>
              <w:rPr>
                <w:sz w:val="20"/>
                <w:szCs w:val="20"/>
                <w:color w:val="auto"/>
              </w:rPr>
            </w:pPr>
            <w:r>
              <w:rPr>
                <w:rFonts w:ascii="Arial" w:cs="Arial" w:eastAsia="Arial" w:hAnsi="Arial"/>
                <w:sz w:val="13"/>
                <w:szCs w:val="13"/>
                <w:color w:val="0000FF"/>
                <w:w w:val="90"/>
              </w:rPr>
              <w:t>19,739</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2012 pursuant to the Company's Salary Stock Plan (the "GMSSP") and vested upon grant. The portion of this award currently payable was settled on September 30, 2013 in cash, less a portion withheld for taxes.</w:t>
      </w:r>
    </w:p>
    <w:p>
      <w:pPr>
        <w:spacing w:after="0" w:line="16" w:lineRule="exact"/>
        <w:rPr>
          <w:rFonts w:ascii="Arial" w:cs="Arial" w:eastAsia="Arial" w:hAnsi="Arial"/>
          <w:sz w:val="13"/>
          <w:szCs w:val="13"/>
          <w:color w:val="008000"/>
        </w:rPr>
      </w:pPr>
    </w:p>
    <w:p>
      <w:pPr>
        <w:ind w:left="40" w:right="22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$35.97. The employee opted to have these settlements made by delivery of cash.</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2011.</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49" w:lineRule="exact"/>
        <w:rPr>
          <w:rFonts w:ascii="Arial" w:cs="Arial" w:eastAsia="Arial" w:hAnsi="Arial"/>
          <w:sz w:val="13"/>
          <w:szCs w:val="13"/>
          <w:color w:val="008000"/>
        </w:rPr>
      </w:pPr>
    </w:p>
    <w:p>
      <w:pPr>
        <w:ind w:left="40" w:right="22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4,327 SSUs, of which 1,442 SSUs were scheduled to be payable on September 30, 2013.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12,981 SSUs granted on September 30, 2010 of which 4,326 SSUs became payable on September 30, 2013.</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color w:val="008000"/>
        </w:rPr>
        <w:t>7. The SSUs reported in this item were granted on September 30, 2013 and will be settled in three equal, annual installments beginning September 30, 2014.</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Anne T. Larin,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-1270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fact for Ms.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78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50"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0000FF"/>
        </w:rPr>
        <w:t>10/01/2013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900" w:space="220"/>
            <w:col w:w="1059"/>
          </w:cols>
          <w:pgMar w:left="280" w:top="131"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51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2019-12-18T15:36:50Z</dcterms:created>
  <dcterms:modified xsi:type="dcterms:W3CDTF">2019-12-18T15:36:50Z</dcterms:modified>
</cp:coreProperties>
</file>