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-234315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9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36195</wp:posOffset>
            </wp:positionV>
            <wp:extent cx="6968490" cy="17443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744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Tsien Matthew</w:t>
        </w:r>
      </w:hyperlink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20" w:right="940"/>
        <w:spacing w:after="0" w:line="29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300 RENAISSANCE CENTER M/C: 482-C24-A68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General Motors Co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GM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02/18/2021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Executive Vice President</w:t>
      </w:r>
    </w:p>
    <w:p>
      <w:pPr>
        <w:spacing w:after="0" w:line="41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41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1"/>
          </w:tcPr>
          <w:p>
            <w:pPr>
              <w:ind w:left="3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6"/>
              </w:rPr>
              <w:t>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48265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24,871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52.16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02/18/2021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24,871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02/18/2031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24,871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-2919095</wp:posOffset>
            </wp:positionV>
            <wp:extent cx="7033895" cy="30791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3079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  <w:r>
        <w:rPr>
          <w:rFonts w:ascii="Times New Roman" w:cs="Times New Roman" w:eastAsia="Times New Roman" w:hAnsi="Times New Roman"/>
          <w:sz w:val="21"/>
          <w:szCs w:val="21"/>
          <w:color w:val="008000"/>
          <w:vertAlign w:val="superscript"/>
        </w:rPr>
        <w:t>(1)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 w:right="30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Stock Options were granted on February 18, 2021, under the Company's 2020 Long-Term Incentive Plan. One-third will vest on February 18, 2022; one-third will vest on February 18, 2023; and one-third will vest on February 18, 2024.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Tia Y. Turk, Attorney-In-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02/22/2021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8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Mr. Tsien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94133" TargetMode="External"/><Relationship Id="rId14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2021-02-22T16:29:18Z</dcterms:created>
  <dcterms:modified xsi:type="dcterms:W3CDTF">2021-02-22T16:29:18Z</dcterms:modified>
</cp:coreProperties>
</file>