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Reilly David Nicholas</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142"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0000FF"/>
                <w:w w:val="85"/>
              </w:rPr>
              <w:t>3,594</w:t>
            </w:r>
            <w:r>
              <w:rPr>
                <w:rFonts w:ascii="Arial" w:cs="Arial" w:eastAsia="Arial" w:hAnsi="Arial"/>
                <w:sz w:val="22"/>
                <w:szCs w:val="22"/>
                <w:color w:val="008000"/>
                <w:w w:val="85"/>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28,377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9"/>
              </w:rPr>
              <w:t>1,510</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20.3</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26,867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0000FF"/>
                <w:w w:val="85"/>
              </w:rPr>
              <w:t>6,177</w:t>
            </w:r>
            <w:r>
              <w:rPr>
                <w:rFonts w:ascii="Arial" w:cs="Arial" w:eastAsia="Arial" w:hAnsi="Arial"/>
                <w:sz w:val="22"/>
                <w:szCs w:val="22"/>
                <w:color w:val="008000"/>
                <w:w w:val="85"/>
                <w:vertAlign w:val="superscript"/>
              </w:rPr>
              <w:t>(5)</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33,044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9"/>
              </w:rPr>
              <w:t>2,595</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20.3</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30,449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(6)</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8"/>
              </w:rPr>
              <w:t>28,326</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58,775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7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rPr>
              <w:t>3,594</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5"/>
              </w:rPr>
              <w:t>3,594</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0000FF"/>
              </w:rPr>
              <w:t>3,594</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09/30/2011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right="70"/>
              <w:spacing w:after="0"/>
              <w:rPr>
                <w:sz w:val="20"/>
                <w:szCs w:val="20"/>
                <w:color w:val="auto"/>
              </w:rPr>
            </w:pPr>
            <w:r>
              <w:rPr>
                <w:rFonts w:ascii="Arial" w:cs="Arial" w:eastAsia="Arial" w:hAnsi="Arial"/>
                <w:sz w:val="11"/>
                <w:szCs w:val="11"/>
                <w:color w:val="008000"/>
                <w:w w:val="88"/>
              </w:rPr>
              <w:t>(1)</w:t>
            </w:r>
          </w:p>
        </w:tc>
        <w:tc>
          <w:tcPr>
            <w:tcW w:w="6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rPr>
              <w:t>6,177</w:t>
            </w:r>
            <w:r>
              <w:rPr>
                <w:rFonts w:ascii="Arial" w:cs="Arial" w:eastAsia="Arial" w:hAnsi="Arial"/>
                <w:sz w:val="22"/>
                <w:szCs w:val="22"/>
                <w:color w:val="008000"/>
                <w:vertAlign w:val="superscript"/>
              </w:rPr>
              <w:t>(5)</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5"/>
              </w:rPr>
              <w:t>6,177</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3"/>
                <w:szCs w:val="13"/>
                <w:color w:val="0000FF"/>
              </w:rPr>
              <w:t>12,348</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09/30/2011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right="70"/>
              <w:spacing w:after="0"/>
              <w:rPr>
                <w:sz w:val="20"/>
                <w:szCs w:val="20"/>
                <w:color w:val="auto"/>
              </w:rPr>
            </w:pPr>
            <w:r>
              <w:rPr>
                <w:rFonts w:ascii="Arial" w:cs="Arial" w:eastAsia="Arial" w:hAnsi="Arial"/>
                <w:sz w:val="11"/>
                <w:szCs w:val="11"/>
                <w:color w:val="008000"/>
                <w:w w:val="88"/>
              </w:rPr>
              <w:t>(1)</w:t>
            </w:r>
          </w:p>
        </w:tc>
        <w:tc>
          <w:tcPr>
            <w:tcW w:w="6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200" w:firstLine="6"/>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Common Stock reported in this item was issued upon the settlement of a portion of a grant of Salary Stock Units ("SSUs) deemed to have been issued, nunc pro tunc, on September 30, 2009 pursuant to the Company's Salary Stock Plan (the "GMSSP") and vested upon grant. The portion of this award currently payable was settled on September 30, 2011 in shares of Common Stock, less a portion withheld for taxes.</w:t>
      </w:r>
    </w:p>
    <w:p>
      <w:pPr>
        <w:ind w:left="40" w:right="20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2009 the employee received a grant of 3,594 SSUs, of which 1,198 SSUs were scheduled to be payable on September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10,782 SSUs granted on September 30, 2009, of which 3,594 SSUs became payable on September 30, 2011.</w:t>
      </w:r>
    </w:p>
    <w:p>
      <w:pPr>
        <w:spacing w:after="0" w:line="28" w:lineRule="exact"/>
        <w:rPr>
          <w:rFonts w:ascii="Arial" w:cs="Arial" w:eastAsia="Arial" w:hAnsi="Arial"/>
          <w:sz w:val="13"/>
          <w:szCs w:val="13"/>
          <w:color w:val="008000"/>
        </w:rPr>
      </w:pPr>
    </w:p>
    <w:p>
      <w:pPr>
        <w:ind w:left="40" w:right="14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Market Value of the Company's common stock is defined as the average of the high and low trading prices for the Company's common stock as reported on the New York Stock Exchange, on which the Company's common stock is listed, on the date of the transaction, which was $20.30.</w:t>
      </w:r>
    </w:p>
    <w:p>
      <w:pPr>
        <w:spacing w:after="0" w:line="25" w:lineRule="exact"/>
        <w:rPr>
          <w:rFonts w:ascii="Arial" w:cs="Arial" w:eastAsia="Arial" w:hAnsi="Arial"/>
          <w:sz w:val="13"/>
          <w:szCs w:val="13"/>
          <w:color w:val="008000"/>
        </w:rPr>
      </w:pPr>
    </w:p>
    <w:p>
      <w:pPr>
        <w:ind w:left="40" w:right="2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deemed to have been issued on September 30, 2010 pursuant to the GMSSP and vested upon grant. The portion of this award currently payable was settled on September 30, 2011 in shares of Common Stock, less a portion withheld for taxes.</w:t>
      </w:r>
    </w:p>
    <w:p>
      <w:pPr>
        <w:spacing w:after="0" w:line="15" w:lineRule="exact"/>
        <w:rPr>
          <w:rFonts w:ascii="Arial" w:cs="Arial" w:eastAsia="Arial" w:hAnsi="Arial"/>
          <w:sz w:val="13"/>
          <w:szCs w:val="13"/>
          <w:color w:val="008000"/>
        </w:rPr>
      </w:pPr>
    </w:p>
    <w:p>
      <w:pPr>
        <w:ind w:left="40" w:right="32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6,175 SSUs, of which 2,059 SSUs were scheduled to be payable on September 30, 2011. Pursuant to the terms of the GMSSP, each issued and outstanding SSUs was automatically converted upon the effectiveness of the Stock Split into three SSUs, so that the employee was credited with a total of 18,525 SSUs granted on September 30, 2010, of which 6,177 SSUs became payable on September 30, 2011.</w:t>
      </w:r>
    </w:p>
    <w:p>
      <w:pPr>
        <w:spacing w:after="0" w:line="25" w:lineRule="exact"/>
        <w:rPr>
          <w:rFonts w:ascii="Arial" w:cs="Arial" w:eastAsia="Arial" w:hAnsi="Arial"/>
          <w:sz w:val="13"/>
          <w:szCs w:val="13"/>
          <w:color w:val="008000"/>
        </w:rPr>
      </w:pPr>
    </w:p>
    <w:p>
      <w:pPr>
        <w:ind w:left="40" w:right="2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awarded on September 30, 2011 pursuant to the GMSSP, and will be settled in three equal, annual installments beginning on September 30, 2012 by the delivery of cash in an amount equal to the Fair Market Value (as defined in the GMSSP) of the Company's common stock as of the date of delivery.</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10/04/2011</w:t>
            </w:r>
          </w:p>
        </w:tc>
        <w:tc>
          <w:tcPr>
            <w:tcW w:w="0" w:type="dxa"/>
            <w:vAlign w:val="bottom"/>
          </w:tcPr>
          <w:p>
            <w:pPr>
              <w:spacing w:after="0"/>
              <w:rPr>
                <w:sz w:val="1"/>
                <w:szCs w:val="1"/>
                <w:color w:val="auto"/>
              </w:rPr>
            </w:pPr>
          </w:p>
        </w:tc>
      </w:tr>
      <w:tr>
        <w:trPr>
          <w:trHeight w:val="91"/>
        </w:trPr>
        <w:tc>
          <w:tcPr>
            <w:tcW w:w="1260" w:type="dxa"/>
            <w:vAlign w:val="bottom"/>
            <w:vMerge w:val="restart"/>
          </w:tcPr>
          <w:p>
            <w:pPr>
              <w:spacing w:after="0" w:line="193" w:lineRule="exact"/>
              <w:rPr>
                <w:sz w:val="20"/>
                <w:szCs w:val="20"/>
                <w:color w:val="auto"/>
              </w:rPr>
            </w:pPr>
            <w:r>
              <w:rPr>
                <w:rFonts w:ascii="Arial" w:cs="Arial" w:eastAsia="Arial" w:hAnsi="Arial"/>
                <w:sz w:val="17"/>
                <w:szCs w:val="17"/>
                <w:color w:val="0000FF"/>
                <w:w w:val="97"/>
              </w:rPr>
              <w:t>fact for Mr. Reilly</w:t>
            </w:r>
          </w:p>
        </w:tc>
        <w:tc>
          <w:tcPr>
            <w:tcW w:w="10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60" w:type="dxa"/>
            <w:vAlign w:val="bottom"/>
            <w:tcBorders>
              <w:bottom w:val="single" w:sz="8" w:color="auto"/>
            </w:tcBorders>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686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2019-12-17T00:51:01Z</dcterms:created>
  <dcterms:modified xsi:type="dcterms:W3CDTF">2019-12-17T00:51:01Z</dcterms:modified>
</cp:coreProperties>
</file>