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T. Hatto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Controller and Chief Accounting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Motors Company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Renaissance Center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Detroit, Michigan 48265-3000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General Motors Company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6,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001-34960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Hatto: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Automotive Liquidity, page 31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7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consider providing a consolidated table of cash flows provided by (used in)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operating, investing and financing activities for each year presented as shown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of cash flows, or a discussion of consolidated amounts. In this regard, we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present separate tables of Automotive cash flows, GM Cruise cash flows, and GM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cash flows, without reconciling these individual tables to the consolidated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599" w:firstLine="52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shown in statements of cash flows. Please revise or advise. Christopher T. Hatto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LastNameChristopher T. Hatto General Motors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NameGeneral Motors Company April 30,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30,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9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April 2 2019 Page 2 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8. Equity in Net Assets of Nonconsolidated Affiliates, page 64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7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equity income from your nonconsolidated affiliates represented approximately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25.3% of your income before income taxes for the year ended December 31, 2018,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specifically, the equity income from the Automotive China joint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ventures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represented 23.1% of the pre-tax income. Please advise of the consideration given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financial statements of your Automotive China equity method joint ventures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Rule 3-09 of Regulation S-X. In this regard, if any of these joint ventures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 the significance criteria, audited financial statements would be required for fiscal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 December 31, 2018 and unaudited financial statements could be provided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comparative prior years in which the equity method income was less than 20% of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pre-tax income. Please advise or revise as appropriate.</w:t>
      </w:r>
    </w:p>
    <w:p>
      <w:pPr>
        <w:sectPr>
          <w:pgSz w:w="11900" w:h="16838" w:orient="portrait"/>
          <w:cols w:equalWidth="0" w:num="1">
            <w:col w:w="10299"/>
          </w:cols>
          <w:pgMar w:left="160" w:top="16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closing, we remind you that the company and its management are</w:t>
      </w:r>
    </w:p>
    <w:p>
      <w:pPr>
        <w:sectPr>
          <w:pgSz w:w="11900" w:h="16838" w:orient="portrait"/>
          <w:cols w:equalWidth="0" w:num="1">
            <w:col w:w="10299"/>
          </w:cols>
          <w:pgMar w:left="160" w:top="16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Beverly Singleton at (202) 551-3328 or Claire Erlanger at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551-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3301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 and Leisure</w:t>
      </w:r>
    </w:p>
    <w:sectPr>
      <w:pgSz w:w="11900" w:h="16838" w:orient="portrait"/>
      <w:cols w:equalWidth="0" w:num="1">
        <w:col w:w="10299"/>
      </w:cols>
      <w:pgMar w:left="160" w:top="5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2019-12-15T17:46:47Z</dcterms:created>
  <dcterms:modified xsi:type="dcterms:W3CDTF">2019-12-15T17:46:47Z</dcterms:modified>
</cp:coreProperties>
</file>