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72593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212725</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38" w:lineRule="exact"/>
        <w:rPr>
          <w:sz w:val="24"/>
          <w:szCs w:val="24"/>
          <w:color w:val="auto"/>
        </w:rPr>
      </w:pPr>
    </w:p>
    <w:p>
      <w:pPr>
        <w:jc w:val="center"/>
        <w:ind w:right="-661"/>
        <w:spacing w:after="0"/>
        <w:rPr>
          <w:sz w:val="20"/>
          <w:szCs w:val="20"/>
          <w:color w:val="auto"/>
        </w:rPr>
      </w:pPr>
      <w:r>
        <w:rPr>
          <w:rFonts w:ascii="Arial" w:cs="Arial" w:eastAsia="Arial" w:hAnsi="Arial"/>
          <w:sz w:val="29"/>
          <w:szCs w:val="29"/>
          <w:b w:val="1"/>
          <w:bCs w:val="1"/>
          <w:color w:val="auto"/>
        </w:rPr>
        <w:t>UNITED STATES</w:t>
      </w:r>
    </w:p>
    <w:p>
      <w:pPr>
        <w:spacing w:after="0" w:line="32" w:lineRule="exact"/>
        <w:rPr>
          <w:sz w:val="24"/>
          <w:szCs w:val="24"/>
          <w:color w:val="auto"/>
        </w:rPr>
      </w:pPr>
    </w:p>
    <w:p>
      <w:pPr>
        <w:jc w:val="center"/>
        <w:ind w:right="-661"/>
        <w:spacing w:after="0"/>
        <w:rPr>
          <w:sz w:val="20"/>
          <w:szCs w:val="20"/>
          <w:color w:val="auto"/>
        </w:rPr>
      </w:pPr>
      <w:r>
        <w:rPr>
          <w:rFonts w:ascii="Arial" w:cs="Arial" w:eastAsia="Arial" w:hAnsi="Arial"/>
          <w:sz w:val="29"/>
          <w:szCs w:val="29"/>
          <w:b w:val="1"/>
          <w:bCs w:val="1"/>
          <w:color w:val="auto"/>
        </w:rPr>
        <w:t>SECURITIES AND EXCHANGE COMMISSION</w:t>
      </w:r>
    </w:p>
    <w:p>
      <w:pPr>
        <w:ind w:left="4522"/>
        <w:spacing w:after="0"/>
        <w:rPr>
          <w:sz w:val="20"/>
          <w:szCs w:val="20"/>
          <w:color w:val="auto"/>
        </w:rPr>
      </w:pPr>
      <w:r>
        <w:rPr>
          <w:rFonts w:ascii="Arial" w:cs="Arial" w:eastAsia="Arial" w:hAnsi="Arial"/>
          <w:sz w:val="20"/>
          <w:szCs w:val="20"/>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201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0190" cy="7620"/>
                    </a:xfrm>
                    <a:prstGeom prst="rect">
                      <a:avLst/>
                    </a:prstGeom>
                    <a:noFill/>
                  </pic:spPr>
                </pic:pic>
              </a:graphicData>
            </a:graphic>
          </wp:anchor>
        </w:drawing>
      </w:r>
    </w:p>
    <w:p>
      <w:pPr>
        <w:spacing w:after="0" w:line="365" w:lineRule="exact"/>
        <w:rPr>
          <w:sz w:val="24"/>
          <w:szCs w:val="24"/>
          <w:color w:val="auto"/>
        </w:rPr>
      </w:pPr>
    </w:p>
    <w:p>
      <w:pPr>
        <w:ind w:left="4982"/>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201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0190" cy="762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661"/>
        <w:spacing w:after="0"/>
        <w:rPr>
          <w:sz w:val="20"/>
          <w:szCs w:val="20"/>
          <w:color w:val="auto"/>
        </w:rPr>
      </w:pPr>
      <w:r>
        <w:rPr>
          <w:rFonts w:ascii="Arial" w:cs="Arial" w:eastAsia="Arial" w:hAnsi="Arial"/>
          <w:sz w:val="20"/>
          <w:szCs w:val="20"/>
          <w:b w:val="1"/>
          <w:bCs w:val="1"/>
          <w:color w:val="auto"/>
        </w:rPr>
        <w:t>CURRENT REPORT</w:t>
      </w:r>
    </w:p>
    <w:p>
      <w:pPr>
        <w:spacing w:after="0" w:line="4" w:lineRule="exact"/>
        <w:rPr>
          <w:sz w:val="24"/>
          <w:szCs w:val="24"/>
          <w:color w:val="auto"/>
        </w:rPr>
      </w:pPr>
    </w:p>
    <w:p>
      <w:pPr>
        <w:jc w:val="center"/>
        <w:ind w:right="-661"/>
        <w:spacing w:after="0"/>
        <w:rPr>
          <w:sz w:val="20"/>
          <w:szCs w:val="20"/>
          <w:color w:val="auto"/>
        </w:rPr>
      </w:pPr>
      <w:r>
        <w:rPr>
          <w:rFonts w:ascii="Arial" w:cs="Arial" w:eastAsia="Arial" w:hAnsi="Arial"/>
          <w:sz w:val="20"/>
          <w:szCs w:val="20"/>
          <w:b w:val="1"/>
          <w:bCs w:val="1"/>
          <w:color w:val="auto"/>
        </w:rPr>
        <w:t>PURSUANT TO SECTION 13 OR 15(d) OF</w:t>
      </w:r>
    </w:p>
    <w:p>
      <w:pPr>
        <w:jc w:val="center"/>
        <w:ind w:right="-661"/>
        <w:spacing w:after="0"/>
        <w:rPr>
          <w:sz w:val="20"/>
          <w:szCs w:val="20"/>
          <w:color w:val="auto"/>
        </w:rPr>
      </w:pPr>
      <w:r>
        <w:rPr>
          <w:rFonts w:ascii="Arial" w:cs="Arial" w:eastAsia="Arial" w:hAnsi="Arial"/>
          <w:sz w:val="20"/>
          <w:szCs w:val="20"/>
          <w:b w:val="1"/>
          <w:bCs w:val="1"/>
          <w:color w:val="auto"/>
        </w:rPr>
        <w:t>THE SECURITIES EXCHANGE ACT OF 1934</w:t>
      </w:r>
    </w:p>
    <w:p>
      <w:pPr>
        <w:spacing w:after="0" w:line="129" w:lineRule="exact"/>
        <w:rPr>
          <w:sz w:val="24"/>
          <w:szCs w:val="24"/>
          <w:color w:val="auto"/>
        </w:rPr>
      </w:pPr>
    </w:p>
    <w:p>
      <w:pPr>
        <w:ind w:left="3622"/>
        <w:spacing w:after="0"/>
        <w:rPr>
          <w:sz w:val="20"/>
          <w:szCs w:val="20"/>
          <w:color w:val="auto"/>
        </w:rPr>
      </w:pPr>
      <w:r>
        <w:rPr>
          <w:rFonts w:ascii="Arial" w:cs="Arial" w:eastAsia="Arial" w:hAnsi="Arial"/>
          <w:sz w:val="16"/>
          <w:szCs w:val="16"/>
          <w:b w:val="1"/>
          <w:bCs w:val="1"/>
          <w:color w:val="auto"/>
        </w:rPr>
        <w:t>Date of Report (Date of earliest event reported) May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179705</wp:posOffset>
            </wp:positionV>
            <wp:extent cx="15201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0190" cy="7620"/>
                    </a:xfrm>
                    <a:prstGeom prst="rect">
                      <a:avLst/>
                    </a:prstGeom>
                    <a:noFill/>
                  </pic:spPr>
                </pic:pic>
              </a:graphicData>
            </a:graphic>
          </wp:anchor>
        </w:drawing>
      </w:r>
    </w:p>
    <w:p>
      <w:pPr>
        <w:spacing w:after="0" w:line="385" w:lineRule="exact"/>
        <w:rPr>
          <w:sz w:val="24"/>
          <w:szCs w:val="24"/>
          <w:color w:val="auto"/>
        </w:rPr>
      </w:pPr>
    </w:p>
    <w:p>
      <w:pPr>
        <w:jc w:val="center"/>
        <w:ind w:right="-661"/>
        <w:spacing w:after="0"/>
        <w:rPr>
          <w:sz w:val="20"/>
          <w:szCs w:val="20"/>
          <w:color w:val="auto"/>
        </w:rPr>
      </w:pPr>
      <w:r>
        <w:rPr>
          <w:rFonts w:ascii="Arial" w:cs="Arial" w:eastAsia="Arial" w:hAnsi="Arial"/>
          <w:sz w:val="39"/>
          <w:szCs w:val="39"/>
          <w:b w:val="1"/>
          <w:bCs w:val="1"/>
          <w:color w:val="auto"/>
        </w:rPr>
        <w:t>GENERAL MOTORS COMPANY</w:t>
      </w:r>
    </w:p>
    <w:p>
      <w:pPr>
        <w:spacing w:after="0" w:line="45" w:lineRule="exact"/>
        <w:rPr>
          <w:sz w:val="24"/>
          <w:szCs w:val="24"/>
          <w:color w:val="auto"/>
        </w:rPr>
      </w:pPr>
    </w:p>
    <w:p>
      <w:pPr>
        <w:ind w:left="4302"/>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168910</wp:posOffset>
            </wp:positionV>
            <wp:extent cx="15201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0190" cy="7620"/>
                    </a:xfrm>
                    <a:prstGeom prst="rect">
                      <a:avLst/>
                    </a:prstGeom>
                    <a:noFill/>
                  </pic:spPr>
                </pic:pic>
              </a:graphicData>
            </a:graphic>
          </wp:anchor>
        </w:drawing>
      </w:r>
    </w:p>
    <w:p>
      <w:pPr>
        <w:sectPr>
          <w:pgSz w:w="11900" w:h="16838" w:orient="portrait"/>
          <w:cols w:equalWidth="0" w:num="1">
            <w:col w:w="10762"/>
          </w:cols>
          <w:pgMar w:left="238" w:top="222" w:right="899" w:bottom="1440" w:gutter="0" w:footer="0" w:header="0"/>
        </w:sectPr>
      </w:pPr>
    </w:p>
    <w:p>
      <w:pPr>
        <w:spacing w:after="0" w:line="200" w:lineRule="exact"/>
        <w:rPr>
          <w:sz w:val="24"/>
          <w:szCs w:val="24"/>
          <w:color w:val="auto"/>
        </w:rPr>
      </w:pPr>
    </w:p>
    <w:p>
      <w:pPr>
        <w:spacing w:after="0" w:line="274" w:lineRule="exact"/>
        <w:rPr>
          <w:sz w:val="24"/>
          <w:szCs w:val="24"/>
          <w:color w:val="auto"/>
        </w:rPr>
      </w:pPr>
    </w:p>
    <w:p>
      <w:pPr>
        <w:ind w:left="1602"/>
        <w:spacing w:after="0"/>
        <w:rPr>
          <w:sz w:val="20"/>
          <w:szCs w:val="20"/>
          <w:color w:val="auto"/>
        </w:rPr>
      </w:pPr>
      <w:r>
        <w:rPr>
          <w:rFonts w:ascii="Arial" w:cs="Arial" w:eastAsia="Arial" w:hAnsi="Arial"/>
          <w:sz w:val="14"/>
          <w:szCs w:val="14"/>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27-0756180</w:t>
      </w:r>
    </w:p>
    <w:p>
      <w:pPr>
        <w:spacing w:after="0" w:line="47" w:lineRule="exact"/>
        <w:rPr>
          <w:sz w:val="24"/>
          <w:szCs w:val="24"/>
          <w:color w:val="auto"/>
        </w:rPr>
      </w:pPr>
    </w:p>
    <w:p>
      <w:pPr>
        <w:sectPr>
          <w:pgSz w:w="11900" w:h="16838" w:orient="portrait"/>
          <w:cols w:equalWidth="0" w:num="3">
            <w:col w:w="4682" w:space="720"/>
            <w:col w:w="3100" w:space="720"/>
            <w:col w:w="1540"/>
          </w:cols>
          <w:pgMar w:left="238" w:top="222" w:right="899" w:bottom="1440" w:gutter="0" w:footer="0" w:header="0"/>
          <w:type w:val="continuous"/>
        </w:sectPr>
      </w:pPr>
    </w:p>
    <w:p>
      <w:pPr>
        <w:ind w:left="1602"/>
        <w:spacing w:after="0"/>
        <w:rPr>
          <w:sz w:val="20"/>
          <w:szCs w:val="20"/>
          <w:color w:val="auto"/>
        </w:rPr>
      </w:pPr>
      <w:r>
        <w:rPr>
          <w:rFonts w:ascii="Arial" w:cs="Arial" w:eastAsia="Arial" w:hAnsi="Arial"/>
          <w:sz w:val="11"/>
          <w:szCs w:val="11"/>
          <w:b w:val="1"/>
          <w:bCs w:val="1"/>
          <w:color w:val="auto"/>
        </w:rPr>
        <w:t>(Commission</w:t>
      </w:r>
    </w:p>
    <w:p>
      <w:pPr>
        <w:spacing w:after="0" w:line="11" w:lineRule="exact"/>
        <w:rPr>
          <w:sz w:val="24"/>
          <w:szCs w:val="24"/>
          <w:color w:val="auto"/>
        </w:rPr>
      </w:pPr>
    </w:p>
    <w:p>
      <w:pPr>
        <w:ind w:left="1602"/>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1"/>
          <w:szCs w:val="11"/>
          <w:b w:val="1"/>
          <w:bCs w:val="1"/>
          <w:color w:val="auto"/>
        </w:rPr>
        <w:t>(State or other jurisdiction</w:t>
      </w:r>
    </w:p>
    <w:p>
      <w:pPr>
        <w:spacing w:after="0" w:line="11" w:lineRule="exact"/>
        <w:rPr>
          <w:sz w:val="24"/>
          <w:szCs w:val="24"/>
          <w:color w:val="auto"/>
        </w:rPr>
      </w:pPr>
    </w:p>
    <w:p>
      <w:pPr>
        <w:jc w:val="center"/>
        <w:ind w:right="186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191" w:lineRule="exact"/>
        <w:rPr>
          <w:sz w:val="24"/>
          <w:szCs w:val="24"/>
          <w:color w:val="auto"/>
        </w:rPr>
      </w:pPr>
    </w:p>
    <w:p>
      <w:pPr>
        <w:sectPr>
          <w:pgSz w:w="11900" w:h="16838" w:orient="portrait"/>
          <w:cols w:equalWidth="0" w:num="3">
            <w:col w:w="4422" w:space="720"/>
            <w:col w:w="3260" w:space="720"/>
            <w:col w:w="1640"/>
          </w:cols>
          <w:pgMar w:left="238" w:top="222" w:right="899" w:bottom="1440" w:gutter="0" w:footer="0" w:header="0"/>
          <w:type w:val="continuous"/>
        </w:sectPr>
      </w:pPr>
    </w:p>
    <w:p>
      <w:pPr>
        <w:ind w:left="1402"/>
        <w:spacing w:after="0"/>
        <w:rPr>
          <w:sz w:val="20"/>
          <w:szCs w:val="20"/>
          <w:color w:val="auto"/>
        </w:rPr>
      </w:pPr>
      <w:r>
        <w:rPr>
          <w:rFonts w:ascii="Arial" w:cs="Arial" w:eastAsia="Arial" w:hAnsi="Arial"/>
          <w:sz w:val="14"/>
          <w:szCs w:val="14"/>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48265-3000</w:t>
      </w:r>
    </w:p>
    <w:p>
      <w:pPr>
        <w:spacing w:after="0" w:line="47" w:lineRule="exact"/>
        <w:rPr>
          <w:sz w:val="24"/>
          <w:szCs w:val="24"/>
          <w:color w:val="auto"/>
        </w:rPr>
      </w:pPr>
    </w:p>
    <w:p>
      <w:pPr>
        <w:sectPr>
          <w:pgSz w:w="11900" w:h="16838" w:orient="portrait"/>
          <w:cols w:equalWidth="0" w:num="2">
            <w:col w:w="7582" w:space="720"/>
            <w:col w:w="2460"/>
          </w:cols>
          <w:pgMar w:left="238" w:top="222" w:right="899" w:bottom="1440" w:gutter="0" w:footer="0" w:header="0"/>
          <w:type w:val="continuous"/>
        </w:sectPr>
      </w:pPr>
    </w:p>
    <w:p>
      <w:pPr>
        <w:ind w:left="1822"/>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44" w:lineRule="exact"/>
        <w:rPr>
          <w:sz w:val="24"/>
          <w:szCs w:val="24"/>
          <w:color w:val="auto"/>
        </w:rPr>
      </w:pPr>
    </w:p>
    <w:p>
      <w:pPr>
        <w:sectPr>
          <w:pgSz w:w="11900" w:h="16838" w:orient="portrait"/>
          <w:cols w:equalWidth="0" w:num="2">
            <w:col w:w="7682" w:space="720"/>
            <w:col w:w="2360"/>
          </w:cols>
          <w:pgMar w:left="238" w:top="222" w:right="899" w:bottom="1440" w:gutter="0" w:footer="0" w:header="0"/>
          <w:type w:val="continuous"/>
        </w:sectPr>
      </w:pPr>
    </w:p>
    <w:p>
      <w:pPr>
        <w:jc w:val="center"/>
        <w:ind w:right="-661"/>
        <w:spacing w:after="0"/>
        <w:rPr>
          <w:sz w:val="20"/>
          <w:szCs w:val="20"/>
          <w:color w:val="auto"/>
        </w:rPr>
      </w:pPr>
      <w:r>
        <w:rPr>
          <w:rFonts w:ascii="Arial" w:cs="Arial" w:eastAsia="Arial" w:hAnsi="Arial"/>
          <w:sz w:val="16"/>
          <w:szCs w:val="16"/>
          <w:b w:val="1"/>
          <w:bCs w:val="1"/>
          <w:color w:val="auto"/>
        </w:rPr>
        <w:t>(313) 556-5000</w:t>
      </w:r>
    </w:p>
    <w:p>
      <w:pPr>
        <w:spacing w:after="0" w:line="24" w:lineRule="exact"/>
        <w:rPr>
          <w:sz w:val="24"/>
          <w:szCs w:val="24"/>
          <w:color w:val="auto"/>
        </w:rPr>
      </w:pPr>
    </w:p>
    <w:p>
      <w:pPr>
        <w:jc w:val="center"/>
        <w:ind w:right="-661"/>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33" w:lineRule="exact"/>
        <w:rPr>
          <w:sz w:val="24"/>
          <w:szCs w:val="24"/>
          <w:color w:val="auto"/>
        </w:rPr>
      </w:pPr>
    </w:p>
    <w:p>
      <w:pPr>
        <w:jc w:val="center"/>
        <w:ind w:right="-661"/>
        <w:spacing w:after="0"/>
        <w:rPr>
          <w:sz w:val="20"/>
          <w:szCs w:val="20"/>
          <w:color w:val="auto"/>
        </w:rPr>
      </w:pPr>
      <w:r>
        <w:rPr>
          <w:rFonts w:ascii="Arial" w:cs="Arial" w:eastAsia="Arial" w:hAnsi="Arial"/>
          <w:sz w:val="16"/>
          <w:szCs w:val="16"/>
          <w:b w:val="1"/>
          <w:bCs w:val="1"/>
          <w:color w:val="auto"/>
        </w:rPr>
        <w:t>Not Applicable</w:t>
      </w:r>
    </w:p>
    <w:p>
      <w:pPr>
        <w:spacing w:after="0" w:line="24" w:lineRule="exact"/>
        <w:rPr>
          <w:sz w:val="24"/>
          <w:szCs w:val="24"/>
          <w:color w:val="auto"/>
        </w:rPr>
      </w:pPr>
    </w:p>
    <w:p>
      <w:pPr>
        <w:ind w:left="4082"/>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162560</wp:posOffset>
            </wp:positionV>
            <wp:extent cx="15201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0190" cy="7620"/>
                    </a:xfrm>
                    <a:prstGeom prst="rect">
                      <a:avLst/>
                    </a:prstGeom>
                    <a:noFill/>
                  </pic:spPr>
                </pic:pic>
              </a:graphicData>
            </a:graphic>
          </wp:anchor>
        </w:drawing>
      </w:r>
    </w:p>
    <w:p>
      <w:pPr>
        <w:spacing w:after="0" w:line="387" w:lineRule="exact"/>
        <w:rPr>
          <w:sz w:val="24"/>
          <w:szCs w:val="24"/>
          <w:color w:val="auto"/>
        </w:rPr>
      </w:pPr>
    </w:p>
    <w:p>
      <w:pPr>
        <w:ind w:left="2"/>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0" w:lineRule="exact"/>
        <w:rPr>
          <w:sz w:val="24"/>
          <w:szCs w:val="24"/>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6"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196"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6"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593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83820</wp:posOffset>
            </wp:positionV>
            <wp:extent cx="72593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0762"/>
          </w:cols>
          <w:pgMar w:left="238" w:top="222" w:right="89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08"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ITEM 2.02 RESULTS OF OPERATIONS AND FINANCIAL CONDITIONS</w:t>
        </w:r>
      </w:hyperlink>
    </w:p>
    <w:p>
      <w:pPr>
        <w:spacing w:after="0" w:line="24"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ITEM 9.01 FINANCIAL STATEMENTS AND EXHIBITS</w:t>
        </w:r>
      </w:hyperlink>
    </w:p>
    <w:p>
      <w:pPr>
        <w:spacing w:after="0" w:line="12" w:lineRule="exact"/>
        <w:rPr>
          <w:sz w:val="20"/>
          <w:szCs w:val="20"/>
          <w:color w:val="auto"/>
        </w:rPr>
      </w:pPr>
    </w:p>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SIGNATURES</w:t>
        </w:r>
      </w:hyperlink>
    </w:p>
    <w:p>
      <w:pPr>
        <w:spacing w:after="0" w:line="12"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INDEX TO EXHIBITS</w:t>
        </w:r>
      </w:hyperlink>
    </w:p>
    <w:p>
      <w:pPr>
        <w:spacing w:after="0" w:line="12" w:lineRule="exact"/>
        <w:rPr>
          <w:sz w:val="20"/>
          <w:szCs w:val="20"/>
          <w:color w:val="auto"/>
        </w:rPr>
      </w:pPr>
    </w:p>
    <w:p>
      <w:pPr>
        <w:ind w:left="78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News Release Dated May 17, 2010 and Financial Statements</w:t>
        </w:r>
      </w:hyperlink>
    </w:p>
    <w:p>
      <w:pPr>
        <w:spacing w:after="0" w:line="12" w:lineRule="exact"/>
        <w:rPr>
          <w:sz w:val="20"/>
          <w:szCs w:val="20"/>
          <w:color w:val="auto"/>
        </w:rPr>
      </w:pPr>
    </w:p>
    <w:p>
      <w:pPr>
        <w:ind w:left="780"/>
        <w:spacing w:after="0"/>
        <w:rPr>
          <w:sz w:val="20"/>
          <w:szCs w:val="20"/>
          <w:color w:val="auto"/>
        </w:rPr>
      </w:pPr>
      <w:r>
        <w:rPr>
          <w:rFonts w:ascii="Arial" w:cs="Arial" w:eastAsia="Arial" w:hAnsi="Arial"/>
          <w:sz w:val="16"/>
          <w:szCs w:val="16"/>
          <w:u w:val="single" w:color="auto"/>
          <w:color w:val="0000EE"/>
        </w:rPr>
        <w:t>Charts Furnished to Securities Analysts</w:t>
      </w:r>
    </w:p>
    <w:p>
      <w:pPr>
        <w:sectPr>
          <w:pgSz w:w="11900" w:h="16838" w:orient="portrait"/>
          <w:cols w:equalWidth="0" w:num="1">
            <w:col w:w="10219"/>
          </w:cols>
          <w:pgMar w:left="240" w:top="431"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May 17, 2010, a news release was issued on the subject of first quarter 2010 consolidated earnings for General Motors Company (GM). The news release did not include certain financial statements, related footnotes and certain other financial information that were filed with the Securities and Exchange Commission as part of GM’s Quarterly Report on Form 10-Q. The news release and financial statements are incorporated as Exhibit 99.1.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Charts furnished to securities analysts in connection with GM’s first quarter 2010 earnings release are attached as 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60"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u w:val="single" w:color="auto"/>
          <w:color w:val="auto"/>
        </w:rPr>
        <w:t>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Exhibits</w:t>
            </w:r>
          </w:p>
        </w:tc>
        <w:tc>
          <w:tcPr>
            <w:tcW w:w="7800" w:type="dxa"/>
            <w:vAlign w:val="bottom"/>
          </w:tcPr>
          <w:p>
            <w:pPr>
              <w:ind w:left="3600"/>
              <w:spacing w:after="0"/>
              <w:rPr>
                <w:sz w:val="20"/>
                <w:szCs w:val="20"/>
                <w:color w:val="auto"/>
              </w:rPr>
            </w:pPr>
            <w:r>
              <w:rPr>
                <w:rFonts w:ascii="Arial" w:cs="Arial" w:eastAsia="Arial" w:hAnsi="Arial"/>
                <w:sz w:val="12"/>
                <w:szCs w:val="12"/>
                <w:b w:val="1"/>
                <w:bCs w:val="1"/>
                <w:color w:val="auto"/>
              </w:rPr>
              <w:t>Description</w:t>
            </w:r>
          </w:p>
        </w:tc>
        <w:tc>
          <w:tcPr>
            <w:tcW w:w="660" w:type="dxa"/>
            <w:vAlign w:val="bottom"/>
            <w:vMerge w:val="restart"/>
          </w:tcPr>
          <w:p>
            <w:pPr>
              <w:ind w:left="220"/>
              <w:spacing w:after="0"/>
              <w:rPr>
                <w:sz w:val="20"/>
                <w:szCs w:val="20"/>
                <w:color w:val="auto"/>
              </w:rPr>
            </w:pPr>
            <w:r>
              <w:rPr>
                <w:rFonts w:ascii="Arial" w:cs="Arial" w:eastAsia="Arial" w:hAnsi="Arial"/>
                <w:sz w:val="15"/>
                <w:szCs w:val="15"/>
                <w:color w:val="auto"/>
                <w:w w:val="70"/>
              </w:rPr>
              <w:t>Attached</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w w:val="94"/>
              </w:rPr>
              <w:t>Method of Filing</w:t>
            </w:r>
          </w:p>
        </w:tc>
        <w:tc>
          <w:tcPr>
            <w:tcW w:w="0" w:type="dxa"/>
            <w:vAlign w:val="bottom"/>
          </w:tcPr>
          <w:p>
            <w:pPr>
              <w:spacing w:after="0"/>
              <w:rPr>
                <w:sz w:val="1"/>
                <w:szCs w:val="1"/>
                <w:color w:val="auto"/>
              </w:rPr>
            </w:pPr>
          </w:p>
        </w:tc>
      </w:tr>
      <w:tr>
        <w:trPr>
          <w:trHeight w:val="197"/>
        </w:trPr>
        <w:tc>
          <w:tcPr>
            <w:tcW w:w="4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1"/>
              </w:rPr>
              <w:t>Exhibit</w:t>
            </w:r>
          </w:p>
        </w:tc>
        <w:tc>
          <w:tcPr>
            <w:tcW w:w="1140" w:type="dxa"/>
            <w:vAlign w:val="bottom"/>
          </w:tcPr>
          <w:p>
            <w:pPr>
              <w:jc w:val="right"/>
              <w:ind w:right="740"/>
              <w:spacing w:after="0"/>
              <w:rPr>
                <w:sz w:val="20"/>
                <w:szCs w:val="20"/>
                <w:color w:val="auto"/>
              </w:rPr>
            </w:pPr>
            <w:r>
              <w:rPr>
                <w:rFonts w:ascii="Arial" w:cs="Arial" w:eastAsia="Arial" w:hAnsi="Arial"/>
                <w:sz w:val="16"/>
                <w:szCs w:val="16"/>
                <w:color w:val="auto"/>
                <w:w w:val="96"/>
              </w:rPr>
              <w:t>99.1</w:t>
            </w:r>
          </w:p>
        </w:tc>
        <w:tc>
          <w:tcPr>
            <w:tcW w:w="7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News Release Dated May 17, 2010 and Financial Statements</w:t>
            </w:r>
          </w:p>
        </w:tc>
        <w:tc>
          <w:tcPr>
            <w:tcW w:w="660" w:type="dxa"/>
            <w:vAlign w:val="bottom"/>
            <w:vMerge w:val="continue"/>
          </w:tcPr>
          <w:p>
            <w:pPr>
              <w:spacing w:after="0"/>
              <w:rPr>
                <w:sz w:val="17"/>
                <w:szCs w:val="17"/>
                <w:color w:val="auto"/>
              </w:rPr>
            </w:pPr>
          </w:p>
        </w:tc>
        <w:tc>
          <w:tcPr>
            <w:tcW w:w="920" w:type="dxa"/>
            <w:vAlign w:val="bottom"/>
            <w:tcBorders>
              <w:top w:val="single" w:sz="8" w:color="auto"/>
            </w:tcBorders>
          </w:tcPr>
          <w:p>
            <w:pPr>
              <w:jc w:val="right"/>
              <w:ind w:right="29"/>
              <w:spacing w:after="0"/>
              <w:rPr>
                <w:sz w:val="20"/>
                <w:szCs w:val="20"/>
                <w:color w:val="auto"/>
              </w:rPr>
            </w:pPr>
            <w:r>
              <w:rPr>
                <w:rFonts w:ascii="Arial" w:cs="Arial" w:eastAsia="Arial" w:hAnsi="Arial"/>
                <w:sz w:val="16"/>
                <w:szCs w:val="16"/>
                <w:color w:val="auto"/>
              </w:rPr>
              <w:t>as Exhibit</w:t>
            </w:r>
          </w:p>
        </w:tc>
        <w:tc>
          <w:tcPr>
            <w:tcW w:w="0" w:type="dxa"/>
            <w:vAlign w:val="bottom"/>
          </w:tcPr>
          <w:p>
            <w:pPr>
              <w:spacing w:after="0"/>
              <w:rPr>
                <w:sz w:val="1"/>
                <w:szCs w:val="1"/>
                <w:color w:val="auto"/>
              </w:rPr>
            </w:pPr>
          </w:p>
        </w:tc>
      </w:tr>
      <w:tr>
        <w:trPr>
          <w:trHeight w:val="286"/>
        </w:trPr>
        <w:tc>
          <w:tcPr>
            <w:tcW w:w="16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7800" w:type="dxa"/>
            <w:vAlign w:val="bottom"/>
          </w:tcPr>
          <w:p>
            <w:pPr>
              <w:spacing w:after="0"/>
              <w:rPr>
                <w:sz w:val="20"/>
                <w:szCs w:val="20"/>
                <w:color w:val="auto"/>
              </w:rPr>
            </w:pPr>
            <w:r>
              <w:rPr>
                <w:rFonts w:ascii="Arial" w:cs="Arial" w:eastAsia="Arial" w:hAnsi="Arial"/>
                <w:sz w:val="16"/>
                <w:szCs w:val="16"/>
                <w:color w:val="auto"/>
              </w:rPr>
              <w:t>Charts Furnished to Securities Analysts</w:t>
            </w:r>
          </w:p>
        </w:tc>
        <w:tc>
          <w:tcPr>
            <w:tcW w:w="1580" w:type="dxa"/>
            <w:vAlign w:val="bottom"/>
            <w:gridSpan w:val="2"/>
          </w:tcPr>
          <w:p>
            <w:pPr>
              <w:jc w:val="right"/>
              <w:ind w:right="29"/>
              <w:spacing w:after="0"/>
              <w:rPr>
                <w:sz w:val="20"/>
                <w:szCs w:val="20"/>
                <w:color w:val="auto"/>
              </w:rPr>
            </w:pPr>
            <w:r>
              <w:rPr>
                <w:rFonts w:ascii="Arial" w:cs="Arial" w:eastAsia="Arial" w:hAnsi="Arial"/>
                <w:sz w:val="16"/>
                <w:szCs w:val="16"/>
                <w:color w:val="auto"/>
              </w:rPr>
              <w:t>Attached as Exhibit</w:t>
            </w:r>
          </w:p>
        </w:tc>
        <w:tc>
          <w:tcPr>
            <w:tcW w:w="0" w:type="dxa"/>
            <w:vAlign w:val="bottom"/>
          </w:tcPr>
          <w:p>
            <w:pPr>
              <w:spacing w:after="0"/>
              <w:rPr>
                <w:sz w:val="1"/>
                <w:szCs w:val="1"/>
                <w:color w:val="auto"/>
              </w:rPr>
            </w:pPr>
          </w:p>
        </w:tc>
      </w:tr>
    </w:tbl>
    <w:p>
      <w:pPr>
        <w:sectPr>
          <w:pgSz w:w="11900" w:h="16838" w:orient="portrait"/>
          <w:cols w:equalWidth="0" w:num="1">
            <w:col w:w="11060"/>
          </w:cols>
          <w:pgMar w:left="240" w:top="431" w:right="59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9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164" w:lineRule="exact"/>
        <w:rPr>
          <w:sz w:val="20"/>
          <w:szCs w:val="20"/>
          <w:color w:val="auto"/>
        </w:rPr>
      </w:pPr>
    </w:p>
    <w:p>
      <w:pPr>
        <w:ind w:right="520"/>
        <w:spacing w:after="0" w:line="28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5380" w:type="dxa"/>
            <w:vAlign w:val="bottom"/>
            <w:gridSpan w:val="3"/>
          </w:tcPr>
          <w:p>
            <w:pPr>
              <w:spacing w:after="0"/>
              <w:rPr>
                <w:sz w:val="20"/>
                <w:szCs w:val="20"/>
                <w:color w:val="auto"/>
              </w:rPr>
            </w:pPr>
            <w:r>
              <w:rPr>
                <w:rFonts w:ascii="Arial" w:cs="Arial" w:eastAsia="Arial" w:hAnsi="Arial"/>
                <w:sz w:val="16"/>
                <w:szCs w:val="16"/>
                <w:color w:val="auto"/>
              </w:rPr>
              <w:t>GENERAL MOTORS COMPANY</w:t>
            </w:r>
          </w:p>
        </w:tc>
      </w:tr>
      <w:tr>
        <w:trPr>
          <w:trHeight w:val="212"/>
        </w:trPr>
        <w:tc>
          <w:tcPr>
            <w:tcW w:w="6040" w:type="dxa"/>
            <w:vAlign w:val="bottom"/>
          </w:tcPr>
          <w:p>
            <w:pPr>
              <w:spacing w:after="0"/>
              <w:rPr>
                <w:sz w:val="18"/>
                <w:szCs w:val="18"/>
                <w:color w:val="auto"/>
              </w:rPr>
            </w:pPr>
          </w:p>
        </w:tc>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(Registrant)</w:t>
            </w:r>
          </w:p>
        </w:tc>
        <w:tc>
          <w:tcPr>
            <w:tcW w:w="3120" w:type="dxa"/>
            <w:vAlign w:val="bottom"/>
          </w:tcPr>
          <w:p>
            <w:pPr>
              <w:spacing w:after="0"/>
              <w:rPr>
                <w:sz w:val="18"/>
                <w:szCs w:val="18"/>
                <w:color w:val="auto"/>
              </w:rPr>
            </w:pPr>
          </w:p>
        </w:tc>
      </w:tr>
      <w:tr>
        <w:trPr>
          <w:trHeight w:val="406"/>
        </w:trPr>
        <w:tc>
          <w:tcPr>
            <w:tcW w:w="6040" w:type="dxa"/>
            <w:vAlign w:val="bottom"/>
          </w:tcPr>
          <w:p>
            <w:pPr>
              <w:spacing w:after="0"/>
              <w:rPr>
                <w:sz w:val="20"/>
                <w:szCs w:val="20"/>
                <w:color w:val="auto"/>
              </w:rPr>
            </w:pPr>
            <w:r>
              <w:rPr>
                <w:rFonts w:ascii="Arial" w:cs="Arial" w:eastAsia="Arial" w:hAnsi="Arial"/>
                <w:sz w:val="16"/>
                <w:szCs w:val="16"/>
                <w:color w:val="auto"/>
              </w:rPr>
              <w:t>Date: May 20, 2010</w:t>
            </w:r>
          </w:p>
        </w:tc>
        <w:tc>
          <w:tcPr>
            <w:tcW w:w="5380" w:type="dxa"/>
            <w:vAlign w:val="bottom"/>
            <w:gridSpan w:val="3"/>
          </w:tcPr>
          <w:p>
            <w:pPr>
              <w:spacing w:after="0"/>
              <w:rPr>
                <w:sz w:val="20"/>
                <w:szCs w:val="20"/>
                <w:color w:val="auto"/>
              </w:rPr>
            </w:pPr>
            <w:r>
              <w:rPr>
                <w:rFonts w:ascii="Arial" w:cs="Arial" w:eastAsia="Arial" w:hAnsi="Arial"/>
                <w:sz w:val="16"/>
                <w:szCs w:val="16"/>
                <w:color w:val="auto"/>
              </w:rPr>
              <w:t>By:  /s/  Nick S. Cyprus</w:t>
            </w:r>
          </w:p>
        </w:tc>
      </w:tr>
      <w:tr>
        <w:trPr>
          <w:trHeight w:val="180"/>
        </w:trPr>
        <w:tc>
          <w:tcPr>
            <w:tcW w:w="6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40" w:type="dxa"/>
            <w:vAlign w:val="bottom"/>
            <w:tcBorders>
              <w:top w:val="single" w:sz="8" w:color="auto"/>
            </w:tcBorders>
            <w:gridSpan w:val="2"/>
          </w:tcPr>
          <w:p>
            <w:pPr>
              <w:spacing w:after="0" w:line="181" w:lineRule="exact"/>
              <w:rPr>
                <w:sz w:val="20"/>
                <w:szCs w:val="20"/>
                <w:color w:val="auto"/>
              </w:rPr>
            </w:pPr>
            <w:r>
              <w:rPr>
                <w:rFonts w:ascii="Arial" w:cs="Arial" w:eastAsia="Arial" w:hAnsi="Arial"/>
                <w:sz w:val="16"/>
                <w:szCs w:val="16"/>
                <w:color w:val="auto"/>
              </w:rPr>
              <w:t>Nick S. Cyprus</w:t>
            </w:r>
          </w:p>
        </w:tc>
      </w:tr>
      <w:tr>
        <w:trPr>
          <w:trHeight w:val="204"/>
        </w:trPr>
        <w:tc>
          <w:tcPr>
            <w:tcW w:w="6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r>
    </w:tbl>
    <w:p>
      <w:pPr>
        <w:sectPr>
          <w:pgSz w:w="11900" w:h="16838" w:orient="portrait"/>
          <w:cols w:equalWidth="0" w:num="1">
            <w:col w:w="11420"/>
          </w:cols>
          <w:pgMar w:left="240" w:top="43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109855</wp:posOffset>
            </wp:positionV>
            <wp:extent cx="5302250" cy="1200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0225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GM Reports First Quarter 2010 Results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GM achieves net income of $0.9 billion and EPS of $1.66</w:t>
      </w:r>
    </w:p>
    <w:p>
      <w:pPr>
        <w:spacing w:after="0" w:line="8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DETROIT, Mich. – General Motors Company today announced its first quarter 2010 results, marked by revenue of $31.5 billion and operating income of $1.2 billion. Net income attributable to common stockholders was $0.9 billion, resulting in earnings per share on a diluted basis of $1.66.</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GM’s first quarter adjusted earnings before interest and tax (EBIT) was $1.7 billion, after adjusting for the favorable impact of the sale of the Saab brand.</w:t>
      </w:r>
    </w:p>
    <w:p>
      <w:pPr>
        <w:spacing w:after="0" w:line="160"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GM North America had EBIT in the first quarter 2010 of $1.2 billion, up from a loss of $3.4 billion in the fourth quarter 2009. GM Europe had a loss before interest and taxes of $0.5 billion; an improvement of $0.3 billion from the fourth quarter. GM International Operations posted EBIT of $1.2 billion, up $0.5 billion from the fourth quarter.</w:t>
      </w:r>
    </w:p>
    <w:p>
      <w:pPr>
        <w:spacing w:after="0" w:line="85"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Cash flow from operating activities was $1.7 billion and after adjusting for capital expenditures of $0.7 billion, free cash flow was $1.0 billion. GM ended the first quarter with $35.7 billion in cash and marketable securities, including funds in escrow.</w:t>
      </w:r>
    </w:p>
    <w:p>
      <w:pPr>
        <w:spacing w:after="0" w:line="108" w:lineRule="exact"/>
        <w:rPr>
          <w:sz w:val="20"/>
          <w:szCs w:val="20"/>
          <w:color w:val="auto"/>
        </w:rPr>
      </w:pPr>
    </w:p>
    <w:p>
      <w:pPr>
        <w:ind w:right="240"/>
        <w:spacing w:after="0" w:line="295" w:lineRule="auto"/>
        <w:rPr>
          <w:sz w:val="20"/>
          <w:szCs w:val="20"/>
          <w:color w:val="auto"/>
        </w:rPr>
      </w:pPr>
      <w:r>
        <w:rPr>
          <w:rFonts w:ascii="Arial" w:cs="Arial" w:eastAsia="Arial" w:hAnsi="Arial"/>
          <w:sz w:val="15"/>
          <w:szCs w:val="15"/>
          <w:color w:val="auto"/>
        </w:rPr>
        <w:t>“We’re pleased with our first quarter performance, in particular achieving profitability,” said Chris Liddell, vice chairman and chief financial officer. “In North America we are adding production to keep up with strong demand for new products in our four brands. We’re also steadily growing in emerging markets, keeping our costs under control, generating positive cash flow and maintaining a strong balance sheet. These are all important steps as we lay the foundation for a successful GM.”</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 # #</w:t>
      </w:r>
    </w:p>
    <w:p>
      <w:pPr>
        <w:sectPr>
          <w:pgSz w:w="11900" w:h="16838" w:orient="portrait"/>
          <w:cols w:equalWidth="0" w:num="1">
            <w:col w:w="11440"/>
          </w:cols>
          <w:pgMar w:left="240" w:top="127"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960" cy="36195"/>
                    </a:xfrm>
                    <a:prstGeom prst="rect">
                      <a:avLst/>
                    </a:prstGeom>
                    <a:noFill/>
                  </pic:spPr>
                </pic:pic>
              </a:graphicData>
            </a:graphic>
          </wp:anchor>
        </w:drawing>
        <w:t>Forward-Looking Statements:</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comply with the continuing requirements related to U.S. and other government support.</w:t>
      </w:r>
    </w:p>
    <w:p>
      <w:pPr>
        <w:spacing w:after="0" w:line="124" w:lineRule="exact"/>
        <w:rPr>
          <w:sz w:val="20"/>
          <w:szCs w:val="20"/>
          <w:color w:val="auto"/>
        </w:rPr>
      </w:pPr>
    </w:p>
    <w:p>
      <w:pPr>
        <w:ind w:right="320"/>
        <w:spacing w:after="0" w:line="282" w:lineRule="auto"/>
        <w:rPr>
          <w:sz w:val="20"/>
          <w:szCs w:val="20"/>
          <w:color w:val="auto"/>
        </w:rPr>
      </w:pPr>
      <w:r>
        <w:rPr>
          <w:rFonts w:ascii="Arial" w:cs="Arial" w:eastAsia="Arial" w:hAnsi="Arial"/>
          <w:sz w:val="16"/>
          <w:szCs w:val="16"/>
          <w:i w:val="1"/>
          <w:iCs w:val="1"/>
          <w:color w:val="auto"/>
        </w:rPr>
        <w:t>GM’s most recent annual report on Form 10-K and quarterly report on Form 10-Q provides information about these and other factors, which we may revise or supplement in future reports to the SEC.</w:t>
      </w:r>
    </w:p>
    <w:p>
      <w:pPr>
        <w:sectPr>
          <w:pgSz w:w="11900" w:h="16838" w:orient="portrait"/>
          <w:cols w:equalWidth="0" w:num="1">
            <w:col w:w="11420"/>
          </w:cols>
          <w:pgMar w:left="240" w:top="266" w:right="239" w:bottom="1440" w:gutter="0" w:footer="0" w:header="0"/>
        </w:sectPr>
      </w:pPr>
    </w:p>
    <w:bookmarkStart w:id="6" w:name="page7"/>
    <w:bookmarkEnd w:id="6"/>
    <w:p>
      <w:pPr>
        <w:ind w:left="540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960" cy="36195"/>
                    </a:xfrm>
                    <a:prstGeom prst="rect">
                      <a:avLst/>
                    </a:prstGeom>
                    <a:noFill/>
                  </pic:spPr>
                </pic:pic>
              </a:graphicData>
            </a:graphic>
          </wp:anchor>
        </w:drawing>
        <w:t>Exhibit 1</w:t>
      </w:r>
    </w:p>
    <w:p>
      <w:pPr>
        <w:spacing w:after="0" w:line="160" w:lineRule="exact"/>
        <w:rPr>
          <w:sz w:val="20"/>
          <w:szCs w:val="20"/>
          <w:color w:val="auto"/>
        </w:rPr>
      </w:pPr>
    </w:p>
    <w:p>
      <w:pPr>
        <w:ind w:left="4242"/>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Supplemental Material</w:t>
      </w:r>
    </w:p>
    <w:p>
      <w:pPr>
        <w:spacing w:after="0" w:line="152" w:lineRule="exact"/>
        <w:rPr>
          <w:sz w:val="20"/>
          <w:szCs w:val="20"/>
          <w:color w:val="auto"/>
        </w:rPr>
      </w:pPr>
    </w:p>
    <w:p>
      <w:pPr>
        <w:jc w:val="center"/>
        <w:ind w:right="-1"/>
        <w:spacing w:after="0"/>
        <w:rPr>
          <w:sz w:val="20"/>
          <w:szCs w:val="20"/>
          <w:color w:val="auto"/>
        </w:rPr>
      </w:pPr>
      <w:r>
        <w:rPr>
          <w:rFonts w:ascii="Arial" w:cs="Arial" w:eastAsia="Arial" w:hAnsi="Arial"/>
          <w:sz w:val="16"/>
          <w:szCs w:val="16"/>
          <w:i w:val="1"/>
          <w:iCs w:val="1"/>
          <w:color w:val="auto"/>
        </w:rPr>
        <w:t>(Unaudited)</w:t>
      </w:r>
    </w:p>
    <w:p>
      <w:pPr>
        <w:spacing w:after="0" w:line="160" w:lineRule="exact"/>
        <w:rPr>
          <w:sz w:val="20"/>
          <w:szCs w:val="20"/>
          <w:color w:val="auto"/>
        </w:rPr>
      </w:pPr>
    </w:p>
    <w:p>
      <w:pPr>
        <w:ind w:left="2" w:right="500" w:firstLine="457"/>
        <w:spacing w:after="0" w:line="269" w:lineRule="auto"/>
        <w:rPr>
          <w:sz w:val="20"/>
          <w:szCs w:val="20"/>
          <w:color w:val="auto"/>
        </w:rPr>
      </w:pPr>
      <w:r>
        <w:rPr>
          <w:rFonts w:ascii="Arial" w:cs="Arial" w:eastAsia="Arial" w:hAnsi="Arial"/>
          <w:sz w:val="16"/>
          <w:szCs w:val="16"/>
          <w:color w:val="auto"/>
        </w:rPr>
        <w:t>The accompanying tables and charts for securities analysts include earnings (loss) before interest and taxes (EBIT), adjusted EBIT and free cash flow which are not prepared in accordance with Accounting Principles Generally Accepted in the United States of America (U.S. GAAP) and have not been audited or reviewed by GM’s independent auditors. EBIT, adjusted EBIT and free cash flow are considered non-GAAP financial measures.</w:t>
      </w:r>
    </w:p>
    <w:p>
      <w:pPr>
        <w:spacing w:after="0" w:line="118" w:lineRule="exact"/>
        <w:rPr>
          <w:sz w:val="20"/>
          <w:szCs w:val="20"/>
          <w:color w:val="auto"/>
        </w:rPr>
      </w:pPr>
    </w:p>
    <w:p>
      <w:pPr>
        <w:ind w:left="2" w:right="20" w:firstLine="457"/>
        <w:spacing w:after="0" w:line="262" w:lineRule="auto"/>
        <w:rPr>
          <w:sz w:val="20"/>
          <w:szCs w:val="20"/>
          <w:color w:val="auto"/>
        </w:rPr>
      </w:pPr>
      <w:r>
        <w:rPr>
          <w:rFonts w:ascii="Arial" w:cs="Arial" w:eastAsia="Arial" w:hAnsi="Arial"/>
          <w:sz w:val="16"/>
          <w:szCs w:val="16"/>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benchmark performance among geographic regions and assess whether GM’s plan to return to profitability is on target. Accordingly, GM believes these non-GAAP financial measures are useful in allowing for greater transparency of GM’s core operations and they are therefore used by management in its financial and operational decision-making.</w:t>
      </w:r>
    </w:p>
    <w:p>
      <w:pPr>
        <w:spacing w:after="0" w:line="125" w:lineRule="exact"/>
        <w:rPr>
          <w:sz w:val="20"/>
          <w:szCs w:val="20"/>
          <w:color w:val="auto"/>
        </w:rPr>
      </w:pPr>
    </w:p>
    <w:p>
      <w:pPr>
        <w:ind w:left="2" w:right="100" w:firstLine="457"/>
        <w:spacing w:after="0" w:line="262" w:lineRule="auto"/>
        <w:rPr>
          <w:sz w:val="20"/>
          <w:szCs w:val="20"/>
          <w:color w:val="auto"/>
        </w:rPr>
      </w:pPr>
      <w:r>
        <w:rPr>
          <w:rFonts w:ascii="Arial" w:cs="Arial" w:eastAsia="Arial" w:hAnsi="Arial"/>
          <w:sz w:val="16"/>
          <w:szCs w:val="16"/>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 method of calculation. As a result, the use of these non-GAAP financial measures has limitations and should not be considered in isolation from, or as a substitute for, other measures such as Net income (loss) or Net income (loss) attributable to common stockholders. Due to these limitations, these non-GAAP financial measures are used as a supplement to U.S. GAAP measures.</w:t>
      </w:r>
    </w:p>
    <w:p>
      <w:pPr>
        <w:spacing w:after="0" w:line="125" w:lineRule="exact"/>
        <w:rPr>
          <w:sz w:val="20"/>
          <w:szCs w:val="20"/>
          <w:color w:val="auto"/>
        </w:rPr>
      </w:pPr>
    </w:p>
    <w:p>
      <w:pPr>
        <w:ind w:left="462"/>
        <w:spacing w:after="0"/>
        <w:rPr>
          <w:sz w:val="20"/>
          <w:szCs w:val="20"/>
          <w:color w:val="auto"/>
        </w:rPr>
      </w:pPr>
      <w:r>
        <w:rPr>
          <w:rFonts w:ascii="Arial" w:cs="Arial" w:eastAsia="Arial" w:hAnsi="Arial"/>
          <w:sz w:val="16"/>
          <w:szCs w:val="16"/>
          <w:color w:val="auto"/>
        </w:rPr>
        <w:t>The following table summarizes the reconciliation of EBIT to its most comparable U.S. GAAP measure (dollars in millions):</w:t>
      </w:r>
    </w:p>
    <w:p>
      <w:pPr>
        <w:spacing w:after="0" w:line="193" w:lineRule="exact"/>
        <w:rPr>
          <w:sz w:val="20"/>
          <w:szCs w:val="20"/>
          <w:color w:val="auto"/>
        </w:rPr>
      </w:pPr>
    </w:p>
    <w:tbl>
      <w:tblPr>
        <w:tblLayout w:type="fixed"/>
        <w:tblInd w:w="2"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2"/>
                <w:szCs w:val="12"/>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660" w:type="dxa"/>
            <w:vAlign w:val="bottom"/>
            <w:gridSpan w:val="3"/>
          </w:tcPr>
          <w:p>
            <w:pPr>
              <w:ind w:left="20"/>
              <w:spacing w:after="0" w:line="115" w:lineRule="exact"/>
              <w:rPr>
                <w:sz w:val="20"/>
                <w:szCs w:val="20"/>
                <w:color w:val="auto"/>
              </w:rPr>
            </w:pPr>
            <w:r>
              <w:rPr>
                <w:rFonts w:ascii="Arial" w:cs="Arial" w:eastAsia="Arial" w:hAnsi="Arial"/>
                <w:sz w:val="12"/>
                <w:szCs w:val="12"/>
                <w:b w:val="1"/>
                <w:bCs w:val="1"/>
                <w:color w:val="auto"/>
              </w:rPr>
              <w:t>Three Months</w:t>
            </w:r>
          </w:p>
        </w:tc>
        <w:tc>
          <w:tcPr>
            <w:tcW w:w="100" w:type="dxa"/>
            <w:vAlign w:val="bottom"/>
          </w:tcPr>
          <w:p>
            <w:pPr>
              <w:spacing w:after="0"/>
              <w:rPr>
                <w:sz w:val="9"/>
                <w:szCs w:val="9"/>
                <w:color w:val="auto"/>
              </w:rPr>
            </w:pPr>
          </w:p>
        </w:tc>
        <w:tc>
          <w:tcPr>
            <w:tcW w:w="1720" w:type="dxa"/>
            <w:vAlign w:val="bottom"/>
            <w:gridSpan w:val="2"/>
          </w:tcPr>
          <w:p>
            <w:pPr>
              <w:jc w:val="right"/>
              <w:ind w:right="960"/>
              <w:spacing w:after="0" w:line="115" w:lineRule="exact"/>
              <w:rPr>
                <w:sz w:val="20"/>
                <w:szCs w:val="20"/>
                <w:color w:val="auto"/>
              </w:rPr>
            </w:pPr>
            <w:r>
              <w:rPr>
                <w:rFonts w:ascii="Arial" w:cs="Arial" w:eastAsia="Arial" w:hAnsi="Arial"/>
                <w:sz w:val="12"/>
                <w:szCs w:val="12"/>
                <w:b w:val="1"/>
                <w:bCs w:val="1"/>
                <w:color w:val="auto"/>
                <w:w w:val="93"/>
              </w:rPr>
              <w:t>Three Months</w:t>
            </w:r>
          </w:p>
        </w:tc>
        <w:tc>
          <w:tcPr>
            <w:tcW w:w="120" w:type="dxa"/>
            <w:vAlign w:val="bottom"/>
          </w:tcPr>
          <w:p>
            <w:pPr>
              <w:spacing w:after="0"/>
              <w:rPr>
                <w:sz w:val="9"/>
                <w:szCs w:val="9"/>
                <w:color w:val="auto"/>
              </w:rPr>
            </w:pPr>
          </w:p>
        </w:tc>
        <w:tc>
          <w:tcPr>
            <w:tcW w:w="920" w:type="dxa"/>
            <w:vAlign w:val="bottom"/>
          </w:tcPr>
          <w:p>
            <w:pPr>
              <w:jc w:val="right"/>
              <w:ind w:right="103"/>
              <w:spacing w:after="0" w:line="115" w:lineRule="exact"/>
              <w:rPr>
                <w:sz w:val="20"/>
                <w:szCs w:val="20"/>
                <w:color w:val="auto"/>
              </w:rPr>
            </w:pPr>
            <w:r>
              <w:rPr>
                <w:rFonts w:ascii="Arial" w:cs="Arial" w:eastAsia="Arial" w:hAnsi="Arial"/>
                <w:sz w:val="12"/>
                <w:szCs w:val="12"/>
                <w:b w:val="1"/>
                <w:bCs w:val="1"/>
                <w:color w:val="auto"/>
                <w:w w:val="97"/>
              </w:rPr>
              <w:t>July 10, 2009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right"/>
              <w:ind w:right="1080"/>
              <w:spacing w:after="0" w:line="135" w:lineRule="exact"/>
              <w:rPr>
                <w:sz w:val="20"/>
                <w:szCs w:val="20"/>
                <w:color w:val="auto"/>
              </w:rPr>
            </w:pPr>
            <w:r>
              <w:rPr>
                <w:rFonts w:ascii="Arial" w:cs="Arial" w:eastAsia="Arial" w:hAnsi="Arial"/>
                <w:sz w:val="12"/>
                <w:szCs w:val="12"/>
                <w:b w:val="1"/>
                <w:bCs w:val="1"/>
                <w:color w:val="auto"/>
              </w:rPr>
              <w:t>Ended</w:t>
            </w:r>
          </w:p>
        </w:tc>
        <w:tc>
          <w:tcPr>
            <w:tcW w:w="100" w:type="dxa"/>
            <w:vAlign w:val="bottom"/>
          </w:tcPr>
          <w:p>
            <w:pPr>
              <w:spacing w:after="0"/>
              <w:rPr>
                <w:sz w:val="11"/>
                <w:szCs w:val="11"/>
                <w:color w:val="auto"/>
              </w:rPr>
            </w:pPr>
          </w:p>
        </w:tc>
        <w:tc>
          <w:tcPr>
            <w:tcW w:w="1720" w:type="dxa"/>
            <w:vAlign w:val="bottom"/>
            <w:gridSpan w:val="2"/>
          </w:tcPr>
          <w:p>
            <w:pPr>
              <w:jc w:val="right"/>
              <w:ind w:right="1160"/>
              <w:spacing w:after="0" w:line="135" w:lineRule="exact"/>
              <w:rPr>
                <w:sz w:val="20"/>
                <w:szCs w:val="20"/>
                <w:color w:val="auto"/>
              </w:rPr>
            </w:pPr>
            <w:r>
              <w:rPr>
                <w:rFonts w:ascii="Arial" w:cs="Arial" w:eastAsia="Arial" w:hAnsi="Arial"/>
                <w:sz w:val="12"/>
                <w:szCs w:val="12"/>
                <w:b w:val="1"/>
                <w:bCs w:val="1"/>
                <w:color w:val="auto"/>
              </w:rPr>
              <w:t>Ended</w:t>
            </w:r>
          </w:p>
        </w:tc>
        <w:tc>
          <w:tcPr>
            <w:tcW w:w="120" w:type="dxa"/>
            <w:vAlign w:val="bottom"/>
          </w:tcPr>
          <w:p>
            <w:pPr>
              <w:spacing w:after="0"/>
              <w:rPr>
                <w:sz w:val="11"/>
                <w:szCs w:val="11"/>
                <w:color w:val="auto"/>
              </w:rPr>
            </w:pP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660" w:type="dxa"/>
            <w:vAlign w:val="bottom"/>
            <w:gridSpan w:val="3"/>
          </w:tcPr>
          <w:p>
            <w:pPr>
              <w:spacing w:after="0"/>
              <w:rPr>
                <w:sz w:val="20"/>
                <w:szCs w:val="20"/>
                <w:color w:val="auto"/>
              </w:rPr>
            </w:pPr>
            <w:r>
              <w:rPr>
                <w:rFonts w:ascii="Arial" w:cs="Arial" w:eastAsia="Arial" w:hAnsi="Arial"/>
                <w:sz w:val="12"/>
                <w:szCs w:val="12"/>
                <w:b w:val="1"/>
                <w:bCs w:val="1"/>
                <w:color w:val="auto"/>
              </w:rPr>
              <w:t>March 31, 2010</w:t>
            </w:r>
          </w:p>
        </w:tc>
        <w:tc>
          <w:tcPr>
            <w:tcW w:w="1820" w:type="dxa"/>
            <w:vAlign w:val="bottom"/>
            <w:gridSpan w:val="3"/>
          </w:tcPr>
          <w:p>
            <w:pPr>
              <w:spacing w:after="0"/>
              <w:rPr>
                <w:sz w:val="20"/>
                <w:szCs w:val="20"/>
                <w:color w:val="auto"/>
              </w:rPr>
            </w:pPr>
            <w:r>
              <w:rPr>
                <w:rFonts w:ascii="Arial" w:cs="Arial" w:eastAsia="Arial" w:hAnsi="Arial"/>
                <w:sz w:val="12"/>
                <w:szCs w:val="12"/>
                <w:b w:val="1"/>
                <w:bCs w:val="1"/>
                <w:color w:val="auto"/>
              </w:rPr>
              <w:t>December 31, 2009</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w w:val="98"/>
              </w:rPr>
              <w:t>September 30, 2009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segments</w:t>
            </w: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tcPr>
          <w:p>
            <w:pPr>
              <w:ind w:left="380"/>
              <w:spacing w:after="0"/>
              <w:rPr>
                <w:sz w:val="20"/>
                <w:szCs w:val="20"/>
                <w:color w:val="auto"/>
              </w:rPr>
            </w:pPr>
            <w:r>
              <w:rPr>
                <w:rFonts w:ascii="Arial" w:cs="Arial" w:eastAsia="Arial" w:hAnsi="Arial"/>
                <w:sz w:val="16"/>
                <w:szCs w:val="16"/>
                <w:color w:val="auto"/>
              </w:rPr>
              <w:t>GMNA (a)</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1,218</w:t>
            </w:r>
          </w:p>
        </w:tc>
        <w:tc>
          <w:tcPr>
            <w:tcW w:w="8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780"/>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GMIO (a)</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tcPr>
          <w:p>
            <w:pPr>
              <w:ind w:left="380"/>
              <w:spacing w:after="0"/>
              <w:rPr>
                <w:sz w:val="20"/>
                <w:szCs w:val="20"/>
                <w:color w:val="auto"/>
              </w:rPr>
            </w:pPr>
            <w:r>
              <w:rPr>
                <w:rFonts w:ascii="Arial" w:cs="Arial" w:eastAsia="Arial" w:hAnsi="Arial"/>
                <w:sz w:val="16"/>
                <w:szCs w:val="16"/>
                <w:color w:val="auto"/>
              </w:rPr>
              <w:t>GME (a)</w:t>
            </w:r>
          </w:p>
        </w:tc>
        <w:tc>
          <w:tcPr>
            <w:tcW w:w="160" w:type="dxa"/>
            <w:vAlign w:val="bottom"/>
          </w:tcPr>
          <w:p>
            <w:pPr>
              <w:spacing w:after="0"/>
              <w:rPr>
                <w:sz w:val="17"/>
                <w:szCs w:val="17"/>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segments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(3,519)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Corporate and eliminations</w:t>
            </w:r>
          </w:p>
        </w:tc>
        <w:tc>
          <w:tcPr>
            <w:tcW w:w="160" w:type="dxa"/>
            <w:vAlign w:val="bottom"/>
          </w:tcPr>
          <w:p>
            <w:pPr>
              <w:spacing w:after="0"/>
              <w:rPr>
                <w:sz w:val="17"/>
                <w:szCs w:val="17"/>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EBIT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1,824</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b w:val="1"/>
                <w:bCs w:val="1"/>
                <w:color w:val="auto"/>
              </w:rPr>
              <w:t>(4,046)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509</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stockholders</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1,068</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b w:val="1"/>
                <w:bCs w:val="1"/>
                <w:color w:val="auto"/>
              </w:rPr>
              <w:t>(3,439)</w:t>
            </w: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2" w:right="120" w:hanging="462"/>
        <w:spacing w:after="0" w:line="282" w:lineRule="auto"/>
        <w:tabs>
          <w:tab w:leader="none" w:pos="46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Interest and income taxes are recorded centrally in Corporate; therefore, there are no reconciling items for GM’s operating segments between EBIT and Net income (loss) attributable to stockholders.</w:t>
      </w:r>
    </w:p>
    <w:p>
      <w:pPr>
        <w:spacing w:after="0" w:line="9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2"/>
          </w:cols>
          <w:pgMar w:left="238" w:top="26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960" cy="36195"/>
                    </a:xfrm>
                    <a:prstGeom prst="rect">
                      <a:avLst/>
                    </a:prstGeom>
                    <a:noFill/>
                  </pic:spPr>
                </pic:pic>
              </a:graphicData>
            </a:graphic>
          </wp:anchor>
        </w:drawing>
        <w:t>General Motors Company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60" w:lineRule="exact"/>
        <w:rPr>
          <w:sz w:val="20"/>
          <w:szCs w:val="20"/>
          <w:color w:val="auto"/>
        </w:rPr>
      </w:pPr>
    </w:p>
    <w:p>
      <w:pPr>
        <w:jc w:val="center"/>
        <w:ind w:left="400"/>
        <w:spacing w:after="0"/>
        <w:rPr>
          <w:sz w:val="20"/>
          <w:szCs w:val="20"/>
          <w:color w:val="auto"/>
        </w:rPr>
      </w:pPr>
      <w:r>
        <w:rPr>
          <w:rFonts w:ascii="Arial" w:cs="Arial" w:eastAsia="Arial" w:hAnsi="Arial"/>
          <w:sz w:val="14"/>
          <w:szCs w:val="14"/>
          <w:color w:val="auto"/>
        </w:rPr>
        <w:t>The following tables summarize the reconciliation of adjusted EBIT to EBIT and free cash flow to Net cash provided by (used in) operating activities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2"/>
                <w:szCs w:val="12"/>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w w:val="96"/>
              </w:rPr>
              <w:t>Three Months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jc w:val="right"/>
              <w:ind w:right="980"/>
              <w:spacing w:after="0" w:line="115" w:lineRule="exact"/>
              <w:rPr>
                <w:sz w:val="20"/>
                <w:szCs w:val="20"/>
                <w:color w:val="auto"/>
              </w:rPr>
            </w:pPr>
            <w:r>
              <w:rPr>
                <w:rFonts w:ascii="Arial" w:cs="Arial" w:eastAsia="Arial" w:hAnsi="Arial"/>
                <w:sz w:val="12"/>
                <w:szCs w:val="12"/>
                <w:b w:val="1"/>
                <w:bCs w:val="1"/>
                <w:color w:val="auto"/>
                <w:w w:val="93"/>
              </w:rPr>
              <w:t>Three Months</w:t>
            </w:r>
          </w:p>
        </w:tc>
        <w:tc>
          <w:tcPr>
            <w:tcW w:w="120" w:type="dxa"/>
            <w:vAlign w:val="bottom"/>
          </w:tcPr>
          <w:p>
            <w:pPr>
              <w:spacing w:after="0"/>
              <w:rPr>
                <w:sz w:val="9"/>
                <w:szCs w:val="9"/>
                <w:color w:val="auto"/>
              </w:rPr>
            </w:pPr>
          </w:p>
        </w:tc>
        <w:tc>
          <w:tcPr>
            <w:tcW w:w="920" w:type="dxa"/>
            <w:vAlign w:val="bottom"/>
          </w:tcPr>
          <w:p>
            <w:pPr>
              <w:jc w:val="right"/>
              <w:ind w:right="105"/>
              <w:spacing w:after="0" w:line="115" w:lineRule="exact"/>
              <w:rPr>
                <w:sz w:val="20"/>
                <w:szCs w:val="20"/>
                <w:color w:val="auto"/>
              </w:rPr>
            </w:pPr>
            <w:r>
              <w:rPr>
                <w:rFonts w:ascii="Arial" w:cs="Arial" w:eastAsia="Arial" w:hAnsi="Arial"/>
                <w:sz w:val="12"/>
                <w:szCs w:val="12"/>
                <w:b w:val="1"/>
                <w:bCs w:val="1"/>
                <w:color w:val="auto"/>
                <w:w w:val="97"/>
              </w:rPr>
              <w:t>July 10, 2009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63"/>
              <w:spacing w:after="0" w:line="135" w:lineRule="exact"/>
              <w:rPr>
                <w:sz w:val="20"/>
                <w:szCs w:val="20"/>
                <w:color w:val="auto"/>
              </w:rPr>
            </w:pPr>
            <w:r>
              <w:rPr>
                <w:rFonts w:ascii="Arial" w:cs="Arial" w:eastAsia="Arial" w:hAnsi="Arial"/>
                <w:sz w:val="12"/>
                <w:szCs w:val="12"/>
                <w:b w:val="1"/>
                <w:bCs w:val="1"/>
                <w:color w:val="auto"/>
              </w:rPr>
              <w:t>Ended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right"/>
              <w:ind w:right="1180"/>
              <w:spacing w:after="0" w:line="135" w:lineRule="exact"/>
              <w:rPr>
                <w:sz w:val="20"/>
                <w:szCs w:val="20"/>
                <w:color w:val="auto"/>
              </w:rPr>
            </w:pPr>
            <w:r>
              <w:rPr>
                <w:rFonts w:ascii="Arial" w:cs="Arial" w:eastAsia="Arial" w:hAnsi="Arial"/>
                <w:sz w:val="12"/>
                <w:szCs w:val="12"/>
                <w:b w:val="1"/>
                <w:bCs w:val="1"/>
                <w:color w:val="auto"/>
              </w:rPr>
              <w:t>Ended</w:t>
            </w:r>
          </w:p>
        </w:tc>
        <w:tc>
          <w:tcPr>
            <w:tcW w:w="120" w:type="dxa"/>
            <w:vAlign w:val="bottom"/>
          </w:tcPr>
          <w:p>
            <w:pPr>
              <w:spacing w:after="0"/>
              <w:rPr>
                <w:sz w:val="11"/>
                <w:szCs w:val="11"/>
                <w:color w:val="auto"/>
              </w:rPr>
            </w:pP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3"/>
              </w:rPr>
              <w:t>March 31, 2010</w:t>
            </w:r>
          </w:p>
        </w:tc>
        <w:tc>
          <w:tcPr>
            <w:tcW w:w="760" w:type="dxa"/>
            <w:vAlign w:val="bottom"/>
          </w:tcPr>
          <w:p>
            <w:pPr>
              <w:spacing w:after="0"/>
              <w:rPr>
                <w:sz w:val="12"/>
                <w:szCs w:val="12"/>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0"/>
              </w:rPr>
              <w:t>December 31, 2009</w:t>
            </w:r>
          </w:p>
        </w:tc>
        <w:tc>
          <w:tcPr>
            <w:tcW w:w="840" w:type="dxa"/>
            <w:vAlign w:val="bottom"/>
          </w:tcPr>
          <w:p>
            <w:pPr>
              <w:spacing w:after="0"/>
              <w:rPr>
                <w:sz w:val="12"/>
                <w:szCs w:val="12"/>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0"/>
              </w:rPr>
              <w:t>September 30, 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9"/>
              </w:rPr>
              <w:t>$</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90"/>
              </w:rPr>
              <w:t>Adjustments</w:t>
            </w:r>
          </w:p>
        </w:tc>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6"/>
                <w:szCs w:val="16"/>
                <w:color w:val="auto"/>
              </w:rPr>
              <w:t>(3,092)</w:t>
            </w:r>
          </w:p>
        </w:tc>
        <w:tc>
          <w:tcPr>
            <w:tcW w:w="1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EBIT</w:t>
            </w:r>
          </w:p>
        </w:tc>
        <w:tc>
          <w:tcPr>
            <w:tcW w:w="6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1,824</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w w:val="89"/>
              </w:rPr>
              <w:t>$</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b w:val="1"/>
                <w:bCs w:val="1"/>
                <w:color w:val="auto"/>
              </w:rPr>
              <w:t>(4,046)</w:t>
            </w: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(741)</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6"/>
                <w:szCs w:val="16"/>
                <w:color w:val="auto"/>
              </w:rPr>
              <w:t>Free Cash Flow</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80" w:type="dxa"/>
            <w:vAlign w:val="bottom"/>
            <w:gridSpan w:val="3"/>
            <w:vMerge w:val="continue"/>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860" w:type="dxa"/>
            <w:vAlign w:val="bottom"/>
            <w:gridSpan w:val="2"/>
          </w:tcPr>
          <w:p>
            <w:pPr>
              <w:ind w:left="760"/>
              <w:spacing w:after="0"/>
              <w:rPr>
                <w:sz w:val="20"/>
                <w:szCs w:val="20"/>
                <w:color w:val="auto"/>
              </w:rPr>
            </w:pPr>
            <w:r>
              <w:rPr>
                <w:rFonts w:ascii="Arial" w:cs="Arial" w:eastAsia="Arial" w:hAnsi="Arial"/>
                <w:sz w:val="16"/>
                <w:szCs w:val="16"/>
                <w:color w:val="auto"/>
                <w:w w:val="89"/>
              </w:rPr>
              <w:t>$</w:t>
            </w:r>
          </w:p>
        </w:tc>
        <w:tc>
          <w:tcPr>
            <w:tcW w:w="1740" w:type="dxa"/>
            <w:vAlign w:val="bottom"/>
            <w:gridSpan w:val="2"/>
          </w:tcPr>
          <w:p>
            <w:pPr>
              <w:jc w:val="right"/>
              <w:ind w:right="800"/>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01"/>
        </w:trPr>
        <w:tc>
          <w:tcPr>
            <w:tcW w:w="6880" w:type="dxa"/>
            <w:vAlign w:val="bottom"/>
            <w:gridSpan w:val="3"/>
          </w:tcPr>
          <w:p>
            <w:pPr>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1,746</w:t>
            </w:r>
          </w:p>
        </w:tc>
        <w:tc>
          <w:tcPr>
            <w:tcW w:w="7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(1,886)</w:t>
            </w:r>
          </w:p>
        </w:tc>
        <w:tc>
          <w:tcPr>
            <w:tcW w:w="8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gridSpan w:val="2"/>
            <w:vMerge w:val="restart"/>
          </w:tcPr>
          <w:p>
            <w:pPr>
              <w:ind w:left="440"/>
              <w:spacing w:after="0"/>
              <w:rPr>
                <w:sz w:val="20"/>
                <w:szCs w:val="20"/>
                <w:color w:val="auto"/>
              </w:rPr>
            </w:pPr>
            <w:r>
              <w:rPr>
                <w:rFonts w:ascii="Arial" w:cs="Arial" w:eastAsia="Arial" w:hAnsi="Arial"/>
                <w:sz w:val="16"/>
                <w:szCs w:val="16"/>
                <w:color w:val="auto"/>
              </w:rPr>
              <w:t>In the three months ended March 31, 2010 Adjustments included the following:</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tcPr>
          <w:p>
            <w:pPr>
              <w:ind w:left="540"/>
              <w:spacing w:after="0"/>
              <w:rPr>
                <w:sz w:val="20"/>
                <w:szCs w:val="20"/>
                <w:color w:val="auto"/>
              </w:rPr>
            </w:pPr>
            <w:r>
              <w:rPr>
                <w:rFonts w:ascii="Arial" w:cs="Arial" w:eastAsia="Arial" w:hAnsi="Arial"/>
                <w:sz w:val="16"/>
                <w:szCs w:val="16"/>
                <w:color w:val="auto"/>
              </w:rPr>
              <w:t>•</w:t>
            </w:r>
          </w:p>
        </w:tc>
        <w:tc>
          <w:tcPr>
            <w:tcW w:w="6040" w:type="dxa"/>
            <w:vAlign w:val="bottom"/>
          </w:tcPr>
          <w:p>
            <w:pPr>
              <w:ind w:left="60"/>
              <w:spacing w:after="0"/>
              <w:rPr>
                <w:sz w:val="20"/>
                <w:szCs w:val="20"/>
                <w:color w:val="auto"/>
              </w:rPr>
            </w:pPr>
            <w:r>
              <w:rPr>
                <w:rFonts w:ascii="Arial" w:cs="Arial" w:eastAsia="Arial" w:hAnsi="Arial"/>
                <w:sz w:val="16"/>
                <w:szCs w:val="16"/>
                <w:color w:val="auto"/>
              </w:rPr>
              <w:t>Gain of $123 million as a result of the sale of Saab to Spyker Cars NV.</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months ended December 31, 2009 Adjustments included the following:</w:t>
      </w:r>
    </w:p>
    <w:p>
      <w:pPr>
        <w:spacing w:after="0" w:line="86" w:lineRule="exact"/>
        <w:rPr>
          <w:sz w:val="20"/>
          <w:szCs w:val="20"/>
          <w:color w:val="auto"/>
        </w:rPr>
      </w:pPr>
    </w:p>
    <w:p>
      <w:pPr>
        <w:ind w:left="900" w:right="800" w:hanging="337"/>
        <w:spacing w:after="0" w:line="28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Settlement loss of $2.6 billion related to the termination of GM’s UAW hourly retiree medical plan and Mitigation Plan, under which GM agreed that an independent VEBA would be formed to pay certain healthcare costs of UAW hourly retirees and their beneficiaries;</w:t>
      </w:r>
    </w:p>
    <w:p>
      <w:pPr>
        <w:spacing w:after="0" w:line="34" w:lineRule="exact"/>
        <w:rPr>
          <w:rFonts w:ascii="Arial" w:cs="Arial" w:eastAsia="Arial" w:hAnsi="Arial"/>
          <w:sz w:val="16"/>
          <w:szCs w:val="16"/>
          <w:color w:val="auto"/>
        </w:rPr>
      </w:pPr>
    </w:p>
    <w:p>
      <w:pPr>
        <w:ind w:left="900" w:hanging="33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Impairment charge of $270 million related to GM’s investment in GMAC common stock;</w:t>
      </w:r>
    </w:p>
    <w:p>
      <w:pPr>
        <w:spacing w:after="0" w:line="86" w:lineRule="exact"/>
        <w:rPr>
          <w:rFonts w:ascii="Arial" w:cs="Arial" w:eastAsia="Arial" w:hAnsi="Arial"/>
          <w:sz w:val="16"/>
          <w:szCs w:val="16"/>
          <w:color w:val="auto"/>
        </w:rPr>
      </w:pPr>
    </w:p>
    <w:p>
      <w:pPr>
        <w:ind w:left="900" w:right="560" w:hanging="337"/>
        <w:spacing w:after="0" w:line="28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Charges of $150 million related to the settlement of existing Delphi obligations upon consummation of the Delphi Master Disposition Agreement and GM’s agreement to fund the wind-down costs of certain Delphi facilities; and</w:t>
      </w:r>
    </w:p>
    <w:p>
      <w:pPr>
        <w:spacing w:after="0" w:line="34" w:lineRule="exact"/>
        <w:rPr>
          <w:rFonts w:ascii="Arial" w:cs="Arial" w:eastAsia="Arial" w:hAnsi="Arial"/>
          <w:sz w:val="16"/>
          <w:szCs w:val="16"/>
          <w:color w:val="auto"/>
        </w:rPr>
      </w:pPr>
    </w:p>
    <w:p>
      <w:pPr>
        <w:ind w:left="900" w:right="640" w:hanging="337"/>
        <w:spacing w:after="0" w:line="28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on extinguishment of debt of $101 million related to the repayment of secured long-term debt of $400 million (in connection with the purchase of the remaining noncontrolling interest in CAMI Automotive, Inc.).</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period July 10, 2009 through September 30, 2009 Adjustments included the following:</w:t>
      </w:r>
    </w:p>
    <w:p>
      <w:pPr>
        <w:spacing w:after="0" w:line="86" w:lineRule="exact"/>
        <w:rPr>
          <w:sz w:val="20"/>
          <w:szCs w:val="20"/>
          <w:color w:val="auto"/>
        </w:rPr>
      </w:pPr>
    </w:p>
    <w:p>
      <w:pPr>
        <w:ind w:left="900" w:hanging="337"/>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of $110 million to record reserves against advances to Delphi.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62" w:right="239" w:bottom="1440" w:gutter="0" w:footer="0" w:header="0"/>
        </w:sectPr>
      </w:pPr>
    </w:p>
    <w:bookmarkStart w:id="8" w:name="page9"/>
    <w:bookmarkEnd w:id="8"/>
    <w:p>
      <w:pPr>
        <w:jc w:val="center"/>
        <w:ind w:righ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960" cy="36195"/>
                    </a:xfrm>
                    <a:prstGeom prst="rect">
                      <a:avLst/>
                    </a:prstGeom>
                    <a:noFill/>
                  </pic:spPr>
                </pic:pic>
              </a:graphicData>
            </a:graphic>
          </wp:anchor>
        </w:drawing>
        <w:t>General Motors Company and Subsidiaries</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Supplemental Material</w:t>
      </w:r>
    </w:p>
    <w:p>
      <w:pPr>
        <w:spacing w:after="0" w:line="152" w:lineRule="exact"/>
        <w:rPr>
          <w:sz w:val="20"/>
          <w:szCs w:val="20"/>
          <w:color w:val="auto"/>
        </w:rPr>
      </w:pPr>
    </w:p>
    <w:p>
      <w:pPr>
        <w:jc w:val="center"/>
        <w:ind w:right="-1"/>
        <w:spacing w:after="0"/>
        <w:rPr>
          <w:sz w:val="20"/>
          <w:szCs w:val="20"/>
          <w:color w:val="auto"/>
        </w:rPr>
      </w:pPr>
      <w:r>
        <w:rPr>
          <w:rFonts w:ascii="Arial" w:cs="Arial" w:eastAsia="Arial" w:hAnsi="Arial"/>
          <w:sz w:val="16"/>
          <w:szCs w:val="16"/>
          <w:i w:val="1"/>
          <w:iCs w:val="1"/>
          <w:color w:val="auto"/>
        </w:rPr>
        <w:t>(Unaudited)</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5"/>
              </w:rPr>
              <w:t>Successor</w:t>
            </w:r>
          </w:p>
        </w:tc>
        <w:tc>
          <w:tcPr>
            <w:tcW w:w="6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5"/>
              </w:rPr>
              <w:t>Predecessor</w:t>
            </w:r>
          </w:p>
        </w:tc>
      </w:tr>
      <w:tr>
        <w:trPr>
          <w:trHeight w:val="114"/>
        </w:trPr>
        <w:tc>
          <w:tcPr>
            <w:tcW w:w="1140" w:type="dxa"/>
            <w:vAlign w:val="bottom"/>
          </w:tcPr>
          <w:p>
            <w:pPr>
              <w:spacing w:after="0"/>
              <w:rPr>
                <w:sz w:val="9"/>
                <w:szCs w:val="9"/>
                <w:color w:val="auto"/>
              </w:rPr>
            </w:pPr>
          </w:p>
        </w:tc>
        <w:tc>
          <w:tcPr>
            <w:tcW w:w="7620" w:type="dxa"/>
            <w:vAlign w:val="bottom"/>
          </w:tcPr>
          <w:p>
            <w:pPr>
              <w:spacing w:after="0"/>
              <w:rPr>
                <w:sz w:val="9"/>
                <w:szCs w:val="9"/>
                <w:color w:val="auto"/>
              </w:rPr>
            </w:pPr>
          </w:p>
        </w:tc>
        <w:tc>
          <w:tcPr>
            <w:tcW w:w="7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6"/>
              </w:rPr>
              <w:t>Three Months</w:t>
            </w:r>
          </w:p>
        </w:tc>
        <w:tc>
          <w:tcPr>
            <w:tcW w:w="62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Three Months</w:t>
            </w:r>
          </w:p>
        </w:tc>
        <w:tc>
          <w:tcPr>
            <w:tcW w:w="20" w:type="dxa"/>
            <w:vAlign w:val="bottom"/>
          </w:tcPr>
          <w:p>
            <w:pPr>
              <w:spacing w:after="0"/>
              <w:rPr>
                <w:sz w:val="9"/>
                <w:szCs w:val="9"/>
                <w:color w:val="auto"/>
              </w:rPr>
            </w:pPr>
          </w:p>
        </w:tc>
      </w:tr>
      <w:tr>
        <w:trPr>
          <w:trHeight w:val="135"/>
        </w:trPr>
        <w:tc>
          <w:tcPr>
            <w:tcW w:w="114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Ended</w:t>
            </w:r>
          </w:p>
        </w:tc>
        <w:tc>
          <w:tcPr>
            <w:tcW w:w="6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2"/>
              </w:rPr>
              <w:t>Ended</w:t>
            </w:r>
          </w:p>
        </w:tc>
      </w:tr>
      <w:tr>
        <w:trPr>
          <w:trHeight w:val="135"/>
        </w:trPr>
        <w:tc>
          <w:tcPr>
            <w:tcW w:w="114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March 31,</w:t>
            </w:r>
          </w:p>
        </w:tc>
        <w:tc>
          <w:tcPr>
            <w:tcW w:w="6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3"/>
              </w:rPr>
              <w:t>March 31,</w:t>
            </w:r>
          </w:p>
        </w:tc>
      </w:tr>
      <w:tr>
        <w:trPr>
          <w:trHeight w:val="148"/>
        </w:trPr>
        <w:tc>
          <w:tcPr>
            <w:tcW w:w="114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2010</w:t>
            </w:r>
          </w:p>
        </w:tc>
        <w:tc>
          <w:tcPr>
            <w:tcW w:w="620" w:type="dxa"/>
            <w:vAlign w:val="bottom"/>
            <w:tcBorders>
              <w:right w:val="single" w:sz="8" w:color="auto"/>
            </w:tcBorders>
          </w:tcPr>
          <w:p>
            <w:pPr>
              <w:spacing w:after="0"/>
              <w:rPr>
                <w:sz w:val="12"/>
                <w:szCs w:val="12"/>
                <w:color w:val="auto"/>
              </w:rPr>
            </w:pPr>
          </w:p>
        </w:tc>
        <w:tc>
          <w:tcPr>
            <w:tcW w:w="1280" w:type="dxa"/>
            <w:vAlign w:val="bottom"/>
            <w:gridSpan w:val="2"/>
          </w:tcPr>
          <w:p>
            <w:pPr>
              <w:jc w:val="center"/>
              <w:ind w:left="484"/>
              <w:spacing w:after="0"/>
              <w:rPr>
                <w:sz w:val="20"/>
                <w:szCs w:val="20"/>
                <w:color w:val="auto"/>
              </w:rPr>
            </w:pPr>
            <w:r>
              <w:rPr>
                <w:rFonts w:ascii="Arial" w:cs="Arial" w:eastAsia="Arial" w:hAnsi="Arial"/>
                <w:sz w:val="12"/>
                <w:szCs w:val="12"/>
                <w:b w:val="1"/>
                <w:bCs w:val="1"/>
                <w:color w:val="auto"/>
                <w:w w:val="89"/>
              </w:rPr>
              <w:t>2009</w:t>
            </w:r>
          </w:p>
        </w:tc>
        <w:tc>
          <w:tcPr>
            <w:tcW w:w="20" w:type="dxa"/>
            <w:vAlign w:val="bottom"/>
          </w:tcPr>
          <w:p>
            <w:pPr>
              <w:spacing w:after="0"/>
              <w:rPr>
                <w:sz w:val="12"/>
                <w:szCs w:val="12"/>
                <w:color w:val="auto"/>
              </w:rPr>
            </w:pPr>
          </w:p>
        </w:tc>
      </w:tr>
      <w:tr>
        <w:trPr>
          <w:trHeight w:val="189"/>
        </w:trPr>
        <w:tc>
          <w:tcPr>
            <w:tcW w:w="8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Worldwide Production Volume (units in thousands)(a)</w:t>
            </w:r>
          </w:p>
        </w:tc>
        <w:tc>
          <w:tcPr>
            <w:tcW w:w="760" w:type="dxa"/>
            <w:vAlign w:val="bottom"/>
            <w:tcBorders>
              <w:top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8760" w:type="dxa"/>
            <w:vAlign w:val="bottom"/>
            <w:gridSpan w:val="2"/>
          </w:tcPr>
          <w:p>
            <w:pPr>
              <w:ind w:left="400"/>
              <w:spacing w:after="0"/>
              <w:rPr>
                <w:sz w:val="20"/>
                <w:szCs w:val="20"/>
                <w:color w:val="auto"/>
              </w:rPr>
            </w:pPr>
            <w:r>
              <w:rPr>
                <w:rFonts w:ascii="Arial" w:cs="Arial" w:eastAsia="Arial" w:hAnsi="Arial"/>
                <w:sz w:val="16"/>
                <w:szCs w:val="16"/>
                <w:color w:val="auto"/>
              </w:rPr>
              <w:t>GMNA – Cars</w:t>
            </w:r>
          </w:p>
        </w:tc>
        <w:tc>
          <w:tcPr>
            <w:tcW w:w="760" w:type="dxa"/>
            <w:vAlign w:val="bottom"/>
          </w:tcPr>
          <w:p>
            <w:pPr>
              <w:jc w:val="right"/>
              <w:spacing w:after="0"/>
              <w:rPr>
                <w:sz w:val="20"/>
                <w:szCs w:val="20"/>
                <w:color w:val="auto"/>
              </w:rPr>
            </w:pPr>
            <w:r>
              <w:rPr>
                <w:rFonts w:ascii="Arial" w:cs="Arial" w:eastAsia="Arial" w:hAnsi="Arial"/>
                <w:sz w:val="16"/>
                <w:szCs w:val="16"/>
                <w:color w:val="auto"/>
              </w:rPr>
              <w:t>244</w:t>
            </w:r>
          </w:p>
        </w:tc>
        <w:tc>
          <w:tcPr>
            <w:tcW w:w="620" w:type="dxa"/>
            <w:vAlign w:val="bottom"/>
            <w:tcBorders>
              <w:right w:val="single" w:sz="8" w:color="auto"/>
            </w:tcBorders>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7"/>
                <w:szCs w:val="17"/>
                <w:color w:val="auto"/>
              </w:rPr>
            </w:pPr>
          </w:p>
        </w:tc>
      </w:tr>
      <w:tr>
        <w:trPr>
          <w:trHeight w:val="196"/>
        </w:trPr>
        <w:tc>
          <w:tcPr>
            <w:tcW w:w="8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GMNA – Trucks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62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0" w:type="dxa"/>
            <w:vAlign w:val="bottom"/>
          </w:tcPr>
          <w:p>
            <w:pPr>
              <w:spacing w:after="0"/>
              <w:rPr>
                <w:sz w:val="17"/>
                <w:szCs w:val="17"/>
                <w:color w:val="auto"/>
              </w:rPr>
            </w:pPr>
          </w:p>
        </w:tc>
      </w:tr>
      <w:tr>
        <w:trPr>
          <w:trHeight w:val="200"/>
        </w:trPr>
        <w:tc>
          <w:tcPr>
            <w:tcW w:w="8760" w:type="dxa"/>
            <w:vAlign w:val="bottom"/>
            <w:gridSpan w:val="2"/>
          </w:tcPr>
          <w:p>
            <w:pPr>
              <w:ind w:left="400"/>
              <w:spacing w:after="0"/>
              <w:rPr>
                <w:sz w:val="20"/>
                <w:szCs w:val="20"/>
                <w:color w:val="auto"/>
              </w:rPr>
            </w:pPr>
            <w:r>
              <w:rPr>
                <w:rFonts w:ascii="Arial" w:cs="Arial" w:eastAsia="Arial" w:hAnsi="Arial"/>
                <w:sz w:val="16"/>
                <w:szCs w:val="16"/>
                <w:color w:val="auto"/>
              </w:rPr>
              <w:t>Total GMNA</w:t>
            </w:r>
          </w:p>
        </w:tc>
        <w:tc>
          <w:tcPr>
            <w:tcW w:w="760" w:type="dxa"/>
            <w:vAlign w:val="bottom"/>
          </w:tcPr>
          <w:p>
            <w:pPr>
              <w:jc w:val="right"/>
              <w:spacing w:after="0"/>
              <w:rPr>
                <w:sz w:val="20"/>
                <w:szCs w:val="20"/>
                <w:color w:val="auto"/>
              </w:rPr>
            </w:pPr>
            <w:r>
              <w:rPr>
                <w:rFonts w:ascii="Arial" w:cs="Arial" w:eastAsia="Arial" w:hAnsi="Arial"/>
                <w:sz w:val="16"/>
                <w:szCs w:val="16"/>
                <w:color w:val="auto"/>
              </w:rPr>
              <w:t>668</w:t>
            </w:r>
          </w:p>
        </w:tc>
        <w:tc>
          <w:tcPr>
            <w:tcW w:w="620" w:type="dxa"/>
            <w:vAlign w:val="bottom"/>
            <w:tcBorders>
              <w:right w:val="single" w:sz="8" w:color="auto"/>
            </w:tcBorders>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371</w:t>
            </w:r>
          </w:p>
        </w:tc>
      </w:tr>
      <w:tr>
        <w:trPr>
          <w:trHeight w:val="198"/>
        </w:trPr>
        <w:tc>
          <w:tcPr>
            <w:tcW w:w="8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GME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620" w:type="dxa"/>
            <w:vAlign w:val="bottom"/>
            <w:tcBorders>
              <w:righ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17"/>
                <w:szCs w:val="17"/>
                <w:color w:val="auto"/>
              </w:rPr>
            </w:pPr>
          </w:p>
        </w:tc>
      </w:tr>
      <w:tr>
        <w:trPr>
          <w:trHeight w:val="201"/>
        </w:trPr>
        <w:tc>
          <w:tcPr>
            <w:tcW w:w="8760" w:type="dxa"/>
            <w:vAlign w:val="bottom"/>
            <w:gridSpan w:val="2"/>
          </w:tcPr>
          <w:p>
            <w:pPr>
              <w:ind w:left="400"/>
              <w:spacing w:after="0"/>
              <w:rPr>
                <w:sz w:val="20"/>
                <w:szCs w:val="20"/>
                <w:color w:val="auto"/>
              </w:rPr>
            </w:pPr>
            <w:r>
              <w:rPr>
                <w:rFonts w:ascii="Arial" w:cs="Arial" w:eastAsia="Arial" w:hAnsi="Arial"/>
                <w:sz w:val="16"/>
                <w:szCs w:val="16"/>
                <w:color w:val="auto"/>
              </w:rPr>
              <w:t>GMIO (b)(c)</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6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20" w:type="dxa"/>
            <w:vAlign w:val="bottom"/>
          </w:tcPr>
          <w:p>
            <w:pPr>
              <w:spacing w:after="0"/>
              <w:rPr>
                <w:sz w:val="17"/>
                <w:szCs w:val="17"/>
                <w:color w:val="auto"/>
              </w:rPr>
            </w:pPr>
          </w:p>
        </w:tc>
      </w:tr>
      <w:tr>
        <w:trPr>
          <w:trHeight w:val="196"/>
        </w:trPr>
        <w:tc>
          <w:tcPr>
            <w:tcW w:w="876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Total Worldwide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2,085</w:t>
            </w:r>
          </w:p>
        </w:tc>
        <w:tc>
          <w:tcPr>
            <w:tcW w:w="620" w:type="dxa"/>
            <w:vAlign w:val="bottom"/>
            <w:tcBorders>
              <w:righ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1,330</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
        </w:trPr>
        <w:tc>
          <w:tcPr>
            <w:tcW w:w="1140" w:type="dxa"/>
            <w:vAlign w:val="bottom"/>
            <w:tcBorders>
              <w:bottom w:val="single" w:sz="8" w:color="auto"/>
            </w:tcBorders>
          </w:tcPr>
          <w:p>
            <w:pPr>
              <w:spacing w:after="0"/>
              <w:rPr>
                <w:sz w:val="7"/>
                <w:szCs w:val="7"/>
                <w:color w:val="auto"/>
              </w:rPr>
            </w:pPr>
          </w:p>
        </w:tc>
        <w:tc>
          <w:tcPr>
            <w:tcW w:w="7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6" w:lineRule="exact"/>
        <w:rPr>
          <w:sz w:val="20"/>
          <w:szCs w:val="20"/>
          <w:color w:val="auto"/>
        </w:rPr>
      </w:pPr>
    </w:p>
    <w:p>
      <w:pPr>
        <w:ind w:left="462" w:right="520" w:hanging="462"/>
        <w:spacing w:after="0" w:line="261" w:lineRule="auto"/>
        <w:tabs>
          <w:tab w:leader="none" w:pos="462"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Production volume represents the number of vehicles manufactured by GM’s and Old GM’s assembly facilities and also includes vehicles produced by certain joint ventures.</w:t>
      </w:r>
    </w:p>
    <w:p>
      <w:pPr>
        <w:ind w:left="462" w:right="140" w:hanging="462"/>
        <w:spacing w:after="0" w:line="256" w:lineRule="auto"/>
        <w:tabs>
          <w:tab w:leader="none" w:pos="46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Shanghai General Motors Co., Ltd. (SGM), SAIC-GM Wuling Automobile Co., Ltd. (SGMW), FAW-GM Light Duty Commercial Vehicle Co., Ltd. (FAW-GM) and SAIC GM Investment Ltd. (HKJV) joint venture production.</w:t>
      </w:r>
    </w:p>
    <w:p>
      <w:pPr>
        <w:ind w:left="462" w:right="60" w:hanging="462"/>
        <w:spacing w:after="0" w:line="264" w:lineRule="auto"/>
        <w:tabs>
          <w:tab w:leader="none" w:pos="462" w:val="left"/>
        </w:tabs>
        <w:numPr>
          <w:ilvl w:val="0"/>
          <w:numId w:val="5"/>
        </w:numPr>
        <w:rPr>
          <w:rFonts w:ascii="Arial" w:cs="Arial" w:eastAsia="Arial" w:hAnsi="Arial"/>
          <w:sz w:val="16"/>
          <w:szCs w:val="16"/>
          <w:color w:val="auto"/>
        </w:rPr>
      </w:pPr>
      <w:r>
        <w:rPr>
          <w:rFonts w:ascii="Arial" w:cs="Arial" w:eastAsia="Arial" w:hAnsi="Arial"/>
          <w:sz w:val="16"/>
          <w:szCs w:val="16"/>
          <w:color w:val="auto"/>
        </w:rPr>
        <w:t>Ownership of 34% in SGMW and 50% in FAW-GM, under the joint venture agreements, allows for significant rights as a member as well as the contractual right to report SGMW and FAW-GM production volume in China. These entities are not consolidated for financial reporting purposes. Income and losses related to these entities are recorded in Equity income, net of tax.</w:t>
      </w:r>
    </w:p>
    <w:p>
      <w:pPr>
        <w:spacing w:after="0" w:line="11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2"/>
          </w:cols>
          <w:pgMar w:left="238" w:top="262" w:right="239" w:bottom="1440" w:gutter="0" w:footer="0" w:header="0"/>
        </w:sectPr>
      </w:pPr>
    </w:p>
    <w:bookmarkStart w:id="9" w:name="page10"/>
    <w:bookmarkEnd w:id="9"/>
    <w:p>
      <w:pPr>
        <w:jc w:val="center"/>
        <w:ind w:righ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960" cy="36195"/>
                    </a:xfrm>
                    <a:prstGeom prst="rect">
                      <a:avLst/>
                    </a:prstGeom>
                    <a:noFill/>
                  </pic:spPr>
                </pic:pic>
              </a:graphicData>
            </a:graphic>
          </wp:anchor>
        </w:drawing>
        <w:t>General Motors Company and Subsidiaries</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Supplemental Material</w:t>
      </w:r>
    </w:p>
    <w:p>
      <w:pPr>
        <w:spacing w:after="0" w:line="152" w:lineRule="exact"/>
        <w:rPr>
          <w:sz w:val="20"/>
          <w:szCs w:val="20"/>
          <w:color w:val="auto"/>
        </w:rPr>
      </w:pPr>
    </w:p>
    <w:p>
      <w:pPr>
        <w:jc w:val="center"/>
        <w:ind w:right="-1"/>
        <w:spacing w:after="0"/>
        <w:rPr>
          <w:sz w:val="20"/>
          <w:szCs w:val="20"/>
          <w:color w:val="auto"/>
        </w:rPr>
      </w:pPr>
      <w:r>
        <w:rPr>
          <w:rFonts w:ascii="Arial" w:cs="Arial" w:eastAsia="Arial" w:hAnsi="Arial"/>
          <w:sz w:val="16"/>
          <w:szCs w:val="16"/>
          <w:i w:val="1"/>
          <w:iCs w:val="1"/>
          <w:color w:val="auto"/>
        </w:rPr>
        <w:t>(Unaudited)</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5"/>
              </w:rPr>
              <w:t>Successor</w:t>
            </w:r>
          </w:p>
        </w:tc>
        <w:tc>
          <w:tcPr>
            <w:tcW w:w="6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Predecessor</w:t>
            </w:r>
          </w:p>
        </w:tc>
      </w:tr>
      <w:tr>
        <w:trPr>
          <w:trHeight w:val="114"/>
        </w:trPr>
        <w:tc>
          <w:tcPr>
            <w:tcW w:w="1140" w:type="dxa"/>
            <w:vAlign w:val="bottom"/>
          </w:tcPr>
          <w:p>
            <w:pPr>
              <w:spacing w:after="0"/>
              <w:rPr>
                <w:sz w:val="9"/>
                <w:szCs w:val="9"/>
                <w:color w:val="auto"/>
              </w:rPr>
            </w:pPr>
          </w:p>
        </w:tc>
        <w:tc>
          <w:tcPr>
            <w:tcW w:w="7500" w:type="dxa"/>
            <w:vAlign w:val="bottom"/>
          </w:tcPr>
          <w:p>
            <w:pPr>
              <w:spacing w:after="0"/>
              <w:rPr>
                <w:sz w:val="9"/>
                <w:szCs w:val="9"/>
                <w:color w:val="auto"/>
              </w:rPr>
            </w:pPr>
          </w:p>
        </w:tc>
        <w:tc>
          <w:tcPr>
            <w:tcW w:w="8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6"/>
              </w:rPr>
              <w:t>Three Months</w:t>
            </w:r>
          </w:p>
        </w:tc>
        <w:tc>
          <w:tcPr>
            <w:tcW w:w="6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6"/>
              </w:rPr>
              <w:t>Three Months</w:t>
            </w:r>
          </w:p>
        </w:tc>
        <w:tc>
          <w:tcPr>
            <w:tcW w:w="20" w:type="dxa"/>
            <w:vAlign w:val="bottom"/>
          </w:tcPr>
          <w:p>
            <w:pPr>
              <w:spacing w:after="0"/>
              <w:rPr>
                <w:sz w:val="9"/>
                <w:szCs w:val="9"/>
                <w:color w:val="auto"/>
              </w:rPr>
            </w:pPr>
          </w:p>
        </w:tc>
      </w:tr>
      <w:tr>
        <w:trPr>
          <w:trHeight w:val="135"/>
        </w:trPr>
        <w:tc>
          <w:tcPr>
            <w:tcW w:w="114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Ended</w:t>
            </w:r>
          </w:p>
        </w:tc>
        <w:tc>
          <w:tcPr>
            <w:tcW w:w="6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2"/>
              </w:rPr>
              <w:t>Ended</w:t>
            </w:r>
          </w:p>
        </w:tc>
      </w:tr>
      <w:tr>
        <w:trPr>
          <w:trHeight w:val="148"/>
        </w:trPr>
        <w:tc>
          <w:tcPr>
            <w:tcW w:w="11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3"/>
              </w:rPr>
              <w:t>March 31, 2010</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March 31, 2009</w:t>
            </w:r>
          </w:p>
        </w:tc>
      </w:tr>
      <w:tr>
        <w:trPr>
          <w:trHeight w:val="189"/>
        </w:trPr>
        <w:tc>
          <w:tcPr>
            <w:tcW w:w="8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Vehicle Unit Deliveries (units in thousands) (a)(b)(c)</w:t>
            </w:r>
          </w:p>
        </w:tc>
        <w:tc>
          <w:tcPr>
            <w:tcW w:w="820" w:type="dxa"/>
            <w:vAlign w:val="bottom"/>
            <w:tcBorders>
              <w:top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8640" w:type="dxa"/>
            <w:vAlign w:val="bottom"/>
            <w:gridSpan w:val="2"/>
          </w:tcPr>
          <w:p>
            <w:pPr>
              <w:ind w:left="400"/>
              <w:spacing w:after="0"/>
              <w:rPr>
                <w:sz w:val="20"/>
                <w:szCs w:val="20"/>
                <w:color w:val="auto"/>
              </w:rPr>
            </w:pPr>
            <w:r>
              <w:rPr>
                <w:rFonts w:ascii="Arial" w:cs="Arial" w:eastAsia="Arial" w:hAnsi="Arial"/>
                <w:sz w:val="16"/>
                <w:szCs w:val="16"/>
                <w:color w:val="auto"/>
              </w:rPr>
              <w:t>United States</w:t>
            </w:r>
          </w:p>
        </w:tc>
        <w:tc>
          <w:tcPr>
            <w:tcW w:w="8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Chevrolet – Cars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Chevrolet – Trucks</w:t>
            </w:r>
          </w:p>
        </w:tc>
        <w:tc>
          <w:tcPr>
            <w:tcW w:w="820" w:type="dxa"/>
            <w:vAlign w:val="bottom"/>
          </w:tcPr>
          <w:p>
            <w:pPr>
              <w:jc w:val="right"/>
              <w:spacing w:after="0"/>
              <w:rPr>
                <w:sz w:val="20"/>
                <w:szCs w:val="20"/>
                <w:color w:val="auto"/>
              </w:rPr>
            </w:pPr>
            <w:r>
              <w:rPr>
                <w:rFonts w:ascii="Arial" w:cs="Arial" w:eastAsia="Arial" w:hAnsi="Arial"/>
                <w:sz w:val="16"/>
                <w:szCs w:val="16"/>
                <w:color w:val="auto"/>
              </w:rPr>
              <w:t>182</w:t>
            </w:r>
          </w:p>
        </w:tc>
        <w:tc>
          <w:tcPr>
            <w:tcW w:w="620" w:type="dxa"/>
            <w:vAlign w:val="bottom"/>
            <w:tcBorders>
              <w:right w:val="single" w:sz="8" w:color="auto"/>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Cadillac</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196"/>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Buick</w:t>
            </w: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620" w:type="dxa"/>
            <w:vAlign w:val="bottom"/>
            <w:tcBorders>
              <w:right w:val="single" w:sz="8" w:color="auto"/>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GMC</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r>
      <w:tr>
        <w:trPr>
          <w:trHeight w:val="201"/>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b w:val="1"/>
                <w:bCs w:val="1"/>
                <w:color w:val="auto"/>
              </w:rPr>
              <w:t>Total United States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413</w:t>
            </w:r>
          </w:p>
        </w:tc>
        <w:tc>
          <w:tcPr>
            <w:tcW w:w="20" w:type="dxa"/>
            <w:vAlign w:val="bottom"/>
          </w:tcPr>
          <w:p>
            <w:pPr>
              <w:spacing w:after="0"/>
              <w:rPr>
                <w:sz w:val="17"/>
                <w:szCs w:val="17"/>
                <w:color w:val="auto"/>
              </w:rPr>
            </w:pPr>
          </w:p>
        </w:tc>
      </w:tr>
      <w:tr>
        <w:trPr>
          <w:trHeight w:val="201"/>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Canada, Mexico and 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6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b w:val="1"/>
                <w:bCs w:val="1"/>
                <w:color w:val="auto"/>
              </w:rPr>
              <w:t>Total GMNA (d)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563</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20" w:type="dxa"/>
            <w:vAlign w:val="bottom"/>
          </w:tcPr>
          <w:p>
            <w:pPr>
              <w:spacing w:after="0"/>
              <w:rPr>
                <w:sz w:val="17"/>
                <w:szCs w:val="17"/>
                <w:color w:val="auto"/>
              </w:rPr>
            </w:pPr>
          </w:p>
        </w:tc>
      </w:tr>
      <w:tr>
        <w:trPr>
          <w:trHeight w:val="200"/>
        </w:trPr>
        <w:tc>
          <w:tcPr>
            <w:tcW w:w="8640" w:type="dxa"/>
            <w:vAlign w:val="bottom"/>
            <w:gridSpan w:val="2"/>
          </w:tcPr>
          <w:p>
            <w:pPr>
              <w:ind w:left="400"/>
              <w:spacing w:after="0"/>
              <w:rPr>
                <w:sz w:val="20"/>
                <w:szCs w:val="20"/>
                <w:color w:val="auto"/>
              </w:rPr>
            </w:pPr>
            <w:r>
              <w:rPr>
                <w:rFonts w:ascii="Arial" w:cs="Arial" w:eastAsia="Arial" w:hAnsi="Arial"/>
                <w:sz w:val="16"/>
                <w:szCs w:val="16"/>
                <w:color w:val="auto"/>
              </w:rPr>
              <w:t>GME</w:t>
            </w:r>
          </w:p>
        </w:tc>
        <w:tc>
          <w:tcPr>
            <w:tcW w:w="820" w:type="dxa"/>
            <w:vAlign w:val="bottom"/>
            <w:tcBorders>
              <w:top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Opel/Vauxhall</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0" w:type="dxa"/>
            <w:vAlign w:val="bottom"/>
          </w:tcPr>
          <w:p>
            <w:pPr>
              <w:spacing w:after="0"/>
              <w:rPr>
                <w:sz w:val="17"/>
                <w:szCs w:val="17"/>
                <w:color w:val="auto"/>
              </w:rPr>
            </w:pPr>
          </w:p>
        </w:tc>
      </w:tr>
      <w:tr>
        <w:trPr>
          <w:trHeight w:val="196"/>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Chevrolet</w:t>
            </w: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620" w:type="dxa"/>
            <w:vAlign w:val="bottom"/>
            <w:tcBorders>
              <w:right w:val="single" w:sz="8" w:color="auto"/>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Other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206"/>
        </w:trPr>
        <w:tc>
          <w:tcPr>
            <w:tcW w:w="8640" w:type="dxa"/>
            <w:vAlign w:val="bottom"/>
            <w:gridSpan w:val="2"/>
          </w:tcPr>
          <w:p>
            <w:pPr>
              <w:ind w:left="780"/>
              <w:spacing w:after="0"/>
              <w:rPr>
                <w:sz w:val="20"/>
                <w:szCs w:val="20"/>
                <w:color w:val="auto"/>
              </w:rPr>
            </w:pPr>
            <w:r>
              <w:rPr>
                <w:rFonts w:ascii="Arial" w:cs="Arial" w:eastAsia="Arial" w:hAnsi="Arial"/>
                <w:sz w:val="16"/>
                <w:szCs w:val="16"/>
                <w:b w:val="1"/>
                <w:bCs w:val="1"/>
                <w:color w:val="auto"/>
              </w:rPr>
              <w:t>Total GME (e)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w:t>
            </w:r>
          </w:p>
        </w:tc>
        <w:tc>
          <w:tcPr>
            <w:tcW w:w="6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GMIO</w:t>
            </w:r>
          </w:p>
        </w:tc>
        <w:tc>
          <w:tcPr>
            <w:tcW w:w="8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Chevrolet</w:t>
            </w:r>
          </w:p>
        </w:tc>
        <w:tc>
          <w:tcPr>
            <w:tcW w:w="820" w:type="dxa"/>
            <w:vAlign w:val="bottom"/>
          </w:tcPr>
          <w:p>
            <w:pPr>
              <w:jc w:val="right"/>
              <w:spacing w:after="0"/>
              <w:rPr>
                <w:sz w:val="20"/>
                <w:szCs w:val="20"/>
                <w:color w:val="auto"/>
              </w:rPr>
            </w:pPr>
            <w:r>
              <w:rPr>
                <w:rFonts w:ascii="Arial" w:cs="Arial" w:eastAsia="Arial" w:hAnsi="Arial"/>
                <w:sz w:val="16"/>
                <w:szCs w:val="16"/>
                <w:color w:val="auto"/>
              </w:rPr>
              <w:t>455</w:t>
            </w:r>
          </w:p>
        </w:tc>
        <w:tc>
          <w:tcPr>
            <w:tcW w:w="620" w:type="dxa"/>
            <w:vAlign w:val="bottom"/>
            <w:tcBorders>
              <w:right w:val="single" w:sz="8" w:color="auto"/>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324</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Buick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r>
      <w:tr>
        <w:trPr>
          <w:trHeight w:val="196"/>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GM Daewoo</w:t>
            </w: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620" w:type="dxa"/>
            <w:vAlign w:val="bottom"/>
            <w:tcBorders>
              <w:right w:val="single" w:sz="8" w:color="auto"/>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Holden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r>
      <w:tr>
        <w:trPr>
          <w:trHeight w:val="196"/>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Wuling</w:t>
            </w:r>
          </w:p>
        </w:tc>
        <w:tc>
          <w:tcPr>
            <w:tcW w:w="820" w:type="dxa"/>
            <w:vAlign w:val="bottom"/>
          </w:tcPr>
          <w:p>
            <w:pPr>
              <w:jc w:val="right"/>
              <w:spacing w:after="0"/>
              <w:rPr>
                <w:sz w:val="20"/>
                <w:szCs w:val="20"/>
                <w:color w:val="auto"/>
              </w:rPr>
            </w:pPr>
            <w:r>
              <w:rPr>
                <w:rFonts w:ascii="Arial" w:cs="Arial" w:eastAsia="Arial" w:hAnsi="Arial"/>
                <w:sz w:val="16"/>
                <w:szCs w:val="16"/>
                <w:color w:val="auto"/>
              </w:rPr>
              <w:t>334</w:t>
            </w:r>
          </w:p>
        </w:tc>
        <w:tc>
          <w:tcPr>
            <w:tcW w:w="620" w:type="dxa"/>
            <w:vAlign w:val="bottom"/>
            <w:tcBorders>
              <w:right w:val="single" w:sz="8" w:color="auto"/>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FAW-GM</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620" w:type="dxa"/>
            <w:vAlign w:val="bottom"/>
            <w:tcBorders>
              <w:right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8640" w:type="dxa"/>
            <w:vAlign w:val="bottom"/>
            <w:gridSpan w:val="2"/>
          </w:tcPr>
          <w:p>
            <w:pPr>
              <w:ind w:left="780"/>
              <w:spacing w:after="0"/>
              <w:rPr>
                <w:sz w:val="20"/>
                <w:szCs w:val="20"/>
                <w:color w:val="auto"/>
              </w:rPr>
            </w:pPr>
            <w:r>
              <w:rPr>
                <w:rFonts w:ascii="Arial" w:cs="Arial" w:eastAsia="Arial" w:hAnsi="Arial"/>
                <w:sz w:val="16"/>
                <w:szCs w:val="16"/>
                <w:color w:val="auto"/>
              </w:rPr>
              <w:t>Cadillac</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620" w:type="dxa"/>
            <w:vAlign w:val="bottom"/>
            <w:tcBorders>
              <w:right w:val="single" w:sz="8" w:color="auto"/>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Other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r>
      <w:tr>
        <w:trPr>
          <w:trHeight w:val="206"/>
        </w:trPr>
        <w:tc>
          <w:tcPr>
            <w:tcW w:w="8640" w:type="dxa"/>
            <w:vAlign w:val="bottom"/>
            <w:gridSpan w:val="2"/>
          </w:tcPr>
          <w:p>
            <w:pPr>
              <w:ind w:left="780"/>
              <w:spacing w:after="0"/>
              <w:rPr>
                <w:sz w:val="20"/>
                <w:szCs w:val="20"/>
                <w:color w:val="auto"/>
              </w:rPr>
            </w:pPr>
            <w:r>
              <w:rPr>
                <w:rFonts w:ascii="Arial" w:cs="Arial" w:eastAsia="Arial" w:hAnsi="Arial"/>
                <w:sz w:val="16"/>
                <w:szCs w:val="16"/>
                <w:b w:val="1"/>
                <w:bCs w:val="1"/>
                <w:color w:val="auto"/>
              </w:rPr>
              <w:t>Total GMIO (e)(f)(g)</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w:t>
            </w:r>
          </w:p>
        </w:tc>
        <w:tc>
          <w:tcPr>
            <w:tcW w:w="6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709</w:t>
            </w:r>
          </w:p>
        </w:tc>
        <w:tc>
          <w:tcPr>
            <w:tcW w:w="20" w:type="dxa"/>
            <w:vAlign w:val="bottom"/>
          </w:tcPr>
          <w:p>
            <w:pPr>
              <w:spacing w:after="0"/>
              <w:rPr>
                <w:sz w:val="17"/>
                <w:szCs w:val="17"/>
                <w:color w:val="auto"/>
              </w:rPr>
            </w:pPr>
          </w:p>
        </w:tc>
      </w:tr>
      <w:tr>
        <w:trPr>
          <w:trHeight w:val="196"/>
        </w:trPr>
        <w:tc>
          <w:tcPr>
            <w:tcW w:w="864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Total Worldwide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1,998</w:t>
            </w:r>
          </w:p>
        </w:tc>
        <w:tc>
          <w:tcPr>
            <w:tcW w:w="620" w:type="dxa"/>
            <w:vAlign w:val="bottom"/>
            <w:tcBorders>
              <w:right w:val="single" w:sz="8" w:color="auto"/>
            </w:tcBorders>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1,617</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
        </w:trPr>
        <w:tc>
          <w:tcPr>
            <w:tcW w:w="1140" w:type="dxa"/>
            <w:vAlign w:val="bottom"/>
            <w:tcBorders>
              <w:bottom w:val="single" w:sz="8" w:color="auto"/>
            </w:tcBorders>
          </w:tcPr>
          <w:p>
            <w:pPr>
              <w:spacing w:after="0"/>
              <w:rPr>
                <w:sz w:val="7"/>
                <w:szCs w:val="7"/>
                <w:color w:val="auto"/>
              </w:rPr>
            </w:pPr>
          </w:p>
        </w:tc>
        <w:tc>
          <w:tcPr>
            <w:tcW w:w="7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6" w:lineRule="exact"/>
        <w:rPr>
          <w:sz w:val="20"/>
          <w:szCs w:val="20"/>
          <w:color w:val="auto"/>
        </w:rPr>
      </w:pPr>
    </w:p>
    <w:p>
      <w:pPr>
        <w:ind w:left="462" w:hanging="462"/>
        <w:spacing w:after="0"/>
        <w:tabs>
          <w:tab w:leader="none" w:pos="46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HUMMER, Saturn and Pontiac vehicle sales data.</w:t>
      </w:r>
    </w:p>
    <w:p>
      <w:pPr>
        <w:spacing w:after="0" w:line="20" w:lineRule="exact"/>
        <w:rPr>
          <w:rFonts w:ascii="Arial" w:cs="Arial" w:eastAsia="Arial" w:hAnsi="Arial"/>
          <w:sz w:val="16"/>
          <w:szCs w:val="16"/>
          <w:color w:val="auto"/>
        </w:rPr>
      </w:pPr>
    </w:p>
    <w:p>
      <w:pPr>
        <w:ind w:left="462" w:hanging="462"/>
        <w:spacing w:after="0"/>
        <w:tabs>
          <w:tab w:leader="none" w:pos="46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Saab vehicle sales data through February 2010.</w:t>
      </w:r>
    </w:p>
    <w:p>
      <w:pPr>
        <w:spacing w:after="0" w:line="12" w:lineRule="exact"/>
        <w:rPr>
          <w:rFonts w:ascii="Arial" w:cs="Arial" w:eastAsia="Arial" w:hAnsi="Arial"/>
          <w:sz w:val="16"/>
          <w:szCs w:val="16"/>
          <w:color w:val="auto"/>
        </w:rPr>
      </w:pPr>
    </w:p>
    <w:p>
      <w:pPr>
        <w:ind w:left="462" w:hanging="462"/>
        <w:spacing w:after="0"/>
        <w:tabs>
          <w:tab w:leader="none" w:pos="462" w:val="left"/>
        </w:tabs>
        <w:numPr>
          <w:ilvl w:val="0"/>
          <w:numId w:val="6"/>
        </w:numPr>
        <w:rPr>
          <w:rFonts w:ascii="Arial" w:cs="Arial" w:eastAsia="Arial" w:hAnsi="Arial"/>
          <w:sz w:val="16"/>
          <w:szCs w:val="16"/>
          <w:color w:val="auto"/>
        </w:rPr>
      </w:pPr>
      <w:r>
        <w:rPr>
          <w:rFonts w:ascii="Arial" w:cs="Arial" w:eastAsia="Arial" w:hAnsi="Arial"/>
          <w:sz w:val="16"/>
          <w:szCs w:val="16"/>
          <w:color w:val="auto"/>
        </w:rPr>
        <w:t>Vehicle sales data may include rounding differences.</w:t>
      </w:r>
    </w:p>
    <w:p>
      <w:pPr>
        <w:spacing w:after="0" w:line="12" w:lineRule="exact"/>
        <w:rPr>
          <w:rFonts w:ascii="Arial" w:cs="Arial" w:eastAsia="Arial" w:hAnsi="Arial"/>
          <w:sz w:val="16"/>
          <w:szCs w:val="16"/>
          <w:color w:val="auto"/>
        </w:rPr>
      </w:pPr>
    </w:p>
    <w:p>
      <w:pPr>
        <w:ind w:left="462" w:hanging="462"/>
        <w:spacing w:after="0"/>
        <w:tabs>
          <w:tab w:leader="none" w:pos="462" w:val="left"/>
        </w:tabs>
        <w:numPr>
          <w:ilvl w:val="0"/>
          <w:numId w:val="6"/>
        </w:numPr>
        <w:rPr>
          <w:rFonts w:ascii="Arial" w:cs="Arial" w:eastAsia="Arial" w:hAnsi="Arial"/>
          <w:sz w:val="16"/>
          <w:szCs w:val="16"/>
          <w:color w:val="auto"/>
        </w:rPr>
      </w:pPr>
      <w:r>
        <w:rPr>
          <w:rFonts w:ascii="Arial" w:cs="Arial" w:eastAsia="Arial" w:hAnsi="Arial"/>
          <w:sz w:val="16"/>
          <w:szCs w:val="16"/>
          <w:color w:val="auto"/>
        </w:rPr>
        <w:t>Vehicle sales represent sales to the ultimate customer.</w:t>
      </w:r>
    </w:p>
    <w:p>
      <w:pPr>
        <w:spacing w:after="0" w:line="12" w:lineRule="exact"/>
        <w:rPr>
          <w:rFonts w:ascii="Arial" w:cs="Arial" w:eastAsia="Arial" w:hAnsi="Arial"/>
          <w:sz w:val="16"/>
          <w:szCs w:val="16"/>
          <w:color w:val="auto"/>
        </w:rPr>
      </w:pPr>
    </w:p>
    <w:p>
      <w:pPr>
        <w:ind w:left="462" w:hanging="462"/>
        <w:spacing w:after="0"/>
        <w:tabs>
          <w:tab w:leader="none" w:pos="462" w:val="left"/>
        </w:tabs>
        <w:numPr>
          <w:ilvl w:val="0"/>
          <w:numId w:val="6"/>
        </w:numPr>
        <w:rPr>
          <w:rFonts w:ascii="Arial" w:cs="Arial" w:eastAsia="Arial" w:hAnsi="Arial"/>
          <w:sz w:val="16"/>
          <w:szCs w:val="16"/>
          <w:color w:val="auto"/>
        </w:rPr>
      </w:pPr>
      <w:r>
        <w:rPr>
          <w:rFonts w:ascii="Arial" w:cs="Arial" w:eastAsia="Arial" w:hAnsi="Arial"/>
          <w:sz w:val="16"/>
          <w:szCs w:val="16"/>
          <w:color w:val="auto"/>
        </w:rPr>
        <w:t>Vehicle sales primarily represent estimated sales to the ultimate customer.</w:t>
      </w:r>
    </w:p>
    <w:p>
      <w:pPr>
        <w:spacing w:after="0" w:line="12" w:lineRule="exact"/>
        <w:rPr>
          <w:rFonts w:ascii="Arial" w:cs="Arial" w:eastAsia="Arial" w:hAnsi="Arial"/>
          <w:sz w:val="16"/>
          <w:szCs w:val="16"/>
          <w:color w:val="auto"/>
        </w:rPr>
      </w:pPr>
    </w:p>
    <w:p>
      <w:pPr>
        <w:ind w:left="462" w:hanging="462"/>
        <w:spacing w:after="0"/>
        <w:tabs>
          <w:tab w:leader="none" w:pos="46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SGM, SGMW, FAW-GM and HKJV joint venture sales.</w:t>
      </w:r>
    </w:p>
    <w:p>
      <w:pPr>
        <w:spacing w:after="0" w:line="12" w:lineRule="exact"/>
        <w:rPr>
          <w:rFonts w:ascii="Arial" w:cs="Arial" w:eastAsia="Arial" w:hAnsi="Arial"/>
          <w:sz w:val="16"/>
          <w:szCs w:val="16"/>
          <w:color w:val="auto"/>
        </w:rPr>
      </w:pPr>
    </w:p>
    <w:p>
      <w:pPr>
        <w:ind w:left="462" w:right="20" w:hanging="462"/>
        <w:spacing w:after="0" w:line="264" w:lineRule="auto"/>
        <w:tabs>
          <w:tab w:leader="none" w:pos="462" w:val="left"/>
        </w:tabs>
        <w:numPr>
          <w:ilvl w:val="0"/>
          <w:numId w:val="6"/>
        </w:numPr>
        <w:rPr>
          <w:rFonts w:ascii="Arial" w:cs="Arial" w:eastAsia="Arial" w:hAnsi="Arial"/>
          <w:sz w:val="16"/>
          <w:szCs w:val="16"/>
          <w:color w:val="auto"/>
        </w:rPr>
      </w:pPr>
      <w:r>
        <w:rPr>
          <w:rFonts w:ascii="Arial" w:cs="Arial" w:eastAsia="Arial" w:hAnsi="Arial"/>
          <w:sz w:val="16"/>
          <w:szCs w:val="16"/>
          <w:color w:val="auto"/>
        </w:rPr>
        <w:t>Ownership of 34% in SGMW and 50% in FAW-GM under the joint venture agreements allows for significant rights as a member as well as contractual rights to report SGMW and FAW-GM joint venture vehicle sales in China as a part of global market share. These entities are not consolidated for financial reporting purposes. Income and losses related to these entities are recorded in Equity income, net of tax.</w:t>
      </w:r>
    </w:p>
    <w:p>
      <w:pPr>
        <w:spacing w:after="0" w:line="11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2"/>
          </w:cols>
          <w:pgMar w:left="238" w:top="262" w:right="239" w:bottom="1440" w:gutter="0" w:footer="0" w:header="0"/>
        </w:sectPr>
      </w:pPr>
    </w:p>
    <w:bookmarkStart w:id="10" w:name="page11"/>
    <w:bookmarkEnd w:id="10"/>
    <w:p>
      <w:pPr>
        <w:jc w:val="center"/>
        <w:ind w:righ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960" cy="36195"/>
                    </a:xfrm>
                    <a:prstGeom prst="rect">
                      <a:avLst/>
                    </a:prstGeom>
                    <a:noFill/>
                  </pic:spPr>
                </pic:pic>
              </a:graphicData>
            </a:graphic>
          </wp:anchor>
        </w:drawing>
        <w:t>General Motors Company and Subsidiaries</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Supplemental Material</w:t>
      </w:r>
    </w:p>
    <w:p>
      <w:pPr>
        <w:spacing w:after="0" w:line="152" w:lineRule="exact"/>
        <w:rPr>
          <w:sz w:val="20"/>
          <w:szCs w:val="20"/>
          <w:color w:val="auto"/>
        </w:rPr>
      </w:pPr>
    </w:p>
    <w:p>
      <w:pPr>
        <w:jc w:val="center"/>
        <w:ind w:right="-1"/>
        <w:spacing w:after="0"/>
        <w:rPr>
          <w:sz w:val="20"/>
          <w:szCs w:val="20"/>
          <w:color w:val="auto"/>
        </w:rPr>
      </w:pPr>
      <w:r>
        <w:rPr>
          <w:rFonts w:ascii="Arial" w:cs="Arial" w:eastAsia="Arial" w:hAnsi="Arial"/>
          <w:sz w:val="16"/>
          <w:szCs w:val="16"/>
          <w:i w:val="1"/>
          <w:iCs w:val="1"/>
          <w:color w:val="auto"/>
        </w:rPr>
        <w:t>(Unaudited)</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2"/>
                <w:szCs w:val="12"/>
                <w:b w:val="1"/>
                <w:bCs w:val="1"/>
                <w:color w:val="auto"/>
                <w:w w:val="82"/>
              </w:rPr>
              <w:t>Successor</w:t>
            </w:r>
          </w:p>
        </w:tc>
        <w:tc>
          <w:tcPr>
            <w:tcW w:w="6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Predecessor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8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Three Months</w:t>
            </w:r>
          </w:p>
        </w:tc>
        <w:tc>
          <w:tcPr>
            <w:tcW w:w="96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Three Months</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1780" w:type="dxa"/>
            <w:vAlign w:val="bottom"/>
            <w:tcBorders>
              <w:right w:val="single" w:sz="8" w:color="auto"/>
            </w:tcBorders>
            <w:gridSpan w:val="2"/>
          </w:tcPr>
          <w:p>
            <w:pPr>
              <w:jc w:val="center"/>
              <w:ind w:right="960"/>
              <w:spacing w:after="0" w:line="135" w:lineRule="exact"/>
              <w:rPr>
                <w:sz w:val="20"/>
                <w:szCs w:val="20"/>
                <w:color w:val="auto"/>
              </w:rPr>
            </w:pPr>
            <w:r>
              <w:rPr>
                <w:rFonts w:ascii="Arial" w:cs="Arial" w:eastAsia="Arial" w:hAnsi="Arial"/>
                <w:sz w:val="12"/>
                <w:szCs w:val="12"/>
                <w:b w:val="1"/>
                <w:bCs w:val="1"/>
                <w:color w:val="auto"/>
                <w:w w:val="92"/>
              </w:rPr>
              <w:t>Ended</w:t>
            </w:r>
          </w:p>
        </w:tc>
        <w:tc>
          <w:tcPr>
            <w:tcW w:w="66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78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2"/>
                <w:szCs w:val="12"/>
                <w:b w:val="1"/>
                <w:bCs w:val="1"/>
                <w:color w:val="auto"/>
                <w:w w:val="95"/>
              </w:rPr>
              <w:t>March 31, 2010</w:t>
            </w:r>
          </w:p>
        </w:tc>
        <w:tc>
          <w:tcPr>
            <w:tcW w:w="66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March 31, 2009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 Share (a)</w:t>
            </w:r>
          </w:p>
        </w:tc>
        <w:tc>
          <w:tcPr>
            <w:tcW w:w="820" w:type="dxa"/>
            <w:vAlign w:val="bottom"/>
            <w:tcBorders>
              <w:top w:val="single" w:sz="8" w:color="auto"/>
            </w:tcBorders>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Arial" w:cs="Arial" w:eastAsia="Arial" w:hAnsi="Arial"/>
                <w:sz w:val="16"/>
                <w:szCs w:val="16"/>
                <w:color w:val="auto"/>
              </w:rPr>
              <w:t>United States – Cars</w:t>
            </w:r>
          </w:p>
        </w:tc>
        <w:tc>
          <w:tcPr>
            <w:tcW w:w="17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6"/>
                <w:szCs w:val="16"/>
                <w:color w:val="auto"/>
              </w:rPr>
              <w:t>14.8%</w:t>
            </w:r>
          </w:p>
        </w:tc>
        <w:tc>
          <w:tcPr>
            <w:tcW w:w="6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 – Trucks</w:t>
            </w:r>
          </w:p>
        </w:tc>
        <w:tc>
          <w:tcPr>
            <w:tcW w:w="17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22.0%</w:t>
            </w: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Arial" w:cs="Arial" w:eastAsia="Arial" w:hAnsi="Arial"/>
                <w:sz w:val="16"/>
                <w:szCs w:val="16"/>
                <w:color w:val="auto"/>
              </w:rPr>
              <w:t>Total United States</w:t>
            </w:r>
          </w:p>
        </w:tc>
        <w:tc>
          <w:tcPr>
            <w:tcW w:w="17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6"/>
                <w:szCs w:val="16"/>
                <w:color w:val="auto"/>
              </w:rPr>
              <w:t>18.4%</w:t>
            </w:r>
          </w:p>
        </w:tc>
        <w:tc>
          <w:tcPr>
            <w:tcW w:w="6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GMNA (b)</w:t>
            </w:r>
          </w:p>
        </w:tc>
        <w:tc>
          <w:tcPr>
            <w:tcW w:w="17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17.8%</w:t>
            </w: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Arial" w:cs="Arial" w:eastAsia="Arial" w:hAnsi="Arial"/>
                <w:sz w:val="16"/>
                <w:szCs w:val="16"/>
                <w:color w:val="auto"/>
              </w:rPr>
              <w:t>Total GME (c)</w:t>
            </w:r>
          </w:p>
        </w:tc>
        <w:tc>
          <w:tcPr>
            <w:tcW w:w="17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6"/>
                <w:szCs w:val="16"/>
                <w:color w:val="auto"/>
              </w:rPr>
              <w:t>8.5%</w:t>
            </w:r>
          </w:p>
        </w:tc>
        <w:tc>
          <w:tcPr>
            <w:tcW w:w="6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GMIO (c)(d)(e)</w:t>
            </w:r>
          </w:p>
        </w:tc>
        <w:tc>
          <w:tcPr>
            <w:tcW w:w="17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10.3%</w:t>
            </w: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6"/>
                <w:szCs w:val="16"/>
                <w:b w:val="1"/>
                <w:bCs w:val="1"/>
                <w:color w:val="auto"/>
              </w:rPr>
              <w:t>Total Worldwide</w:t>
            </w:r>
          </w:p>
        </w:tc>
        <w:tc>
          <w:tcPr>
            <w:tcW w:w="178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6"/>
                <w:szCs w:val="16"/>
                <w:b w:val="1"/>
                <w:bCs w:val="1"/>
                <w:color w:val="auto"/>
              </w:rPr>
              <w:t>11.2%</w:t>
            </w:r>
          </w:p>
        </w:tc>
        <w:tc>
          <w:tcPr>
            <w:tcW w:w="6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Retail/Fleet Mix</w:t>
            </w:r>
          </w:p>
        </w:tc>
        <w:tc>
          <w:tcPr>
            <w:tcW w:w="8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Arial" w:cs="Arial" w:eastAsia="Arial" w:hAnsi="Arial"/>
                <w:sz w:val="16"/>
                <w:szCs w:val="16"/>
                <w:color w:val="auto"/>
              </w:rPr>
              <w:t>% Fleet Sales – Cars</w:t>
            </w:r>
          </w:p>
        </w:tc>
        <w:tc>
          <w:tcPr>
            <w:tcW w:w="17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6"/>
                <w:szCs w:val="16"/>
                <w:color w:val="auto"/>
              </w:rPr>
              <w:t>40.6%</w:t>
            </w:r>
          </w:p>
        </w:tc>
        <w:tc>
          <w:tcPr>
            <w:tcW w:w="6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Fleet Sales – Trucks</w:t>
            </w:r>
          </w:p>
        </w:tc>
        <w:tc>
          <w:tcPr>
            <w:tcW w:w="17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24.5%</w:t>
            </w: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6"/>
                <w:szCs w:val="16"/>
                <w:b w:val="1"/>
                <w:bCs w:val="1"/>
                <w:color w:val="auto"/>
              </w:rPr>
              <w:t>Total Vehicles</w:t>
            </w:r>
          </w:p>
        </w:tc>
        <w:tc>
          <w:tcPr>
            <w:tcW w:w="178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6"/>
                <w:szCs w:val="16"/>
                <w:b w:val="1"/>
                <w:bCs w:val="1"/>
                <w:color w:val="auto"/>
              </w:rPr>
              <w:t>30.9%</w:t>
            </w:r>
          </w:p>
        </w:tc>
        <w:tc>
          <w:tcPr>
            <w:tcW w:w="6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GMNA Capacity Utilization (f)</w:t>
            </w:r>
          </w:p>
        </w:tc>
        <w:tc>
          <w:tcPr>
            <w:tcW w:w="17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84.8%</w:t>
            </w: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51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106" w:lineRule="exact"/>
        <w:rPr>
          <w:sz w:val="20"/>
          <w:szCs w:val="20"/>
          <w:color w:val="auto"/>
        </w:rPr>
      </w:pPr>
    </w:p>
    <w:p>
      <w:pPr>
        <w:ind w:left="462" w:hanging="462"/>
        <w:spacing w:after="0"/>
        <w:tabs>
          <w:tab w:leader="none" w:pos="46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HUMMER, Saab, Saturn and Pontiac vehicle sales data.</w:t>
      </w:r>
    </w:p>
    <w:p>
      <w:pPr>
        <w:spacing w:after="0" w:line="20" w:lineRule="exact"/>
        <w:rPr>
          <w:rFonts w:ascii="Arial" w:cs="Arial" w:eastAsia="Arial" w:hAnsi="Arial"/>
          <w:sz w:val="16"/>
          <w:szCs w:val="16"/>
          <w:color w:val="auto"/>
        </w:rPr>
      </w:pPr>
    </w:p>
    <w:p>
      <w:pPr>
        <w:ind w:left="462" w:hanging="462"/>
        <w:spacing w:after="0"/>
        <w:tabs>
          <w:tab w:leader="none" w:pos="462" w:val="left"/>
        </w:tabs>
        <w:numPr>
          <w:ilvl w:val="0"/>
          <w:numId w:val="7"/>
        </w:numPr>
        <w:rPr>
          <w:rFonts w:ascii="Arial" w:cs="Arial" w:eastAsia="Arial" w:hAnsi="Arial"/>
          <w:sz w:val="16"/>
          <w:szCs w:val="16"/>
          <w:color w:val="auto"/>
        </w:rPr>
      </w:pPr>
      <w:r>
        <w:rPr>
          <w:rFonts w:ascii="Arial" w:cs="Arial" w:eastAsia="Arial" w:hAnsi="Arial"/>
          <w:sz w:val="16"/>
          <w:szCs w:val="16"/>
          <w:color w:val="auto"/>
        </w:rPr>
        <w:t>Vehicle sales represent sales to the ultimate customer.</w:t>
      </w:r>
    </w:p>
    <w:p>
      <w:pPr>
        <w:spacing w:after="0" w:line="12" w:lineRule="exact"/>
        <w:rPr>
          <w:rFonts w:ascii="Arial" w:cs="Arial" w:eastAsia="Arial" w:hAnsi="Arial"/>
          <w:sz w:val="16"/>
          <w:szCs w:val="16"/>
          <w:color w:val="auto"/>
        </w:rPr>
      </w:pPr>
    </w:p>
    <w:p>
      <w:pPr>
        <w:ind w:left="462" w:hanging="462"/>
        <w:spacing w:after="0"/>
        <w:tabs>
          <w:tab w:leader="none" w:pos="462" w:val="left"/>
        </w:tabs>
        <w:numPr>
          <w:ilvl w:val="0"/>
          <w:numId w:val="7"/>
        </w:numPr>
        <w:rPr>
          <w:rFonts w:ascii="Arial" w:cs="Arial" w:eastAsia="Arial" w:hAnsi="Arial"/>
          <w:sz w:val="16"/>
          <w:szCs w:val="16"/>
          <w:color w:val="auto"/>
        </w:rPr>
      </w:pPr>
      <w:r>
        <w:rPr>
          <w:rFonts w:ascii="Arial" w:cs="Arial" w:eastAsia="Arial" w:hAnsi="Arial"/>
          <w:sz w:val="16"/>
          <w:szCs w:val="16"/>
          <w:color w:val="auto"/>
        </w:rPr>
        <w:t>Vehicle sales primarily represent estimated sales to the ultimate customer.</w:t>
      </w:r>
    </w:p>
    <w:p>
      <w:pPr>
        <w:spacing w:after="0" w:line="12" w:lineRule="exact"/>
        <w:rPr>
          <w:rFonts w:ascii="Arial" w:cs="Arial" w:eastAsia="Arial" w:hAnsi="Arial"/>
          <w:sz w:val="16"/>
          <w:szCs w:val="16"/>
          <w:color w:val="auto"/>
        </w:rPr>
      </w:pPr>
    </w:p>
    <w:p>
      <w:pPr>
        <w:ind w:left="462" w:hanging="462"/>
        <w:spacing w:after="0"/>
        <w:tabs>
          <w:tab w:leader="none" w:pos="46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SGM, SGMW, FAW-GM and HKJV joint venture sales.</w:t>
      </w:r>
    </w:p>
    <w:p>
      <w:pPr>
        <w:spacing w:after="0" w:line="12" w:lineRule="exact"/>
        <w:rPr>
          <w:rFonts w:ascii="Arial" w:cs="Arial" w:eastAsia="Arial" w:hAnsi="Arial"/>
          <w:sz w:val="16"/>
          <w:szCs w:val="16"/>
          <w:color w:val="auto"/>
        </w:rPr>
      </w:pPr>
    </w:p>
    <w:p>
      <w:pPr>
        <w:ind w:left="462" w:right="60" w:hanging="462"/>
        <w:spacing w:after="0" w:line="256" w:lineRule="auto"/>
        <w:tabs>
          <w:tab w:leader="none" w:pos="462" w:val="left"/>
        </w:tabs>
        <w:numPr>
          <w:ilvl w:val="0"/>
          <w:numId w:val="7"/>
        </w:numPr>
        <w:rPr>
          <w:rFonts w:ascii="Arial" w:cs="Arial" w:eastAsia="Arial" w:hAnsi="Arial"/>
          <w:sz w:val="16"/>
          <w:szCs w:val="16"/>
          <w:color w:val="auto"/>
        </w:rPr>
      </w:pPr>
      <w:r>
        <w:rPr>
          <w:rFonts w:ascii="Arial" w:cs="Arial" w:eastAsia="Arial" w:hAnsi="Arial"/>
          <w:sz w:val="16"/>
          <w:szCs w:val="16"/>
          <w:color w:val="auto"/>
        </w:rPr>
        <w:t>Ownership of 34% in SGMW and 50% in FAW-GM, under the joint venture agreements, allows for significant rights as a member as well as the contractual right to report SGMW and FAW-GM joint venture vehicle sales in China as part of global market share. These entities are not consolidated for financial reporting purposes. Income and losses related to these entities are recorded in Equity income, net of tax.</w:t>
      </w:r>
    </w:p>
    <w:p>
      <w:pPr>
        <w:ind w:left="462" w:hanging="462"/>
        <w:spacing w:after="0"/>
        <w:tabs>
          <w:tab w:leader="none" w:pos="462" w:val="left"/>
        </w:tabs>
        <w:numPr>
          <w:ilvl w:val="0"/>
          <w:numId w:val="7"/>
        </w:numPr>
        <w:rPr>
          <w:rFonts w:ascii="Arial" w:cs="Arial" w:eastAsia="Arial" w:hAnsi="Arial"/>
          <w:sz w:val="16"/>
          <w:szCs w:val="16"/>
          <w:color w:val="auto"/>
        </w:rPr>
      </w:pPr>
      <w:r>
        <w:rPr>
          <w:rFonts w:ascii="Arial" w:cs="Arial" w:eastAsia="Arial" w:hAnsi="Arial"/>
          <w:sz w:val="16"/>
          <w:szCs w:val="16"/>
          <w:color w:val="auto"/>
        </w:rPr>
        <w:t>Two shift rated, annualized.</w:t>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148"/>
        </w:trPr>
        <w:tc>
          <w:tcPr>
            <w:tcW w:w="114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3"/>
          </w:tcPr>
          <w:p>
            <w:pPr>
              <w:jc w:val="right"/>
              <w:ind w:right="1160"/>
              <w:spacing w:after="0"/>
              <w:rPr>
                <w:sz w:val="20"/>
                <w:szCs w:val="20"/>
                <w:color w:val="auto"/>
              </w:rPr>
            </w:pPr>
            <w:r>
              <w:rPr>
                <w:rFonts w:ascii="Arial" w:cs="Arial" w:eastAsia="Arial" w:hAnsi="Arial"/>
                <w:sz w:val="12"/>
                <w:szCs w:val="12"/>
                <w:b w:val="1"/>
                <w:bCs w:val="1"/>
                <w:color w:val="auto"/>
              </w:rPr>
              <w:t>Successor</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w w:val="93"/>
              </w:rPr>
              <w:t>March 31, 2010</w:t>
            </w:r>
          </w:p>
        </w:tc>
        <w:tc>
          <w:tcPr>
            <w:tcW w:w="1000" w:type="dxa"/>
            <w:vAlign w:val="bottom"/>
            <w:tcBorders>
              <w:top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w w:val="88"/>
              </w:rPr>
              <w:t>December 31, 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Worldwide Employment (thousands)</w:t>
            </w:r>
          </w:p>
        </w:tc>
        <w:tc>
          <w:tcPr>
            <w:tcW w:w="8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20" w:type="dxa"/>
            <w:vAlign w:val="bottom"/>
            <w:gridSpan w:val="2"/>
          </w:tcPr>
          <w:p>
            <w:pPr>
              <w:ind w:left="400"/>
              <w:spacing w:after="0"/>
              <w:rPr>
                <w:sz w:val="20"/>
                <w:szCs w:val="20"/>
                <w:color w:val="auto"/>
              </w:rPr>
            </w:pPr>
            <w:r>
              <w:rPr>
                <w:rFonts w:ascii="Arial" w:cs="Arial" w:eastAsia="Arial" w:hAnsi="Arial"/>
                <w:sz w:val="16"/>
                <w:szCs w:val="16"/>
                <w:color w:val="auto"/>
              </w:rPr>
              <w:t>GMNA (a)</w:t>
            </w:r>
          </w:p>
        </w:tc>
        <w:tc>
          <w:tcPr>
            <w:tcW w:w="820" w:type="dxa"/>
            <w:vAlign w:val="bottom"/>
          </w:tcPr>
          <w:p>
            <w:pPr>
              <w:jc w:val="right"/>
              <w:spacing w:after="0"/>
              <w:rPr>
                <w:sz w:val="20"/>
                <w:szCs w:val="20"/>
                <w:color w:val="auto"/>
              </w:rPr>
            </w:pPr>
            <w:r>
              <w:rPr>
                <w:rFonts w:ascii="Arial" w:cs="Arial" w:eastAsia="Arial" w:hAnsi="Arial"/>
                <w:sz w:val="16"/>
                <w:szCs w:val="16"/>
                <w:color w:val="auto"/>
              </w:rPr>
              <w:t>103</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GME (b)(c)</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20" w:type="dxa"/>
            <w:vAlign w:val="bottom"/>
            <w:gridSpan w:val="2"/>
          </w:tcPr>
          <w:p>
            <w:pPr>
              <w:ind w:left="400"/>
              <w:spacing w:after="0"/>
              <w:rPr>
                <w:sz w:val="20"/>
                <w:szCs w:val="20"/>
                <w:color w:val="auto"/>
              </w:rPr>
            </w:pPr>
            <w:r>
              <w:rPr>
                <w:rFonts w:ascii="Arial" w:cs="Arial" w:eastAsia="Arial" w:hAnsi="Arial"/>
                <w:sz w:val="16"/>
                <w:szCs w:val="16"/>
                <w:color w:val="auto"/>
              </w:rPr>
              <w:t>GMIO (d)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2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Total Worldwide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ind w:left="400"/>
              <w:spacing w:after="0"/>
              <w:rPr>
                <w:sz w:val="20"/>
                <w:szCs w:val="20"/>
                <w:color w:val="auto"/>
              </w:rPr>
            </w:pPr>
            <w:r>
              <w:rPr>
                <w:rFonts w:ascii="Arial" w:cs="Arial" w:eastAsia="Arial" w:hAnsi="Arial"/>
                <w:sz w:val="16"/>
                <w:szCs w:val="16"/>
                <w:color w:val="auto"/>
              </w:rPr>
              <w:t>United States – Salaried</w:t>
            </w: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20" w:type="dxa"/>
            <w:vAlign w:val="bottom"/>
            <w:gridSpan w:val="2"/>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2000" w:type="dxa"/>
            <w:vAlign w:val="bottom"/>
            <w:gridSpan w:val="3"/>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8"/>
        </w:trPr>
        <w:tc>
          <w:tcPr>
            <w:tcW w:w="86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United States – Hourly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1140" w:type="dxa"/>
            <w:vAlign w:val="bottom"/>
            <w:tcBorders>
              <w:bottom w:val="single" w:sz="8" w:color="auto"/>
            </w:tcBorders>
          </w:tcPr>
          <w:p>
            <w:pPr>
              <w:spacing w:after="0"/>
              <w:rPr>
                <w:sz w:val="7"/>
                <w:szCs w:val="7"/>
                <w:color w:val="auto"/>
              </w:rPr>
            </w:pPr>
          </w:p>
        </w:tc>
        <w:tc>
          <w:tcPr>
            <w:tcW w:w="7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2" w:hanging="462"/>
        <w:spacing w:after="0"/>
        <w:tabs>
          <w:tab w:leader="none" w:pos="462" w:val="left"/>
        </w:tabs>
        <w:numPr>
          <w:ilvl w:val="0"/>
          <w:numId w:val="8"/>
        </w:numPr>
        <w:rPr>
          <w:rFonts w:ascii="Arial" w:cs="Arial" w:eastAsia="Arial" w:hAnsi="Arial"/>
          <w:sz w:val="16"/>
          <w:szCs w:val="16"/>
          <w:color w:val="auto"/>
        </w:rPr>
      </w:pPr>
      <w:r>
        <w:rPr>
          <w:rFonts w:ascii="Arial" w:cs="Arial" w:eastAsia="Arial" w:hAnsi="Arial"/>
          <w:sz w:val="16"/>
          <w:szCs w:val="16"/>
          <w:color w:val="auto"/>
        </w:rPr>
        <w:t>Beginning with the three months ended March 31, 2010 substantially all of the 1,200 Corporate employees are included in GMNA.</w:t>
      </w:r>
    </w:p>
    <w:p>
      <w:pPr>
        <w:spacing w:after="0" w:line="20" w:lineRule="exact"/>
        <w:rPr>
          <w:rFonts w:ascii="Arial" w:cs="Arial" w:eastAsia="Arial" w:hAnsi="Arial"/>
          <w:sz w:val="16"/>
          <w:szCs w:val="16"/>
          <w:color w:val="auto"/>
        </w:rPr>
      </w:pPr>
    </w:p>
    <w:p>
      <w:pPr>
        <w:ind w:left="462" w:hanging="462"/>
        <w:spacing w:after="0"/>
        <w:tabs>
          <w:tab w:leader="none" w:pos="462" w:val="left"/>
        </w:tabs>
        <w:numPr>
          <w:ilvl w:val="0"/>
          <w:numId w:val="8"/>
        </w:numPr>
        <w:rPr>
          <w:rFonts w:ascii="Arial" w:cs="Arial" w:eastAsia="Arial" w:hAnsi="Arial"/>
          <w:sz w:val="16"/>
          <w:szCs w:val="16"/>
          <w:color w:val="auto"/>
        </w:rPr>
      </w:pPr>
      <w:r>
        <w:rPr>
          <w:rFonts w:ascii="Arial" w:cs="Arial" w:eastAsia="Arial" w:hAnsi="Arial"/>
          <w:sz w:val="16"/>
          <w:szCs w:val="16"/>
          <w:color w:val="auto"/>
        </w:rPr>
        <w:t>Decrease in GME primarily reflects reduction of 3,200 employees due to the sale of Saab and reduction of 800 hourly employees in Germany.</w:t>
      </w:r>
    </w:p>
    <w:p>
      <w:pPr>
        <w:spacing w:after="0" w:line="12" w:lineRule="exact"/>
        <w:rPr>
          <w:rFonts w:ascii="Arial" w:cs="Arial" w:eastAsia="Arial" w:hAnsi="Arial"/>
          <w:sz w:val="16"/>
          <w:szCs w:val="16"/>
          <w:color w:val="auto"/>
        </w:rPr>
      </w:pPr>
    </w:p>
    <w:p>
      <w:pPr>
        <w:ind w:left="462" w:right="220" w:hanging="462"/>
        <w:spacing w:after="0" w:line="256" w:lineRule="auto"/>
        <w:tabs>
          <w:tab w:leader="none" w:pos="462" w:val="left"/>
        </w:tabs>
        <w:numPr>
          <w:ilvl w:val="0"/>
          <w:numId w:val="8"/>
        </w:numPr>
        <w:rPr>
          <w:rFonts w:ascii="Arial" w:cs="Arial" w:eastAsia="Arial" w:hAnsi="Arial"/>
          <w:sz w:val="16"/>
          <w:szCs w:val="16"/>
          <w:color w:val="auto"/>
        </w:rPr>
      </w:pPr>
      <w:r>
        <w:rPr>
          <w:rFonts w:ascii="Arial" w:cs="Arial" w:eastAsia="Arial" w:hAnsi="Arial"/>
          <w:sz w:val="16"/>
          <w:szCs w:val="16"/>
          <w:color w:val="auto"/>
        </w:rPr>
        <w:t>GME hourly inactive employees are no longer included in GME’s totals. GME hourly inactive employees excluded in the three months ended March 31, 2010 and 2009 were 2,300 and 2,500 employees.</w:t>
      </w:r>
    </w:p>
    <w:p>
      <w:pPr>
        <w:ind w:left="462" w:hanging="462"/>
        <w:spacing w:after="0"/>
        <w:tabs>
          <w:tab w:leader="none" w:pos="462" w:val="left"/>
        </w:tabs>
        <w:numPr>
          <w:ilvl w:val="0"/>
          <w:numId w:val="8"/>
        </w:numPr>
        <w:rPr>
          <w:rFonts w:ascii="Arial" w:cs="Arial" w:eastAsia="Arial" w:hAnsi="Arial"/>
          <w:sz w:val="14"/>
          <w:szCs w:val="14"/>
          <w:color w:val="auto"/>
        </w:rPr>
      </w:pPr>
      <w:r>
        <w:rPr>
          <w:rFonts w:ascii="Arial" w:cs="Arial" w:eastAsia="Arial" w:hAnsi="Arial"/>
          <w:sz w:val="14"/>
          <w:szCs w:val="14"/>
          <w:color w:val="auto"/>
        </w:rPr>
        <w:t>Decrease in GMIO reflects a reduction of 2,400 employees due to the sale of GM’s India Operations and the reclassification of 2,700 hourly employees to contract status.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37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2"/>
                <w:szCs w:val="12"/>
                <w:b w:val="1"/>
                <w:bCs w:val="1"/>
                <w:color w:val="auto"/>
                <w:w w:val="85"/>
              </w:rPr>
              <w:t>Successor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14"/>
        </w:trPr>
        <w:tc>
          <w:tcPr>
            <w:tcW w:w="3760" w:type="dxa"/>
            <w:vAlign w:val="bottom"/>
          </w:tcPr>
          <w:p>
            <w:pPr>
              <w:spacing w:after="0"/>
              <w:rPr>
                <w:sz w:val="9"/>
                <w:szCs w:val="9"/>
                <w:color w:val="auto"/>
              </w:rPr>
            </w:pPr>
          </w:p>
        </w:tc>
        <w:tc>
          <w:tcPr>
            <w:tcW w:w="472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99"/>
              </w:rPr>
              <w:t>Three Months</w:t>
            </w:r>
          </w:p>
        </w:tc>
        <w:tc>
          <w:tcPr>
            <w:tcW w:w="72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96"/>
              </w:rPr>
              <w:t>Three Months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Borders>
              <w:right w:val="single" w:sz="8" w:color="auto"/>
            </w:tcBorders>
            <w:gridSpan w:val="2"/>
          </w:tcPr>
          <w:p>
            <w:pPr>
              <w:jc w:val="center"/>
              <w:ind w:right="840"/>
              <w:spacing w:after="0" w:line="135" w:lineRule="exact"/>
              <w:rPr>
                <w:sz w:val="20"/>
                <w:szCs w:val="20"/>
                <w:color w:val="auto"/>
              </w:rPr>
            </w:pPr>
            <w:r>
              <w:rPr>
                <w:rFonts w:ascii="Arial" w:cs="Arial" w:eastAsia="Arial" w:hAnsi="Arial"/>
                <w:sz w:val="12"/>
                <w:szCs w:val="12"/>
                <w:b w:val="1"/>
                <w:bCs w:val="1"/>
                <w:color w:val="auto"/>
                <w:w w:val="92"/>
              </w:rPr>
              <w:t>Ended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4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2"/>
                <w:szCs w:val="12"/>
                <w:b w:val="1"/>
                <w:bCs w:val="1"/>
                <w:color w:val="auto"/>
                <w:w w:val="95"/>
              </w:rPr>
              <w:t>March 31, 2010</w:t>
            </w:r>
          </w:p>
        </w:tc>
        <w:tc>
          <w:tcPr>
            <w:tcW w:w="58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March 31, 2009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Worldwide Payroll (billions)</w:t>
            </w:r>
          </w:p>
        </w:tc>
        <w:tc>
          <w:tcPr>
            <w:tcW w:w="47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760" w:type="dxa"/>
            <w:vAlign w:val="bottom"/>
          </w:tcPr>
          <w:p>
            <w:pPr>
              <w:spacing w:after="0"/>
              <w:rPr>
                <w:sz w:val="24"/>
                <w:szCs w:val="24"/>
                <w:color w:val="auto"/>
              </w:rPr>
            </w:pPr>
          </w:p>
        </w:tc>
        <w:tc>
          <w:tcPr>
            <w:tcW w:w="4720" w:type="dxa"/>
            <w:vAlign w:val="bottom"/>
          </w:tcPr>
          <w:p>
            <w:pPr>
              <w:jc w:val="right"/>
              <w:ind w:right="26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2"/>
          </w:cols>
          <w:pgMar w:left="238" w:top="262" w:right="239" w:bottom="1440" w:gutter="0" w:footer="0" w:header="0"/>
        </w:sectPr>
      </w:pPr>
    </w:p>
    <w:bookmarkStart w:id="11" w:name="page12"/>
    <w:bookmarkEnd w:id="11"/>
    <w:p>
      <w:pPr>
        <w:ind w:left="42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960" cy="36195"/>
                    </a:xfrm>
                    <a:prstGeom prst="rect">
                      <a:avLst/>
                    </a:prstGeom>
                    <a:noFill/>
                  </pic:spPr>
                </pic:pic>
              </a:graphicData>
            </a:graphic>
          </wp:anchor>
        </w:drawing>
        <w:t>General Motors Company and Subsidiaries</w:t>
      </w:r>
    </w:p>
    <w:p>
      <w:pPr>
        <w:spacing w:after="0" w:line="160"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60"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(In millions, except per share amounts)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2"/>
                <w:szCs w:val="12"/>
                <w:b w:val="1"/>
                <w:bCs w:val="1"/>
                <w:color w:val="auto"/>
                <w:w w:val="82"/>
              </w:rPr>
              <w:t>Successor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93"/>
              </w:rPr>
              <w:t>Three Months</w:t>
            </w:r>
          </w:p>
        </w:tc>
        <w:tc>
          <w:tcPr>
            <w:tcW w:w="62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96"/>
              </w:rPr>
              <w:t>Three Months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740"/>
              <w:spacing w:after="0" w:line="135" w:lineRule="exact"/>
              <w:rPr>
                <w:sz w:val="20"/>
                <w:szCs w:val="20"/>
                <w:color w:val="auto"/>
              </w:rPr>
            </w:pPr>
            <w:r>
              <w:rPr>
                <w:rFonts w:ascii="Arial" w:cs="Arial" w:eastAsia="Arial" w:hAnsi="Arial"/>
                <w:sz w:val="12"/>
                <w:szCs w:val="12"/>
                <w:b w:val="1"/>
                <w:bCs w:val="1"/>
                <w:color w:val="auto"/>
                <w:w w:val="92"/>
              </w:rPr>
              <w:t>Ended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8"/>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2"/>
                <w:szCs w:val="12"/>
                <w:b w:val="1"/>
                <w:bCs w:val="1"/>
                <w:color w:val="auto"/>
              </w:rPr>
              <w:t>March 31, 2010</w:t>
            </w:r>
          </w:p>
        </w:tc>
        <w:tc>
          <w:tcPr>
            <w:tcW w:w="420" w:type="dxa"/>
            <w:vAlign w:val="bottom"/>
          </w:tcPr>
          <w:p>
            <w:pPr>
              <w:spacing w:after="0"/>
              <w:rPr>
                <w:sz w:val="12"/>
                <w:szCs w:val="12"/>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sales and revenue</w:t>
            </w: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31,476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22,431</w:t>
            </w:r>
          </w:p>
        </w:tc>
        <w:tc>
          <w:tcPr>
            <w:tcW w:w="0" w:type="dxa"/>
            <w:vAlign w:val="bottom"/>
          </w:tcPr>
          <w:p>
            <w:pPr>
              <w:spacing w:after="0"/>
              <w:rPr>
                <w:sz w:val="1"/>
                <w:szCs w:val="1"/>
                <w:color w:val="auto"/>
              </w:rPr>
            </w:pPr>
          </w:p>
        </w:tc>
      </w:tr>
      <w:tr>
        <w:trPr>
          <w:trHeight w:val="200"/>
        </w:trPr>
        <w:tc>
          <w:tcPr>
            <w:tcW w:w="464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4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Cost of sales</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27,591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ind w:left="380"/>
              <w:spacing w:after="0"/>
              <w:rPr>
                <w:sz w:val="20"/>
                <w:szCs w:val="20"/>
                <w:color w:val="auto"/>
              </w:rPr>
            </w:pPr>
            <w:r>
              <w:rPr>
                <w:rFonts w:ascii="Arial" w:cs="Arial" w:eastAsia="Arial" w:hAnsi="Arial"/>
                <w:sz w:val="16"/>
                <w:szCs w:val="16"/>
                <w:color w:val="auto"/>
              </w:rPr>
              <w:t>Selling, general and administrative expense</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2,684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expenses, net</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380"/>
              <w:spacing w:after="0"/>
              <w:rPr>
                <w:sz w:val="20"/>
                <w:szCs w:val="20"/>
                <w:color w:val="auto"/>
              </w:rPr>
            </w:pPr>
            <w:r>
              <w:rPr>
                <w:rFonts w:ascii="Arial" w:cs="Arial" w:eastAsia="Arial" w:hAnsi="Arial"/>
                <w:sz w:val="16"/>
                <w:szCs w:val="16"/>
                <w:color w:val="auto"/>
              </w:rPr>
              <w:t>Total costs and expenses</w:t>
            </w:r>
          </w:p>
        </w:tc>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30,321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28,093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Operating income (loss)</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1,155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Equity in loss of GMAC</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(337)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485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Gain (loss) on extinguishment of debt</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6"/>
                <w:szCs w:val="16"/>
                <w:color w:val="auto"/>
              </w:rPr>
              <w:t>Income (loss) before income taxes and equity income</w:t>
            </w:r>
          </w:p>
        </w:tc>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gridSpan w:val="2"/>
            <w:vMerge w:val="continue"/>
          </w:tcPr>
          <w:p>
            <w:pPr>
              <w:spacing w:after="0"/>
              <w:rPr>
                <w:sz w:val="17"/>
                <w:szCs w:val="17"/>
                <w:color w:val="auto"/>
              </w:rPr>
            </w:pP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1,302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(6,061)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509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Equity income, net of tax</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403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1,196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128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stockholders</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1,068</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Less: Cumulative dividends on preferred stock</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203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common stockholders</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865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(5,975)</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Earnings (loss) per share</w:t>
            </w: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40" w:type="dxa"/>
            <w:vAlign w:val="bottom"/>
            <w:gridSpan w:val="2"/>
            <w:vMerge w:val="continue"/>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Net income (loss) attributable to common stockholders</w:t>
            </w:r>
          </w:p>
        </w:tc>
        <w:tc>
          <w:tcPr>
            <w:tcW w:w="4120" w:type="dxa"/>
            <w:vAlign w:val="bottom"/>
            <w:gridSpan w:val="2"/>
          </w:tcPr>
          <w:p>
            <w:pPr>
              <w:ind w:left="4000"/>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1.73</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common shares outstanding</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500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common stockholders</w:t>
            </w:r>
          </w:p>
        </w:tc>
        <w:tc>
          <w:tcPr>
            <w:tcW w:w="4120" w:type="dxa"/>
            <w:vAlign w:val="bottom"/>
            <w:gridSpan w:val="2"/>
            <w:shd w:val="clear" w:color="auto" w:fill="CCEEFF"/>
          </w:tcPr>
          <w:p>
            <w:pPr>
              <w:ind w:left="4000"/>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1.66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Weighted-average common shares outstanding</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522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00" w:type="dxa"/>
            <w:vAlign w:val="bottom"/>
          </w:tcPr>
          <w:p>
            <w:pPr>
              <w:jc w:val="right"/>
              <w:ind w:right="280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2" w:right="239" w:bottom="1440" w:gutter="0" w:footer="0" w:header="0"/>
        </w:sectPr>
      </w:pPr>
    </w:p>
    <w:bookmarkStart w:id="12" w:name="page13"/>
    <w:bookmarkEnd w:id="12"/>
    <w:p>
      <w:pPr>
        <w:ind w:left="42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960" cy="36195"/>
                    </a:xfrm>
                    <a:prstGeom prst="rect">
                      <a:avLst/>
                    </a:prstGeom>
                    <a:noFill/>
                  </pic:spPr>
                </pic:pic>
              </a:graphicData>
            </a:graphic>
          </wp:anchor>
        </w:drawing>
        <w:t>General Motors Company and Subsidiaries</w:t>
      </w:r>
    </w:p>
    <w:p>
      <w:pPr>
        <w:spacing w:after="0" w:line="160"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60"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(In millions, except share amounts)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Successor</w:t>
            </w: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9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March 31, 2010</w:t>
            </w:r>
          </w:p>
        </w:tc>
        <w:tc>
          <w:tcPr>
            <w:tcW w:w="62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0"/>
              </w:rPr>
              <w:t>December 31, 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22,679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marketable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22,813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12,741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13,917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and notes receivable (net of allowance of $188 and $250)</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11,192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Equipment on operating leases, net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2,319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assets and deferred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60,357</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59,247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Equity in net assets of nonconsolidated affiliates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8,430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7,936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Property, net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18,432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18,687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13,690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14,547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75,664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136,021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Accounts payable (principally trade)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20,450</w:t>
            </w:r>
          </w:p>
        </w:tc>
        <w:tc>
          <w:tcPr>
            <w:tcW w:w="12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18,725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debt and current portion of long-term debt (including debt at GM Daewoo of $1,308 at March 31, 2010)</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10,221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Liabilities held for sale</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expenses (including derivative liabilities at GM Daewoo of $339 at March 31, 2010)</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52,038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52,435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Long-term debt (including debt at GM Daewoo of $740 at March 31, 2010)</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5,562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Postretirement benefits other than pensions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8,794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8,708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Pensions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27,086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Other liabilities and deferred income taxes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53,932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78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105,970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107,340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w w:val="99"/>
              </w:rPr>
              <w:t>Preferred stock, $0.01 par value (1,000,000,000 shares authorized, 360,000,000 shares issued and outstanding (each with a</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$25.00 liquidation preference) at March 31, 2010 and December 31, 2009)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$0.01 par value (2,500,000,000 shares authorized, 500,000,000 shares issued and outstanding at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March 31, 2010 and December 31, 2009)</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Capital surplus (principally additional paid-in capital)</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24,050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(3,529)</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21,249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Pr>
          <w:p>
            <w:pPr>
              <w:ind w:left="3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78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136,021</w:t>
            </w:r>
          </w:p>
        </w:tc>
        <w:tc>
          <w:tcPr>
            <w:tcW w:w="12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136,295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jc w:val="right"/>
              <w:ind w:right="2940"/>
              <w:spacing w:after="0"/>
              <w:rPr>
                <w:sz w:val="20"/>
                <w:szCs w:val="20"/>
                <w:color w:val="auto"/>
              </w:rPr>
            </w:pPr>
            <w:r>
              <w:rPr>
                <w:rFonts w:ascii="Arial" w:cs="Arial" w:eastAsia="Arial" w:hAnsi="Arial"/>
                <w:sz w:val="16"/>
                <w:szCs w:val="16"/>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2" w:right="239" w:bottom="1440" w:gutter="0" w:footer="0" w:header="0"/>
        </w:sectPr>
      </w:pPr>
    </w:p>
    <w:bookmarkStart w:id="13" w:name="page14"/>
    <w:bookmarkEnd w:id="13"/>
    <w:p>
      <w:pPr>
        <w:spacing w:after="0" w:line="14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10"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10"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10"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10"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FEFEFE"/>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280"/>
        <w:spacing w:after="0"/>
        <w:rPr>
          <w:sz w:val="20"/>
          <w:szCs w:val="20"/>
          <w:color w:val="auto"/>
        </w:rPr>
      </w:pPr>
      <w:r>
        <w:rPr>
          <w:rFonts w:ascii="Arial" w:cs="Arial" w:eastAsia="Arial" w:hAnsi="Arial"/>
          <w:sz w:val="45"/>
          <w:szCs w:val="45"/>
          <w:b w:val="1"/>
          <w:b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-1620520</wp:posOffset>
            </wp:positionV>
            <wp:extent cx="1317625" cy="1317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7625" cy="131762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260"/>
        <w:spacing w:after="0"/>
        <w:rPr>
          <w:sz w:val="20"/>
          <w:szCs w:val="20"/>
          <w:color w:val="auto"/>
        </w:rPr>
      </w:pPr>
      <w:r>
        <w:rPr>
          <w:rFonts w:ascii="Arial" w:cs="Arial" w:eastAsia="Arial" w:hAnsi="Arial"/>
          <w:sz w:val="45"/>
          <w:szCs w:val="45"/>
          <w:b w:val="1"/>
          <w:bCs w:val="1"/>
          <w:color w:val="auto"/>
        </w:rPr>
        <w:t>Q1 2010 Results</w:t>
      </w:r>
    </w:p>
    <w:p>
      <w:pPr>
        <w:spacing w:after="0" w:line="200" w:lineRule="exact"/>
        <w:rPr>
          <w:sz w:val="20"/>
          <w:szCs w:val="20"/>
          <w:color w:val="auto"/>
        </w:rPr>
      </w:pPr>
    </w:p>
    <w:p>
      <w:pPr>
        <w:spacing w:after="0" w:line="378" w:lineRule="exact"/>
        <w:rPr>
          <w:sz w:val="20"/>
          <w:szCs w:val="20"/>
          <w:color w:val="auto"/>
        </w:rPr>
      </w:pPr>
    </w:p>
    <w:p>
      <w:pPr>
        <w:ind w:left="1600"/>
        <w:spacing w:after="0"/>
        <w:rPr>
          <w:sz w:val="20"/>
          <w:szCs w:val="20"/>
          <w:color w:val="auto"/>
        </w:rPr>
      </w:pPr>
      <w:r>
        <w:rPr>
          <w:rFonts w:ascii="Arial" w:cs="Arial" w:eastAsia="Arial" w:hAnsi="Arial"/>
          <w:sz w:val="39"/>
          <w:szCs w:val="39"/>
          <w:color w:val="auto"/>
        </w:rPr>
        <w:t>May 17, 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99.2</w:t>
      </w:r>
    </w:p>
    <w:p>
      <w:pPr>
        <w:sectPr>
          <w:pgSz w:w="11900" w:h="16838" w:orient="portrait"/>
          <w:cols w:equalWidth="0" w:num="3">
            <w:col w:w="2060" w:space="720"/>
            <w:col w:w="6820" w:space="720"/>
            <w:col w:w="900"/>
          </w:cols>
          <w:pgMar w:left="360" w:top="221" w:right="319" w:bottom="1440" w:gutter="0" w:footer="0" w:header="0"/>
        </w:sectPr>
      </w:pPr>
    </w:p>
    <w:bookmarkStart w:id="14" w:name="page15"/>
    <w:bookmarkEnd w:id="14"/>
    <w:p>
      <w:pPr>
        <w:ind w:left="4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364" w:lineRule="exact"/>
        <w:rPr>
          <w:sz w:val="20"/>
          <w:szCs w:val="20"/>
          <w:color w:val="auto"/>
        </w:rPr>
      </w:pPr>
    </w:p>
    <w:p>
      <w:pPr>
        <w:ind w:left="520" w:right="1240"/>
        <w:spacing w:after="0" w:line="250" w:lineRule="auto"/>
        <w:rPr>
          <w:sz w:val="20"/>
          <w:szCs w:val="20"/>
          <w:color w:val="auto"/>
        </w:rPr>
      </w:pPr>
      <w:r>
        <w:rPr>
          <w:rFonts w:ascii="Arial" w:cs="Arial" w:eastAsia="Arial" w:hAnsi="Arial"/>
          <w:sz w:val="23"/>
          <w:szCs w:val="23"/>
          <w:i w:val="1"/>
          <w:iCs w:val="1"/>
          <w:color w:val="auto"/>
        </w:rPr>
        <w:t>In this press release and in related comments by our management,our use of the words “expect,”“anticipate,”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comply with the continuing requirements related to U.S. and other government support.</w:t>
      </w:r>
    </w:p>
    <w:p>
      <w:pPr>
        <w:spacing w:after="0" w:line="253" w:lineRule="exact"/>
        <w:rPr>
          <w:sz w:val="20"/>
          <w:szCs w:val="20"/>
          <w:color w:val="auto"/>
        </w:rPr>
      </w:pPr>
    </w:p>
    <w:p>
      <w:pPr>
        <w:ind w:left="520" w:right="1420"/>
        <w:spacing w:after="0" w:line="263" w:lineRule="auto"/>
        <w:rPr>
          <w:sz w:val="20"/>
          <w:szCs w:val="20"/>
          <w:color w:val="auto"/>
        </w:rPr>
      </w:pPr>
      <w:r>
        <w:rPr>
          <w:rFonts w:ascii="Arial" w:cs="Arial" w:eastAsia="Arial" w:hAnsi="Arial"/>
          <w:sz w:val="23"/>
          <w:szCs w:val="23"/>
          <w:i w:val="1"/>
          <w:iCs w:val="1"/>
          <w:color w:val="auto"/>
        </w:rPr>
        <w:t>GM's most recent annual report on Form 10-K and quarterly report on Form 10-Q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1</w:t>
      </w:r>
    </w:p>
    <w:p>
      <w:pPr>
        <w:sectPr>
          <w:pgSz w:w="11900" w:h="16838" w:orient="portrait"/>
          <w:cols w:equalWidth="0" w:num="1">
            <w:col w:w="9740"/>
          </w:cols>
          <w:pgMar w:left="1440" w:top="542" w:right="719" w:bottom="1440" w:gutter="0" w:footer="0" w:header="0"/>
        </w:sectPr>
      </w:pPr>
    </w:p>
    <w:bookmarkStart w:id="15" w:name="page16"/>
    <w:bookmarkEnd w:id="15"/>
    <w:p>
      <w:pPr>
        <w:ind w:left="10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Summary of Q1 2010 Results</w:t>
      </w:r>
    </w:p>
    <w:p>
      <w:pPr>
        <w:spacing w:after="0" w:line="200" w:lineRule="exact"/>
        <w:rPr>
          <w:sz w:val="20"/>
          <w:szCs w:val="20"/>
          <w:color w:val="auto"/>
        </w:rPr>
      </w:pPr>
    </w:p>
    <w:p>
      <w:pPr>
        <w:spacing w:after="0" w:line="390" w:lineRule="exact"/>
        <w:rPr>
          <w:sz w:val="20"/>
          <w:szCs w:val="20"/>
          <w:color w:val="auto"/>
        </w:rPr>
      </w:pPr>
    </w:p>
    <w:tbl>
      <w:tblPr>
        <w:tblLayout w:type="fixed"/>
        <w:tblInd w:w="4340" w:type="dxa"/>
        <w:tblCellMar>
          <w:top w:w="0" w:type="dxa"/>
          <w:left w:w="0" w:type="dxa"/>
          <w:bottom w:w="0" w:type="dxa"/>
          <w:right w:w="0" w:type="dxa"/>
        </w:tblCellMar>
      </w:tblPr>
      <w:tr>
        <w:trPr>
          <w:trHeight w:val="299"/>
        </w:trPr>
        <w:tc>
          <w:tcPr>
            <w:tcW w:w="2340" w:type="dxa"/>
            <w:vAlign w:val="bottom"/>
          </w:tcPr>
          <w:p>
            <w:pPr>
              <w:jc w:val="center"/>
              <w:ind w:right="342"/>
              <w:spacing w:after="0"/>
              <w:rPr>
                <w:sz w:val="20"/>
                <w:szCs w:val="20"/>
                <w:color w:val="auto"/>
              </w:rPr>
            </w:pPr>
            <w:r>
              <w:rPr>
                <w:rFonts w:ascii="Arial" w:cs="Arial" w:eastAsia="Arial" w:hAnsi="Arial"/>
                <w:sz w:val="26"/>
                <w:szCs w:val="26"/>
                <w:b w:val="1"/>
                <w:bCs w:val="1"/>
                <w:color w:val="auto"/>
                <w:w w:val="99"/>
              </w:rPr>
              <w:t>Jul 10 – Sep 30</w:t>
            </w:r>
          </w:p>
        </w:tc>
        <w:tc>
          <w:tcPr>
            <w:tcW w:w="1880" w:type="dxa"/>
            <w:vAlign w:val="bottom"/>
          </w:tcPr>
          <w:p>
            <w:pPr>
              <w:jc w:val="right"/>
              <w:ind w:right="822"/>
              <w:spacing w:after="0"/>
              <w:rPr>
                <w:sz w:val="20"/>
                <w:szCs w:val="20"/>
                <w:color w:val="auto"/>
              </w:rPr>
            </w:pPr>
            <w:r>
              <w:rPr>
                <w:rFonts w:ascii="Arial" w:cs="Arial" w:eastAsia="Arial" w:hAnsi="Arial"/>
                <w:sz w:val="26"/>
                <w:szCs w:val="26"/>
                <w:b w:val="1"/>
                <w:bCs w:val="1"/>
                <w:color w:val="auto"/>
              </w:rPr>
              <w:t>Q4</w:t>
            </w:r>
          </w:p>
        </w:tc>
        <w:tc>
          <w:tcPr>
            <w:tcW w:w="1400" w:type="dxa"/>
            <w:vAlign w:val="bottom"/>
          </w:tcPr>
          <w:p>
            <w:pPr>
              <w:jc w:val="center"/>
              <w:ind w:left="602"/>
              <w:spacing w:after="0"/>
              <w:rPr>
                <w:sz w:val="20"/>
                <w:szCs w:val="20"/>
                <w:color w:val="auto"/>
              </w:rPr>
            </w:pPr>
            <w:r>
              <w:rPr>
                <w:rFonts w:ascii="Arial" w:cs="Arial" w:eastAsia="Arial" w:hAnsi="Arial"/>
                <w:sz w:val="26"/>
                <w:szCs w:val="26"/>
                <w:b w:val="1"/>
                <w:bCs w:val="1"/>
                <w:color w:val="auto"/>
                <w:w w:val="97"/>
              </w:rPr>
              <w:t>Q1</w:t>
            </w:r>
          </w:p>
        </w:tc>
      </w:tr>
      <w:tr>
        <w:trPr>
          <w:trHeight w:val="391"/>
        </w:trPr>
        <w:tc>
          <w:tcPr>
            <w:tcW w:w="2340" w:type="dxa"/>
            <w:vAlign w:val="bottom"/>
          </w:tcPr>
          <w:p>
            <w:pPr>
              <w:jc w:val="right"/>
              <w:ind w:right="922"/>
              <w:spacing w:after="0"/>
              <w:rPr>
                <w:sz w:val="20"/>
                <w:szCs w:val="20"/>
                <w:color w:val="auto"/>
              </w:rPr>
            </w:pPr>
            <w:r>
              <w:rPr>
                <w:rFonts w:ascii="Arial" w:cs="Arial" w:eastAsia="Arial" w:hAnsi="Arial"/>
                <w:sz w:val="29"/>
                <w:szCs w:val="29"/>
                <w:b w:val="1"/>
                <w:bCs w:val="1"/>
                <w:color w:val="auto"/>
              </w:rPr>
              <w:t>2009</w:t>
            </w:r>
          </w:p>
        </w:tc>
        <w:tc>
          <w:tcPr>
            <w:tcW w:w="1880" w:type="dxa"/>
            <w:vAlign w:val="bottom"/>
          </w:tcPr>
          <w:p>
            <w:pPr>
              <w:jc w:val="right"/>
              <w:ind w:right="622"/>
              <w:spacing w:after="0"/>
              <w:rPr>
                <w:sz w:val="20"/>
                <w:szCs w:val="20"/>
                <w:color w:val="auto"/>
              </w:rPr>
            </w:pPr>
            <w:r>
              <w:rPr>
                <w:rFonts w:ascii="Arial" w:cs="Arial" w:eastAsia="Arial" w:hAnsi="Arial"/>
                <w:sz w:val="29"/>
                <w:szCs w:val="29"/>
                <w:b w:val="1"/>
                <w:bCs w:val="1"/>
                <w:color w:val="auto"/>
              </w:rPr>
              <w:t>2009</w:t>
            </w:r>
          </w:p>
        </w:tc>
        <w:tc>
          <w:tcPr>
            <w:tcW w:w="1400" w:type="dxa"/>
            <w:vAlign w:val="bottom"/>
          </w:tcPr>
          <w:p>
            <w:pPr>
              <w:jc w:val="right"/>
              <w:spacing w:after="0"/>
              <w:rPr>
                <w:sz w:val="20"/>
                <w:szCs w:val="20"/>
                <w:color w:val="auto"/>
              </w:rPr>
            </w:pPr>
            <w:r>
              <w:rPr>
                <w:rFonts w:ascii="Arial" w:cs="Arial" w:eastAsia="Arial" w:hAnsi="Arial"/>
                <w:sz w:val="29"/>
                <w:szCs w:val="29"/>
                <w:b w:val="1"/>
                <w:bCs w:val="1"/>
                <w:color w:val="auto"/>
              </w:rPr>
              <w:t>2010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GAAP</w:t>
      </w:r>
    </w:p>
    <w:p>
      <w:pPr>
        <w:sectPr>
          <w:pgSz w:w="11900" w:h="16838" w:orient="portrait"/>
          <w:cols w:equalWidth="0" w:num="1">
            <w:col w:w="10780"/>
          </w:cols>
          <w:pgMar w:left="400" w:top="579" w:right="719" w:bottom="1440" w:gutter="0" w:footer="0" w:header="0"/>
        </w:sect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33"/>
          <w:szCs w:val="33"/>
          <w:color w:val="auto"/>
        </w:rPr>
        <w:t>Net Revenue ($B)</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33"/>
          <w:szCs w:val="33"/>
          <w:color w:val="auto"/>
        </w:rPr>
        <w:t>Operating Income ($B)</w:t>
      </w:r>
    </w:p>
    <w:p>
      <w:pPr>
        <w:spacing w:after="0" w:line="234" w:lineRule="exact"/>
        <w:rPr>
          <w:sz w:val="20"/>
          <w:szCs w:val="20"/>
          <w:color w:val="auto"/>
        </w:rPr>
      </w:pPr>
    </w:p>
    <w:p>
      <w:pPr>
        <w:ind w:left="300" w:right="40"/>
        <w:spacing w:after="0" w:line="277" w:lineRule="auto"/>
        <w:rPr>
          <w:sz w:val="20"/>
          <w:szCs w:val="20"/>
          <w:color w:val="auto"/>
        </w:rPr>
      </w:pPr>
      <w:r>
        <w:rPr>
          <w:rFonts w:ascii="Arial" w:cs="Arial" w:eastAsia="Arial" w:hAnsi="Arial"/>
          <w:sz w:val="32"/>
          <w:szCs w:val="32"/>
          <w:color w:val="auto"/>
        </w:rPr>
        <w:t>Net Income Attr. Common Stockholders ($B)</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33"/>
          <w:szCs w:val="33"/>
          <w:color w:val="auto"/>
        </w:rPr>
        <w:t>EPS – Diluted ($/Share)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Non- GAAP</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33"/>
          <w:szCs w:val="33"/>
          <w:color w:val="auto"/>
        </w:rPr>
        <w:t>EBIT - Adj. ($B)</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33"/>
          <w:szCs w:val="33"/>
          <w:color w:val="auto"/>
        </w:rPr>
        <w:t>Free Cash Flow ($B)</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0"/>
        </w:trPr>
        <w:tc>
          <w:tcPr>
            <w:tcW w:w="1500" w:type="dxa"/>
            <w:vAlign w:val="bottom"/>
          </w:tcPr>
          <w:p>
            <w:pPr>
              <w:jc w:val="center"/>
              <w:ind w:right="494"/>
              <w:spacing w:after="0"/>
              <w:rPr>
                <w:sz w:val="20"/>
                <w:szCs w:val="20"/>
                <w:color w:val="auto"/>
              </w:rPr>
            </w:pPr>
            <w:r>
              <w:rPr>
                <w:rFonts w:ascii="Arial" w:cs="Arial" w:eastAsia="Arial" w:hAnsi="Arial"/>
                <w:sz w:val="33"/>
                <w:szCs w:val="33"/>
                <w:color w:val="auto"/>
                <w:w w:val="99"/>
              </w:rPr>
              <w:t>25.1</w:t>
            </w:r>
          </w:p>
        </w:tc>
        <w:tc>
          <w:tcPr>
            <w:tcW w:w="2220" w:type="dxa"/>
            <w:vAlign w:val="bottom"/>
          </w:tcPr>
          <w:p>
            <w:pPr>
              <w:jc w:val="center"/>
              <w:spacing w:after="0"/>
              <w:rPr>
                <w:sz w:val="20"/>
                <w:szCs w:val="20"/>
                <w:color w:val="auto"/>
              </w:rPr>
            </w:pPr>
            <w:r>
              <w:rPr>
                <w:rFonts w:ascii="Arial" w:cs="Arial" w:eastAsia="Arial" w:hAnsi="Arial"/>
                <w:sz w:val="33"/>
                <w:szCs w:val="33"/>
                <w:color w:val="auto"/>
                <w:w w:val="99"/>
              </w:rPr>
              <w:t>32.3</w:t>
            </w:r>
          </w:p>
        </w:tc>
        <w:tc>
          <w:tcPr>
            <w:tcW w:w="1360" w:type="dxa"/>
            <w:vAlign w:val="bottom"/>
          </w:tcPr>
          <w:p>
            <w:pPr>
              <w:jc w:val="center"/>
              <w:ind w:left="554"/>
              <w:spacing w:after="0"/>
              <w:rPr>
                <w:sz w:val="20"/>
                <w:szCs w:val="20"/>
                <w:color w:val="auto"/>
              </w:rPr>
            </w:pPr>
            <w:r>
              <w:rPr>
                <w:rFonts w:ascii="Arial" w:cs="Arial" w:eastAsia="Arial" w:hAnsi="Arial"/>
                <w:sz w:val="33"/>
                <w:szCs w:val="33"/>
                <w:color w:val="auto"/>
                <w:w w:val="99"/>
              </w:rPr>
              <w:t>31.5</w:t>
            </w:r>
          </w:p>
        </w:tc>
      </w:tr>
      <w:tr>
        <w:trPr>
          <w:trHeight w:val="602"/>
        </w:trPr>
        <w:tc>
          <w:tcPr>
            <w:tcW w:w="1500" w:type="dxa"/>
            <w:vAlign w:val="bottom"/>
          </w:tcPr>
          <w:p>
            <w:pPr>
              <w:jc w:val="center"/>
              <w:ind w:right="494"/>
              <w:spacing w:after="0"/>
              <w:rPr>
                <w:sz w:val="20"/>
                <w:szCs w:val="20"/>
                <w:color w:val="auto"/>
              </w:rPr>
            </w:pPr>
            <w:r>
              <w:rPr>
                <w:rFonts w:ascii="Arial" w:cs="Arial" w:eastAsia="Arial" w:hAnsi="Arial"/>
                <w:sz w:val="33"/>
                <w:szCs w:val="33"/>
                <w:color w:val="auto"/>
              </w:rPr>
              <w:t>(1.0)</w:t>
            </w:r>
          </w:p>
        </w:tc>
        <w:tc>
          <w:tcPr>
            <w:tcW w:w="2220" w:type="dxa"/>
            <w:vAlign w:val="bottom"/>
          </w:tcPr>
          <w:p>
            <w:pPr>
              <w:jc w:val="center"/>
              <w:spacing w:after="0"/>
              <w:rPr>
                <w:sz w:val="20"/>
                <w:szCs w:val="20"/>
                <w:color w:val="auto"/>
              </w:rPr>
            </w:pPr>
            <w:r>
              <w:rPr>
                <w:rFonts w:ascii="Arial" w:cs="Arial" w:eastAsia="Arial" w:hAnsi="Arial"/>
                <w:sz w:val="33"/>
                <w:szCs w:val="33"/>
                <w:color w:val="auto"/>
              </w:rPr>
              <w:t>(3.9)</w:t>
            </w:r>
          </w:p>
        </w:tc>
        <w:tc>
          <w:tcPr>
            <w:tcW w:w="1360" w:type="dxa"/>
            <w:vAlign w:val="bottom"/>
          </w:tcPr>
          <w:p>
            <w:pPr>
              <w:jc w:val="center"/>
              <w:ind w:left="574"/>
              <w:spacing w:after="0"/>
              <w:rPr>
                <w:sz w:val="20"/>
                <w:szCs w:val="20"/>
                <w:color w:val="auto"/>
              </w:rPr>
            </w:pPr>
            <w:r>
              <w:rPr>
                <w:rFonts w:ascii="Arial" w:cs="Arial" w:eastAsia="Arial" w:hAnsi="Arial"/>
                <w:sz w:val="33"/>
                <w:szCs w:val="33"/>
                <w:color w:val="auto"/>
              </w:rPr>
              <w:t>1.2</w:t>
            </w:r>
          </w:p>
        </w:tc>
      </w:tr>
      <w:tr>
        <w:trPr>
          <w:trHeight w:val="810"/>
        </w:trPr>
        <w:tc>
          <w:tcPr>
            <w:tcW w:w="1500" w:type="dxa"/>
            <w:vAlign w:val="bottom"/>
          </w:tcPr>
          <w:p>
            <w:pPr>
              <w:jc w:val="center"/>
              <w:ind w:right="494"/>
              <w:spacing w:after="0"/>
              <w:rPr>
                <w:sz w:val="20"/>
                <w:szCs w:val="20"/>
                <w:color w:val="auto"/>
              </w:rPr>
            </w:pPr>
            <w:r>
              <w:rPr>
                <w:rFonts w:ascii="Arial" w:cs="Arial" w:eastAsia="Arial" w:hAnsi="Arial"/>
                <w:sz w:val="33"/>
                <w:szCs w:val="33"/>
                <w:color w:val="auto"/>
              </w:rPr>
              <w:t>(0.9)</w:t>
            </w:r>
          </w:p>
        </w:tc>
        <w:tc>
          <w:tcPr>
            <w:tcW w:w="2220" w:type="dxa"/>
            <w:vAlign w:val="bottom"/>
          </w:tcPr>
          <w:p>
            <w:pPr>
              <w:jc w:val="center"/>
              <w:spacing w:after="0"/>
              <w:rPr>
                <w:sz w:val="20"/>
                <w:szCs w:val="20"/>
                <w:color w:val="auto"/>
              </w:rPr>
            </w:pPr>
            <w:r>
              <w:rPr>
                <w:rFonts w:ascii="Arial" w:cs="Arial" w:eastAsia="Arial" w:hAnsi="Arial"/>
                <w:sz w:val="33"/>
                <w:szCs w:val="33"/>
                <w:color w:val="auto"/>
              </w:rPr>
              <w:t>(3.5)</w:t>
            </w:r>
          </w:p>
        </w:tc>
        <w:tc>
          <w:tcPr>
            <w:tcW w:w="1360" w:type="dxa"/>
            <w:vAlign w:val="bottom"/>
          </w:tcPr>
          <w:p>
            <w:pPr>
              <w:jc w:val="center"/>
              <w:ind w:left="574"/>
              <w:spacing w:after="0"/>
              <w:rPr>
                <w:sz w:val="20"/>
                <w:szCs w:val="20"/>
                <w:color w:val="auto"/>
              </w:rPr>
            </w:pPr>
            <w:r>
              <w:rPr>
                <w:rFonts w:ascii="Arial" w:cs="Arial" w:eastAsia="Arial" w:hAnsi="Arial"/>
                <w:sz w:val="33"/>
                <w:szCs w:val="33"/>
                <w:color w:val="auto"/>
              </w:rPr>
              <w:t>0.9</w:t>
            </w:r>
          </w:p>
        </w:tc>
      </w:tr>
      <w:tr>
        <w:trPr>
          <w:trHeight w:val="810"/>
        </w:trPr>
        <w:tc>
          <w:tcPr>
            <w:tcW w:w="1500" w:type="dxa"/>
            <w:vAlign w:val="bottom"/>
          </w:tcPr>
          <w:p>
            <w:pPr>
              <w:jc w:val="center"/>
              <w:ind w:right="474"/>
              <w:spacing w:after="0"/>
              <w:rPr>
                <w:sz w:val="20"/>
                <w:szCs w:val="20"/>
                <w:color w:val="auto"/>
              </w:rPr>
            </w:pPr>
            <w:r>
              <w:rPr>
                <w:rFonts w:ascii="Arial" w:cs="Arial" w:eastAsia="Arial" w:hAnsi="Arial"/>
                <w:sz w:val="33"/>
                <w:szCs w:val="33"/>
                <w:color w:val="auto"/>
                <w:w w:val="99"/>
              </w:rPr>
              <w:t>(2.20)</w:t>
            </w:r>
          </w:p>
        </w:tc>
        <w:tc>
          <w:tcPr>
            <w:tcW w:w="2220" w:type="dxa"/>
            <w:vAlign w:val="bottom"/>
          </w:tcPr>
          <w:p>
            <w:pPr>
              <w:jc w:val="center"/>
              <w:spacing w:after="0"/>
              <w:rPr>
                <w:sz w:val="20"/>
                <w:szCs w:val="20"/>
                <w:color w:val="auto"/>
              </w:rPr>
            </w:pPr>
            <w:r>
              <w:rPr>
                <w:rFonts w:ascii="Arial" w:cs="Arial" w:eastAsia="Arial" w:hAnsi="Arial"/>
                <w:sz w:val="33"/>
                <w:szCs w:val="33"/>
                <w:color w:val="auto"/>
                <w:w w:val="99"/>
              </w:rPr>
              <w:t>(8.53)</w:t>
            </w:r>
          </w:p>
        </w:tc>
        <w:tc>
          <w:tcPr>
            <w:tcW w:w="1360" w:type="dxa"/>
            <w:vAlign w:val="bottom"/>
          </w:tcPr>
          <w:p>
            <w:pPr>
              <w:jc w:val="center"/>
              <w:ind w:left="554"/>
              <w:spacing w:after="0"/>
              <w:rPr>
                <w:sz w:val="20"/>
                <w:szCs w:val="20"/>
                <w:color w:val="auto"/>
              </w:rPr>
            </w:pPr>
            <w:r>
              <w:rPr>
                <w:rFonts w:ascii="Arial" w:cs="Arial" w:eastAsia="Arial" w:hAnsi="Arial"/>
                <w:sz w:val="33"/>
                <w:szCs w:val="33"/>
                <w:color w:val="auto"/>
                <w:w w:val="99"/>
              </w:rPr>
              <w:t>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400"/>
        </w:trPr>
        <w:tc>
          <w:tcPr>
            <w:tcW w:w="1420" w:type="dxa"/>
            <w:vAlign w:val="bottom"/>
          </w:tcPr>
          <w:p>
            <w:pPr>
              <w:jc w:val="right"/>
              <w:ind w:right="574"/>
              <w:spacing w:after="0"/>
              <w:rPr>
                <w:sz w:val="20"/>
                <w:szCs w:val="20"/>
                <w:color w:val="auto"/>
              </w:rPr>
            </w:pPr>
            <w:r>
              <w:rPr>
                <w:rFonts w:ascii="Arial" w:cs="Arial" w:eastAsia="Arial" w:hAnsi="Arial"/>
                <w:sz w:val="33"/>
                <w:szCs w:val="33"/>
                <w:color w:val="auto"/>
                <w:w w:val="97"/>
              </w:rPr>
              <w:t>(0.6)</w:t>
            </w:r>
          </w:p>
        </w:tc>
        <w:tc>
          <w:tcPr>
            <w:tcW w:w="2220" w:type="dxa"/>
            <w:vAlign w:val="bottom"/>
          </w:tcPr>
          <w:p>
            <w:pPr>
              <w:jc w:val="right"/>
              <w:ind w:right="654"/>
              <w:spacing w:after="0"/>
              <w:rPr>
                <w:sz w:val="20"/>
                <w:szCs w:val="20"/>
                <w:color w:val="auto"/>
              </w:rPr>
            </w:pPr>
            <w:r>
              <w:rPr>
                <w:rFonts w:ascii="Arial" w:cs="Arial" w:eastAsia="Arial" w:hAnsi="Arial"/>
                <w:sz w:val="33"/>
                <w:szCs w:val="33"/>
                <w:color w:val="auto"/>
              </w:rPr>
              <w:t>(1.0)</w:t>
            </w:r>
          </w:p>
        </w:tc>
        <w:tc>
          <w:tcPr>
            <w:tcW w:w="1280" w:type="dxa"/>
            <w:vAlign w:val="bottom"/>
          </w:tcPr>
          <w:p>
            <w:pPr>
              <w:jc w:val="right"/>
              <w:spacing w:after="0"/>
              <w:rPr>
                <w:sz w:val="20"/>
                <w:szCs w:val="20"/>
                <w:color w:val="auto"/>
              </w:rPr>
            </w:pPr>
            <w:r>
              <w:rPr>
                <w:rFonts w:ascii="Arial" w:cs="Arial" w:eastAsia="Arial" w:hAnsi="Arial"/>
                <w:sz w:val="33"/>
                <w:szCs w:val="33"/>
                <w:color w:val="auto"/>
              </w:rPr>
              <w:t>1.7</w:t>
            </w:r>
          </w:p>
        </w:tc>
      </w:tr>
      <w:tr>
        <w:trPr>
          <w:trHeight w:val="553"/>
        </w:trPr>
        <w:tc>
          <w:tcPr>
            <w:tcW w:w="1420" w:type="dxa"/>
            <w:vAlign w:val="bottom"/>
          </w:tcPr>
          <w:p>
            <w:pPr>
              <w:jc w:val="right"/>
              <w:ind w:right="674"/>
              <w:spacing w:after="0"/>
              <w:rPr>
                <w:sz w:val="20"/>
                <w:szCs w:val="20"/>
                <w:color w:val="auto"/>
              </w:rPr>
            </w:pPr>
            <w:r>
              <w:rPr>
                <w:rFonts w:ascii="Arial" w:cs="Arial" w:eastAsia="Arial" w:hAnsi="Arial"/>
                <w:sz w:val="33"/>
                <w:szCs w:val="33"/>
                <w:color w:val="auto"/>
              </w:rPr>
              <w:t>2.0</w:t>
            </w:r>
          </w:p>
        </w:tc>
        <w:tc>
          <w:tcPr>
            <w:tcW w:w="2220" w:type="dxa"/>
            <w:vAlign w:val="bottom"/>
          </w:tcPr>
          <w:p>
            <w:pPr>
              <w:jc w:val="right"/>
              <w:ind w:right="654"/>
              <w:spacing w:after="0"/>
              <w:rPr>
                <w:sz w:val="20"/>
                <w:szCs w:val="20"/>
                <w:color w:val="auto"/>
              </w:rPr>
            </w:pPr>
            <w:r>
              <w:rPr>
                <w:rFonts w:ascii="Arial" w:cs="Arial" w:eastAsia="Arial" w:hAnsi="Arial"/>
                <w:sz w:val="33"/>
                <w:szCs w:val="33"/>
                <w:color w:val="auto"/>
              </w:rPr>
              <w:t>(2.9)</w:t>
            </w:r>
          </w:p>
        </w:tc>
        <w:tc>
          <w:tcPr>
            <w:tcW w:w="1280" w:type="dxa"/>
            <w:vAlign w:val="bottom"/>
          </w:tcPr>
          <w:p>
            <w:pPr>
              <w:jc w:val="right"/>
              <w:spacing w:after="0"/>
              <w:rPr>
                <w:sz w:val="20"/>
                <w:szCs w:val="20"/>
                <w:color w:val="auto"/>
              </w:rPr>
            </w:pPr>
            <w:r>
              <w:rPr>
                <w:rFonts w:ascii="Arial" w:cs="Arial" w:eastAsia="Arial" w:hAnsi="Arial"/>
                <w:sz w:val="33"/>
                <w:szCs w:val="33"/>
                <w:color w:val="auto"/>
              </w:rPr>
              <w:t>1.0</w:t>
            </w:r>
          </w:p>
        </w:tc>
      </w:tr>
    </w:tbl>
    <w:p>
      <w:pPr>
        <w:spacing w:after="0" w:line="200" w:lineRule="exact"/>
        <w:rPr>
          <w:sz w:val="20"/>
          <w:szCs w:val="20"/>
          <w:color w:val="auto"/>
        </w:rPr>
      </w:pPr>
    </w:p>
    <w:p>
      <w:pPr>
        <w:sectPr>
          <w:pgSz w:w="11900" w:h="16838" w:orient="portrait"/>
          <w:cols w:equalWidth="0" w:num="2">
            <w:col w:w="4140" w:space="720"/>
            <w:col w:w="5920"/>
          </w:cols>
          <w:pgMar w:left="400" w:top="579" w:right="71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10640"/>
        <w:spacing w:after="0"/>
        <w:rPr>
          <w:sz w:val="20"/>
          <w:szCs w:val="20"/>
          <w:color w:val="auto"/>
        </w:rPr>
      </w:pPr>
      <w:r>
        <w:rPr>
          <w:rFonts w:ascii="Arial" w:cs="Arial" w:eastAsia="Arial" w:hAnsi="Arial"/>
          <w:sz w:val="25"/>
          <w:szCs w:val="25"/>
          <w:b w:val="1"/>
          <w:bCs w:val="1"/>
          <w:color w:val="auto"/>
        </w:rPr>
        <w:t>2</w:t>
      </w:r>
    </w:p>
    <w:p>
      <w:pPr>
        <w:sectPr>
          <w:pgSz w:w="11900" w:h="16838" w:orient="portrait"/>
          <w:cols w:equalWidth="0" w:num="1">
            <w:col w:w="10780"/>
          </w:cols>
          <w:pgMar w:left="400" w:top="579" w:right="71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Operating Income Walk to EBIT- Adj.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393"/>
        </w:trPr>
        <w:tc>
          <w:tcPr>
            <w:tcW w:w="6920" w:type="dxa"/>
            <w:vAlign w:val="bottom"/>
          </w:tcPr>
          <w:p>
            <w:pPr>
              <w:spacing w:after="0"/>
              <w:rPr>
                <w:sz w:val="24"/>
                <w:szCs w:val="24"/>
                <w:color w:val="auto"/>
              </w:rPr>
            </w:pPr>
          </w:p>
        </w:tc>
        <w:tc>
          <w:tcPr>
            <w:tcW w:w="1400" w:type="dxa"/>
            <w:vAlign w:val="bottom"/>
          </w:tcPr>
          <w:p>
            <w:pPr>
              <w:jc w:val="center"/>
              <w:ind w:left="482"/>
              <w:spacing w:after="0"/>
              <w:rPr>
                <w:sz w:val="20"/>
                <w:szCs w:val="20"/>
                <w:color w:val="auto"/>
              </w:rPr>
            </w:pPr>
            <w:r>
              <w:rPr>
                <w:rFonts w:ascii="Arial" w:cs="Arial" w:eastAsia="Arial" w:hAnsi="Arial"/>
                <w:sz w:val="33"/>
                <w:szCs w:val="33"/>
                <w:b w:val="1"/>
                <w:bCs w:val="1"/>
                <w:color w:val="auto"/>
                <w:w w:val="99"/>
              </w:rPr>
              <w:t>Q1</w:t>
            </w:r>
          </w:p>
        </w:tc>
      </w:tr>
      <w:tr>
        <w:trPr>
          <w:trHeight w:val="442"/>
        </w:trPr>
        <w:tc>
          <w:tcPr>
            <w:tcW w:w="6920" w:type="dxa"/>
            <w:vAlign w:val="bottom"/>
          </w:tcPr>
          <w:p>
            <w:pPr>
              <w:spacing w:after="0"/>
              <w:rPr>
                <w:sz w:val="20"/>
                <w:szCs w:val="20"/>
                <w:color w:val="auto"/>
              </w:rPr>
            </w:pPr>
            <w:r>
              <w:rPr>
                <w:rFonts w:ascii="Arial" w:cs="Arial" w:eastAsia="Arial" w:hAnsi="Arial"/>
                <w:sz w:val="29"/>
                <w:szCs w:val="29"/>
                <w:b w:val="1"/>
                <w:bCs w:val="1"/>
                <w:color w:val="auto"/>
              </w:rPr>
              <w:t>($ B)</w:t>
            </w:r>
          </w:p>
        </w:tc>
        <w:tc>
          <w:tcPr>
            <w:tcW w:w="1400" w:type="dxa"/>
            <w:vAlign w:val="bottom"/>
          </w:tcPr>
          <w:p>
            <w:pPr>
              <w:jc w:val="center"/>
              <w:ind w:left="502"/>
              <w:spacing w:after="0"/>
              <w:rPr>
                <w:sz w:val="20"/>
                <w:szCs w:val="20"/>
                <w:color w:val="auto"/>
              </w:rPr>
            </w:pPr>
            <w:r>
              <w:rPr>
                <w:rFonts w:ascii="Arial" w:cs="Arial" w:eastAsia="Arial" w:hAnsi="Arial"/>
                <w:sz w:val="33"/>
                <w:szCs w:val="33"/>
                <w:b w:val="1"/>
                <w:bCs w:val="1"/>
                <w:color w:val="auto"/>
              </w:rPr>
              <w:t>2010</w:t>
            </w:r>
          </w:p>
        </w:tc>
      </w:tr>
      <w:tr>
        <w:trPr>
          <w:trHeight w:val="626"/>
        </w:trPr>
        <w:tc>
          <w:tcPr>
            <w:tcW w:w="6920" w:type="dxa"/>
            <w:vAlign w:val="bottom"/>
          </w:tcPr>
          <w:p>
            <w:pPr>
              <w:spacing w:after="0"/>
              <w:rPr>
                <w:sz w:val="20"/>
                <w:szCs w:val="20"/>
                <w:color w:val="auto"/>
              </w:rPr>
            </w:pPr>
            <w:r>
              <w:rPr>
                <w:rFonts w:ascii="Arial" w:cs="Arial" w:eastAsia="Arial" w:hAnsi="Arial"/>
                <w:sz w:val="33"/>
                <w:szCs w:val="33"/>
                <w:b w:val="1"/>
                <w:bCs w:val="1"/>
                <w:color w:val="auto"/>
              </w:rPr>
              <w:t>Operating Income</w:t>
            </w:r>
          </w:p>
        </w:tc>
        <w:tc>
          <w:tcPr>
            <w:tcW w:w="1400" w:type="dxa"/>
            <w:vAlign w:val="bottom"/>
          </w:tcPr>
          <w:p>
            <w:pPr>
              <w:jc w:val="center"/>
              <w:ind w:left="482"/>
              <w:spacing w:after="0"/>
              <w:rPr>
                <w:sz w:val="20"/>
                <w:szCs w:val="20"/>
                <w:color w:val="auto"/>
              </w:rPr>
            </w:pPr>
            <w:r>
              <w:rPr>
                <w:rFonts w:ascii="Arial" w:cs="Arial" w:eastAsia="Arial" w:hAnsi="Arial"/>
                <w:sz w:val="33"/>
                <w:szCs w:val="33"/>
                <w:b w:val="1"/>
                <w:bCs w:val="1"/>
                <w:color w:val="auto"/>
              </w:rPr>
              <w:t>1.2</w:t>
            </w:r>
          </w:p>
        </w:tc>
      </w:tr>
      <w:tr>
        <w:trPr>
          <w:trHeight w:val="725"/>
        </w:trPr>
        <w:tc>
          <w:tcPr>
            <w:tcW w:w="6920" w:type="dxa"/>
            <w:vAlign w:val="bottom"/>
          </w:tcPr>
          <w:p>
            <w:pPr>
              <w:ind w:left="180"/>
              <w:spacing w:after="0"/>
              <w:rPr>
                <w:sz w:val="20"/>
                <w:szCs w:val="20"/>
                <w:color w:val="auto"/>
              </w:rPr>
            </w:pPr>
            <w:r>
              <w:rPr>
                <w:rFonts w:ascii="Arial" w:cs="Arial" w:eastAsia="Arial" w:hAnsi="Arial"/>
                <w:sz w:val="29"/>
                <w:szCs w:val="29"/>
                <w:color w:val="auto"/>
              </w:rPr>
              <w:t>Equity Income</w:t>
            </w:r>
          </w:p>
        </w:tc>
        <w:tc>
          <w:tcPr>
            <w:tcW w:w="1400" w:type="dxa"/>
            <w:vAlign w:val="bottom"/>
          </w:tcPr>
          <w:p>
            <w:pPr>
              <w:jc w:val="center"/>
              <w:ind w:left="482"/>
              <w:spacing w:after="0"/>
              <w:rPr>
                <w:sz w:val="20"/>
                <w:szCs w:val="20"/>
                <w:color w:val="auto"/>
              </w:rPr>
            </w:pPr>
            <w:r>
              <w:rPr>
                <w:rFonts w:ascii="Arial" w:cs="Arial" w:eastAsia="Arial" w:hAnsi="Arial"/>
                <w:sz w:val="29"/>
                <w:szCs w:val="29"/>
                <w:color w:val="auto"/>
                <w:w w:val="99"/>
              </w:rPr>
              <w:t>0.4</w:t>
            </w:r>
          </w:p>
        </w:tc>
      </w:tr>
      <w:tr>
        <w:trPr>
          <w:trHeight w:val="688"/>
        </w:trPr>
        <w:tc>
          <w:tcPr>
            <w:tcW w:w="6920" w:type="dxa"/>
            <w:vAlign w:val="bottom"/>
          </w:tcPr>
          <w:p>
            <w:pPr>
              <w:ind w:left="180"/>
              <w:spacing w:after="0"/>
              <w:rPr>
                <w:sz w:val="20"/>
                <w:szCs w:val="20"/>
                <w:color w:val="auto"/>
              </w:rPr>
            </w:pPr>
            <w:r>
              <w:rPr>
                <w:rFonts w:ascii="Arial" w:cs="Arial" w:eastAsia="Arial" w:hAnsi="Arial"/>
                <w:sz w:val="29"/>
                <w:szCs w:val="29"/>
                <w:color w:val="auto"/>
              </w:rPr>
              <w:t>Non-Controlling Interests</w:t>
            </w:r>
          </w:p>
        </w:tc>
        <w:tc>
          <w:tcPr>
            <w:tcW w:w="1400" w:type="dxa"/>
            <w:vAlign w:val="bottom"/>
          </w:tcPr>
          <w:p>
            <w:pPr>
              <w:jc w:val="center"/>
              <w:ind w:left="482"/>
              <w:spacing w:after="0"/>
              <w:rPr>
                <w:sz w:val="20"/>
                <w:szCs w:val="20"/>
                <w:color w:val="auto"/>
              </w:rPr>
            </w:pPr>
            <w:r>
              <w:rPr>
                <w:rFonts w:ascii="Arial" w:cs="Arial" w:eastAsia="Arial" w:hAnsi="Arial"/>
                <w:sz w:val="29"/>
                <w:szCs w:val="29"/>
                <w:color w:val="auto"/>
              </w:rPr>
              <w:t>(0.1)</w:t>
            </w:r>
          </w:p>
        </w:tc>
      </w:tr>
      <w:tr>
        <w:trPr>
          <w:trHeight w:val="700"/>
        </w:trPr>
        <w:tc>
          <w:tcPr>
            <w:tcW w:w="6920" w:type="dxa"/>
            <w:vAlign w:val="bottom"/>
          </w:tcPr>
          <w:p>
            <w:pPr>
              <w:ind w:left="180"/>
              <w:spacing w:after="0"/>
              <w:rPr>
                <w:sz w:val="20"/>
                <w:szCs w:val="20"/>
                <w:color w:val="auto"/>
              </w:rPr>
            </w:pPr>
            <w:r>
              <w:rPr>
                <w:rFonts w:ascii="Arial" w:cs="Arial" w:eastAsia="Arial" w:hAnsi="Arial"/>
                <w:sz w:val="29"/>
                <w:szCs w:val="29"/>
                <w:color w:val="auto"/>
              </w:rPr>
              <w:t>Non-Operating Income</w:t>
            </w:r>
          </w:p>
        </w:tc>
        <w:tc>
          <w:tcPr>
            <w:tcW w:w="1400" w:type="dxa"/>
            <w:vAlign w:val="bottom"/>
          </w:tcPr>
          <w:p>
            <w:pPr>
              <w:jc w:val="center"/>
              <w:ind w:left="482"/>
              <w:spacing w:after="0"/>
              <w:rPr>
                <w:sz w:val="20"/>
                <w:szCs w:val="20"/>
                <w:color w:val="auto"/>
              </w:rPr>
            </w:pPr>
            <w:r>
              <w:rPr>
                <w:rFonts w:ascii="Arial" w:cs="Arial" w:eastAsia="Arial" w:hAnsi="Arial"/>
                <w:sz w:val="29"/>
                <w:szCs w:val="29"/>
                <w:color w:val="auto"/>
                <w:w w:val="99"/>
              </w:rPr>
              <w:t>0.3</w:t>
            </w:r>
          </w:p>
        </w:tc>
      </w:tr>
      <w:tr>
        <w:trPr>
          <w:trHeight w:val="736"/>
        </w:trPr>
        <w:tc>
          <w:tcPr>
            <w:tcW w:w="6920" w:type="dxa"/>
            <w:vAlign w:val="bottom"/>
          </w:tcPr>
          <w:p>
            <w:pPr>
              <w:spacing w:after="0"/>
              <w:rPr>
                <w:sz w:val="20"/>
                <w:szCs w:val="20"/>
                <w:color w:val="auto"/>
              </w:rPr>
            </w:pPr>
            <w:r>
              <w:rPr>
                <w:rFonts w:ascii="Arial" w:cs="Arial" w:eastAsia="Arial" w:hAnsi="Arial"/>
                <w:sz w:val="33"/>
                <w:szCs w:val="33"/>
                <w:b w:val="1"/>
                <w:bCs w:val="1"/>
                <w:color w:val="auto"/>
              </w:rPr>
              <w:t>Earnings Before Interest &amp; Taxes (EBIT)</w:t>
            </w:r>
          </w:p>
        </w:tc>
        <w:tc>
          <w:tcPr>
            <w:tcW w:w="1400" w:type="dxa"/>
            <w:vAlign w:val="bottom"/>
          </w:tcPr>
          <w:p>
            <w:pPr>
              <w:jc w:val="center"/>
              <w:ind w:left="482"/>
              <w:spacing w:after="0"/>
              <w:rPr>
                <w:sz w:val="20"/>
                <w:szCs w:val="20"/>
                <w:color w:val="auto"/>
              </w:rPr>
            </w:pPr>
            <w:r>
              <w:rPr>
                <w:rFonts w:ascii="Arial" w:cs="Arial" w:eastAsia="Arial" w:hAnsi="Arial"/>
                <w:sz w:val="33"/>
                <w:szCs w:val="33"/>
                <w:b w:val="1"/>
                <w:bCs w:val="1"/>
                <w:color w:val="auto"/>
              </w:rPr>
              <w:t>1.8</w:t>
            </w:r>
          </w:p>
        </w:tc>
      </w:tr>
      <w:tr>
        <w:trPr>
          <w:trHeight w:val="712"/>
        </w:trPr>
        <w:tc>
          <w:tcPr>
            <w:tcW w:w="6920" w:type="dxa"/>
            <w:vAlign w:val="bottom"/>
          </w:tcPr>
          <w:p>
            <w:pPr>
              <w:ind w:left="260"/>
              <w:spacing w:after="0"/>
              <w:rPr>
                <w:sz w:val="20"/>
                <w:szCs w:val="20"/>
                <w:color w:val="auto"/>
              </w:rPr>
            </w:pPr>
            <w:r>
              <w:rPr>
                <w:rFonts w:ascii="Arial" w:cs="Arial" w:eastAsia="Arial" w:hAnsi="Arial"/>
                <w:sz w:val="29"/>
                <w:szCs w:val="29"/>
                <w:color w:val="auto"/>
              </w:rPr>
              <w:t>Less Adjustments</w:t>
            </w:r>
          </w:p>
        </w:tc>
        <w:tc>
          <w:tcPr>
            <w:tcW w:w="1400" w:type="dxa"/>
            <w:vAlign w:val="bottom"/>
          </w:tcPr>
          <w:p>
            <w:pPr>
              <w:jc w:val="center"/>
              <w:ind w:left="482"/>
              <w:spacing w:after="0"/>
              <w:rPr>
                <w:sz w:val="20"/>
                <w:szCs w:val="20"/>
                <w:color w:val="auto"/>
              </w:rPr>
            </w:pPr>
            <w:r>
              <w:rPr>
                <w:rFonts w:ascii="Arial" w:cs="Arial" w:eastAsia="Arial" w:hAnsi="Arial"/>
                <w:sz w:val="29"/>
                <w:szCs w:val="29"/>
                <w:color w:val="auto"/>
                <w:w w:val="99"/>
              </w:rPr>
              <w:t>0.1</w:t>
            </w:r>
          </w:p>
        </w:tc>
      </w:tr>
      <w:tr>
        <w:trPr>
          <w:trHeight w:val="736"/>
        </w:trPr>
        <w:tc>
          <w:tcPr>
            <w:tcW w:w="6920" w:type="dxa"/>
            <w:vAlign w:val="bottom"/>
          </w:tcPr>
          <w:p>
            <w:pPr>
              <w:spacing w:after="0"/>
              <w:rPr>
                <w:sz w:val="20"/>
                <w:szCs w:val="20"/>
                <w:color w:val="auto"/>
              </w:rPr>
            </w:pPr>
            <w:r>
              <w:rPr>
                <w:rFonts w:ascii="Arial" w:cs="Arial" w:eastAsia="Arial" w:hAnsi="Arial"/>
                <w:sz w:val="33"/>
                <w:szCs w:val="33"/>
                <w:b w:val="1"/>
                <w:bCs w:val="1"/>
                <w:color w:val="auto"/>
              </w:rPr>
              <w:t>EBIT- Adj.</w:t>
            </w:r>
          </w:p>
        </w:tc>
        <w:tc>
          <w:tcPr>
            <w:tcW w:w="1400" w:type="dxa"/>
            <w:vAlign w:val="bottom"/>
          </w:tcPr>
          <w:p>
            <w:pPr>
              <w:jc w:val="center"/>
              <w:ind w:left="482"/>
              <w:spacing w:after="0"/>
              <w:rPr>
                <w:sz w:val="20"/>
                <w:szCs w:val="20"/>
                <w:color w:val="auto"/>
              </w:rPr>
            </w:pPr>
            <w:r>
              <w:rPr>
                <w:rFonts w:ascii="Arial" w:cs="Arial" w:eastAsia="Arial" w:hAnsi="Arial"/>
                <w:sz w:val="33"/>
                <w:szCs w:val="33"/>
                <w:b w:val="1"/>
                <w:bCs w:val="1"/>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3</w:t>
      </w:r>
    </w:p>
    <w:p>
      <w:pPr>
        <w:sectPr>
          <w:pgSz w:w="11900" w:h="16838" w:orient="portrait"/>
          <w:cols w:equalWidth="0" w:num="1">
            <w:col w:w="9740"/>
          </w:cols>
          <w:pgMar w:left="1440" w:top="579" w:right="719" w:bottom="1440" w:gutter="0" w:footer="0" w:header="0"/>
        </w:sectPr>
      </w:pPr>
    </w:p>
    <w:bookmarkStart w:id="17" w:name="page18"/>
    <w:bookmarkEnd w:id="17"/>
    <w:p>
      <w:pPr>
        <w:ind w:left="10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EBIT &amp; EBIT - Adj.</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6480"/>
        <w:spacing w:after="0"/>
        <w:rPr>
          <w:sz w:val="20"/>
          <w:szCs w:val="20"/>
          <w:color w:val="auto"/>
        </w:rPr>
      </w:pPr>
      <w:r>
        <w:rPr>
          <w:rFonts w:ascii="Arial" w:cs="Arial" w:eastAsia="Arial" w:hAnsi="Arial"/>
          <w:sz w:val="23"/>
          <w:szCs w:val="23"/>
          <w:color w:val="auto"/>
        </w:rPr>
        <w:t>Gain on</w:t>
      </w:r>
    </w:p>
    <w:p>
      <w:pPr>
        <w:spacing w:after="0" w:line="18" w:lineRule="exact"/>
        <w:rPr>
          <w:sz w:val="20"/>
          <w:szCs w:val="20"/>
          <w:color w:val="auto"/>
        </w:rPr>
      </w:pPr>
    </w:p>
    <w:p>
      <w:pPr>
        <w:jc w:val="center"/>
        <w:ind w:left="6480"/>
        <w:spacing w:after="0"/>
        <w:rPr>
          <w:sz w:val="20"/>
          <w:szCs w:val="20"/>
          <w:color w:val="auto"/>
        </w:rPr>
      </w:pPr>
      <w:r>
        <w:rPr>
          <w:rFonts w:ascii="Arial" w:cs="Arial" w:eastAsia="Arial" w:hAnsi="Arial"/>
          <w:sz w:val="23"/>
          <w:szCs w:val="23"/>
          <w:color w:val="auto"/>
        </w:rPr>
        <w:t>Saab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Arial" w:cs="Arial" w:eastAsia="Arial" w:hAnsi="Arial"/>
          <w:sz w:val="26"/>
          <w:szCs w:val="26"/>
          <w:color w:val="auto"/>
        </w:rPr>
        <w:t>* Included in Earnings Before Interest and Taxes (EBIT)</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4</w:t>
      </w:r>
    </w:p>
    <w:p>
      <w:pPr>
        <w:sectPr>
          <w:pgSz w:w="11900" w:h="16838" w:orient="portrait"/>
          <w:cols w:equalWidth="0" w:num="1">
            <w:col w:w="10780"/>
          </w:cols>
          <w:pgMar w:left="600" w:top="542" w:right="519" w:bottom="1440" w:gutter="0" w:footer="0" w:header="0"/>
        </w:sectPr>
      </w:pPr>
    </w:p>
    <w:bookmarkStart w:id="18" w:name="page19"/>
    <w:bookmarkEnd w:id="18"/>
    <w:p>
      <w:pPr>
        <w:ind w:left="9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Global Deliveries</w:t>
      </w: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33"/>
          <w:szCs w:val="33"/>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060" w:type="dxa"/>
            <w:vAlign w:val="bottom"/>
          </w:tcPr>
          <w:p>
            <w:pPr>
              <w:spacing w:after="0"/>
              <w:rPr>
                <w:sz w:val="20"/>
                <w:szCs w:val="20"/>
                <w:color w:val="auto"/>
              </w:rPr>
            </w:pPr>
            <w:r>
              <w:rPr>
                <w:rFonts w:ascii="Arial" w:cs="Arial" w:eastAsia="Arial" w:hAnsi="Arial"/>
                <w:sz w:val="26"/>
                <w:szCs w:val="26"/>
                <w:b w:val="1"/>
                <w:bCs w:val="1"/>
                <w:color w:val="auto"/>
              </w:rPr>
              <w:t>Global Share</w:t>
            </w:r>
          </w:p>
        </w:tc>
        <w:tc>
          <w:tcPr>
            <w:tcW w:w="2220" w:type="dxa"/>
            <w:vAlign w:val="bottom"/>
          </w:tcPr>
          <w:p>
            <w:pPr>
              <w:jc w:val="right"/>
              <w:ind w:right="911"/>
              <w:spacing w:after="0"/>
              <w:rPr>
                <w:sz w:val="20"/>
                <w:szCs w:val="20"/>
                <w:color w:val="auto"/>
              </w:rPr>
            </w:pPr>
            <w:r>
              <w:rPr>
                <w:rFonts w:ascii="Arial" w:cs="Arial" w:eastAsia="Arial" w:hAnsi="Arial"/>
                <w:sz w:val="26"/>
                <w:szCs w:val="26"/>
                <w:b w:val="1"/>
                <w:bCs w:val="1"/>
                <w:color w:val="auto"/>
              </w:rPr>
              <w:t>11.8%</w:t>
            </w:r>
          </w:p>
        </w:tc>
        <w:tc>
          <w:tcPr>
            <w:tcW w:w="2800" w:type="dxa"/>
            <w:vAlign w:val="bottom"/>
          </w:tcPr>
          <w:p>
            <w:pPr>
              <w:jc w:val="right"/>
              <w:ind w:right="911"/>
              <w:spacing w:after="0"/>
              <w:rPr>
                <w:sz w:val="20"/>
                <w:szCs w:val="20"/>
                <w:color w:val="auto"/>
              </w:rPr>
            </w:pPr>
            <w:r>
              <w:rPr>
                <w:rFonts w:ascii="Arial" w:cs="Arial" w:eastAsia="Arial" w:hAnsi="Arial"/>
                <w:sz w:val="26"/>
                <w:szCs w:val="26"/>
                <w:b w:val="1"/>
                <w:bCs w:val="1"/>
                <w:color w:val="auto"/>
              </w:rPr>
              <w:t>11.5%</w:t>
            </w:r>
          </w:p>
        </w:tc>
        <w:tc>
          <w:tcPr>
            <w:tcW w:w="1760" w:type="dxa"/>
            <w:vAlign w:val="bottom"/>
          </w:tcPr>
          <w:p>
            <w:pPr>
              <w:jc w:val="right"/>
              <w:spacing w:after="0"/>
              <w:rPr>
                <w:sz w:val="20"/>
                <w:szCs w:val="20"/>
                <w:color w:val="auto"/>
              </w:rPr>
            </w:pPr>
            <w:r>
              <w:rPr>
                <w:rFonts w:ascii="Arial" w:cs="Arial" w:eastAsia="Arial" w:hAnsi="Arial"/>
                <w:sz w:val="26"/>
                <w:szCs w:val="26"/>
                <w:b w:val="1"/>
                <w:bCs w:val="1"/>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GM deliveries &amp; market share includes vehicles sold around the world under GM and JV brands and through GM branded distribution network</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5</w:t>
      </w:r>
    </w:p>
    <w:p>
      <w:pPr>
        <w:sectPr>
          <w:pgSz w:w="11900" w:h="16838" w:orient="portrait"/>
          <w:cols w:equalWidth="0" w:num="1">
            <w:col w:w="10680"/>
          </w:cols>
          <w:pgMar w:left="500" w:top="542" w:right="719" w:bottom="1440" w:gutter="0" w:footer="0" w:header="0"/>
        </w:sectPr>
      </w:pPr>
    </w:p>
    <w:bookmarkStart w:id="19" w:name="page20"/>
    <w:bookmarkEnd w:id="19"/>
    <w:p>
      <w:pPr>
        <w:ind w:left="106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GMNA Deliveries</w:t>
      </w:r>
    </w:p>
    <w:p>
      <w:pPr>
        <w:sectPr>
          <w:pgSz w:w="11900" w:h="16838" w:orient="portrait"/>
          <w:cols w:equalWidth="0" w:num="1">
            <w:col w:w="11100"/>
          </w:cols>
          <w:pgMar w:left="480" w:top="5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Arial" w:cs="Arial" w:eastAsia="Arial" w:hAnsi="Arial"/>
          <w:sz w:val="33"/>
          <w:szCs w:val="33"/>
          <w:b w:val="1"/>
          <w:bCs w:val="1"/>
          <w:color w:val="auto"/>
        </w:rPr>
        <w:t>(000’s)</w:t>
      </w:r>
    </w:p>
    <w:p>
      <w:pPr>
        <w:spacing w:after="0" w:line="112" w:lineRule="exact"/>
        <w:rPr>
          <w:sz w:val="20"/>
          <w:szCs w:val="20"/>
          <w:color w:val="auto"/>
        </w:rPr>
      </w:pPr>
    </w:p>
    <w:p>
      <w:pPr>
        <w:jc w:val="right"/>
        <w:ind w:right="1460"/>
        <w:spacing w:after="0"/>
        <w:rPr>
          <w:sz w:val="20"/>
          <w:szCs w:val="20"/>
          <w:color w:val="auto"/>
        </w:rPr>
      </w:pPr>
      <w:r>
        <w:rPr>
          <w:rFonts w:ascii="Arial" w:cs="Arial" w:eastAsia="Arial" w:hAnsi="Arial"/>
          <w:sz w:val="33"/>
          <w:szCs w:val="33"/>
          <w:b w:val="1"/>
          <w:bCs w:val="1"/>
          <w:color w:val="auto"/>
        </w:rPr>
        <w:t>690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637</w:t>
      </w:r>
    </w:p>
    <w:p>
      <w:pPr>
        <w:ind w:left="2780"/>
        <w:spacing w:after="0" w:line="230" w:lineRule="auto"/>
        <w:tabs>
          <w:tab w:leader="none" w:pos="3900" w:val="left"/>
        </w:tabs>
        <w:rPr>
          <w:sz w:val="20"/>
          <w:szCs w:val="20"/>
          <w:color w:val="auto"/>
        </w:rPr>
      </w:pPr>
      <w:r>
        <w:rPr>
          <w:rFonts w:ascii="Arial" w:cs="Arial" w:eastAsia="Arial" w:hAnsi="Arial"/>
          <w:sz w:val="33"/>
          <w:szCs w:val="33"/>
          <w:b w:val="1"/>
          <w:bCs w:val="1"/>
          <w:color w:val="auto"/>
        </w:rPr>
        <w:t>563</w:t>
      </w:r>
      <w:r>
        <w:rPr>
          <w:sz w:val="20"/>
          <w:szCs w:val="20"/>
          <w:color w:val="auto"/>
        </w:rPr>
        <w:tab/>
      </w:r>
      <w:r>
        <w:rPr>
          <w:rFonts w:ascii="Arial" w:cs="Arial" w:eastAsia="Arial" w:hAnsi="Arial"/>
          <w:sz w:val="23"/>
          <w:szCs w:val="23"/>
          <w:b w:val="1"/>
          <w:bCs w:val="1"/>
          <w:color w:val="auto"/>
        </w:rPr>
        <w:t>Discontinued</w:t>
      </w:r>
    </w:p>
    <w:p>
      <w:pPr>
        <w:spacing w:after="0" w:line="88" w:lineRule="exact"/>
        <w:rPr>
          <w:sz w:val="20"/>
          <w:szCs w:val="20"/>
          <w:color w:val="auto"/>
        </w:rPr>
      </w:pPr>
    </w:p>
    <w:p>
      <w:pPr>
        <w:ind w:left="4360"/>
        <w:spacing w:after="0"/>
        <w:rPr>
          <w:sz w:val="20"/>
          <w:szCs w:val="20"/>
          <w:color w:val="auto"/>
        </w:rPr>
      </w:pPr>
      <w:r>
        <w:rPr>
          <w:rFonts w:ascii="Arial" w:cs="Arial" w:eastAsia="Arial" w:hAnsi="Arial"/>
          <w:sz w:val="23"/>
          <w:szCs w:val="23"/>
          <w:b w:val="1"/>
          <w:bCs w:val="1"/>
          <w:color w:val="auto"/>
        </w:rPr>
        <w:t>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60"/>
        <w:spacing w:after="0"/>
        <w:rPr>
          <w:sz w:val="20"/>
          <w:szCs w:val="20"/>
          <w:color w:val="auto"/>
        </w:rPr>
      </w:pPr>
      <w:r>
        <w:rPr>
          <w:rFonts w:ascii="Arial" w:cs="Arial" w:eastAsia="Arial" w:hAnsi="Arial"/>
          <w:sz w:val="23"/>
          <w:szCs w:val="23"/>
          <w:b w:val="1"/>
          <w:bCs w:val="1"/>
          <w:color w:val="auto"/>
        </w:rPr>
        <w:t>Chevy, Buick,</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GMC, Cadillac</w:t>
      </w:r>
    </w:p>
    <w:p>
      <w:pPr>
        <w:spacing w:after="0" w:line="200" w:lineRule="exact"/>
        <w:rPr>
          <w:sz w:val="20"/>
          <w:szCs w:val="20"/>
          <w:color w:val="auto"/>
        </w:rPr>
      </w:pPr>
    </w:p>
    <w:p>
      <w:pPr>
        <w:sectPr>
          <w:pgSz w:w="11900" w:h="16838" w:orient="portrait"/>
          <w:cols w:equalWidth="0" w:num="2">
            <w:col w:w="4860" w:space="720"/>
            <w:col w:w="5520"/>
          </w:cols>
          <w:pgMar w:left="480" w:top="54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460" w:type="dxa"/>
            <w:vAlign w:val="bottom"/>
          </w:tcPr>
          <w:p>
            <w:pPr>
              <w:spacing w:after="0"/>
              <w:rPr>
                <w:sz w:val="20"/>
                <w:szCs w:val="20"/>
                <w:color w:val="auto"/>
              </w:rPr>
            </w:pPr>
            <w:r>
              <w:rPr>
                <w:rFonts w:ascii="Arial" w:cs="Arial" w:eastAsia="Arial" w:hAnsi="Arial"/>
                <w:sz w:val="26"/>
                <w:szCs w:val="26"/>
                <w:b w:val="1"/>
                <w:bCs w:val="1"/>
                <w:color w:val="auto"/>
              </w:rPr>
              <w:t>GMNA Share</w:t>
            </w:r>
          </w:p>
        </w:tc>
        <w:tc>
          <w:tcPr>
            <w:tcW w:w="2000" w:type="dxa"/>
            <w:vAlign w:val="bottom"/>
          </w:tcPr>
          <w:p>
            <w:pPr>
              <w:jc w:val="right"/>
              <w:ind w:right="891"/>
              <w:spacing w:after="0"/>
              <w:rPr>
                <w:sz w:val="20"/>
                <w:szCs w:val="20"/>
                <w:color w:val="auto"/>
              </w:rPr>
            </w:pPr>
            <w:r>
              <w:rPr>
                <w:rFonts w:ascii="Arial" w:cs="Arial" w:eastAsia="Arial" w:hAnsi="Arial"/>
                <w:sz w:val="26"/>
                <w:szCs w:val="26"/>
                <w:b w:val="1"/>
                <w:bCs w:val="1"/>
                <w:color w:val="auto"/>
              </w:rPr>
              <w:t>18.7%</w:t>
            </w:r>
          </w:p>
        </w:tc>
        <w:tc>
          <w:tcPr>
            <w:tcW w:w="2840" w:type="dxa"/>
            <w:vAlign w:val="bottom"/>
          </w:tcPr>
          <w:p>
            <w:pPr>
              <w:jc w:val="right"/>
              <w:ind w:right="951"/>
              <w:spacing w:after="0"/>
              <w:rPr>
                <w:sz w:val="20"/>
                <w:szCs w:val="20"/>
                <w:color w:val="auto"/>
              </w:rPr>
            </w:pPr>
            <w:r>
              <w:rPr>
                <w:rFonts w:ascii="Arial" w:cs="Arial" w:eastAsia="Arial" w:hAnsi="Arial"/>
                <w:sz w:val="26"/>
                <w:szCs w:val="26"/>
                <w:b w:val="1"/>
                <w:bCs w:val="1"/>
                <w:color w:val="auto"/>
              </w:rPr>
              <w:t>19.3%</w:t>
            </w:r>
          </w:p>
        </w:tc>
        <w:tc>
          <w:tcPr>
            <w:tcW w:w="1820" w:type="dxa"/>
            <w:vAlign w:val="bottom"/>
          </w:tcPr>
          <w:p>
            <w:pPr>
              <w:jc w:val="right"/>
              <w:spacing w:after="0"/>
              <w:rPr>
                <w:sz w:val="20"/>
                <w:szCs w:val="20"/>
                <w:color w:val="auto"/>
              </w:rPr>
            </w:pPr>
            <w:r>
              <w:rPr>
                <w:rFonts w:ascii="Arial" w:cs="Arial" w:eastAsia="Arial" w:hAnsi="Arial"/>
                <w:sz w:val="26"/>
                <w:szCs w:val="26"/>
                <w:b w:val="1"/>
                <w:bCs w:val="1"/>
                <w:color w:val="auto"/>
              </w:rPr>
              <w:t>17.8%</w:t>
            </w:r>
          </w:p>
        </w:tc>
      </w:tr>
      <w:tr>
        <w:trPr>
          <w:trHeight w:val="442"/>
        </w:trPr>
        <w:tc>
          <w:tcPr>
            <w:tcW w:w="2460" w:type="dxa"/>
            <w:vAlign w:val="bottom"/>
          </w:tcPr>
          <w:p>
            <w:pPr>
              <w:spacing w:after="0"/>
              <w:rPr>
                <w:sz w:val="20"/>
                <w:szCs w:val="20"/>
                <w:color w:val="auto"/>
              </w:rPr>
            </w:pPr>
            <w:r>
              <w:rPr>
                <w:rFonts w:ascii="Arial" w:cs="Arial" w:eastAsia="Arial" w:hAnsi="Arial"/>
                <w:sz w:val="26"/>
                <w:szCs w:val="26"/>
                <w:color w:val="auto"/>
              </w:rPr>
              <w:t>U.S. Share</w:t>
            </w:r>
          </w:p>
        </w:tc>
        <w:tc>
          <w:tcPr>
            <w:tcW w:w="2000" w:type="dxa"/>
            <w:vAlign w:val="bottom"/>
          </w:tcPr>
          <w:p>
            <w:pPr>
              <w:jc w:val="right"/>
              <w:ind w:right="911"/>
              <w:spacing w:after="0"/>
              <w:rPr>
                <w:sz w:val="20"/>
                <w:szCs w:val="20"/>
                <w:color w:val="auto"/>
              </w:rPr>
            </w:pPr>
            <w:r>
              <w:rPr>
                <w:rFonts w:ascii="Arial" w:cs="Arial" w:eastAsia="Arial" w:hAnsi="Arial"/>
                <w:sz w:val="26"/>
                <w:szCs w:val="26"/>
                <w:color w:val="auto"/>
              </w:rPr>
              <w:t>19.4%</w:t>
            </w:r>
          </w:p>
        </w:tc>
        <w:tc>
          <w:tcPr>
            <w:tcW w:w="2840" w:type="dxa"/>
            <w:vAlign w:val="bottom"/>
          </w:tcPr>
          <w:p>
            <w:pPr>
              <w:jc w:val="right"/>
              <w:ind w:right="951"/>
              <w:spacing w:after="0"/>
              <w:rPr>
                <w:sz w:val="20"/>
                <w:szCs w:val="20"/>
                <w:color w:val="auto"/>
              </w:rPr>
            </w:pPr>
            <w:r>
              <w:rPr>
                <w:rFonts w:ascii="Arial" w:cs="Arial" w:eastAsia="Arial" w:hAnsi="Arial"/>
                <w:sz w:val="26"/>
                <w:szCs w:val="26"/>
                <w:color w:val="auto"/>
              </w:rPr>
              <w:t>20.2%</w:t>
            </w:r>
          </w:p>
        </w:tc>
        <w:tc>
          <w:tcPr>
            <w:tcW w:w="1820" w:type="dxa"/>
            <w:vAlign w:val="bottom"/>
          </w:tcPr>
          <w:p>
            <w:pPr>
              <w:jc w:val="right"/>
              <w:spacing w:after="0"/>
              <w:rPr>
                <w:sz w:val="20"/>
                <w:szCs w:val="20"/>
                <w:color w:val="auto"/>
              </w:rPr>
            </w:pPr>
            <w:r>
              <w:rPr>
                <w:rFonts w:ascii="Arial" w:cs="Arial" w:eastAsia="Arial" w:hAnsi="Arial"/>
                <w:sz w:val="26"/>
                <w:szCs w:val="26"/>
                <w:color w:val="auto"/>
              </w:rPr>
              <w:t>18.4%</w:t>
            </w:r>
          </w:p>
        </w:tc>
      </w:tr>
      <w:tr>
        <w:trPr>
          <w:trHeight w:val="430"/>
        </w:trPr>
        <w:tc>
          <w:tcPr>
            <w:tcW w:w="2460" w:type="dxa"/>
            <w:vAlign w:val="bottom"/>
          </w:tcPr>
          <w:p>
            <w:pPr>
              <w:spacing w:after="0"/>
              <w:rPr>
                <w:sz w:val="20"/>
                <w:szCs w:val="20"/>
                <w:color w:val="auto"/>
              </w:rPr>
            </w:pPr>
            <w:r>
              <w:rPr>
                <w:rFonts w:ascii="Arial" w:cs="Arial" w:eastAsia="Arial" w:hAnsi="Arial"/>
                <w:sz w:val="26"/>
                <w:szCs w:val="26"/>
                <w:color w:val="auto"/>
              </w:rPr>
              <w:t>U.S. 4 Brand Share</w:t>
            </w:r>
          </w:p>
        </w:tc>
        <w:tc>
          <w:tcPr>
            <w:tcW w:w="2000" w:type="dxa"/>
            <w:vAlign w:val="bottom"/>
          </w:tcPr>
          <w:p>
            <w:pPr>
              <w:jc w:val="right"/>
              <w:ind w:right="911"/>
              <w:spacing w:after="0"/>
              <w:rPr>
                <w:sz w:val="20"/>
                <w:szCs w:val="20"/>
                <w:color w:val="auto"/>
              </w:rPr>
            </w:pPr>
            <w:r>
              <w:rPr>
                <w:rFonts w:ascii="Arial" w:cs="Arial" w:eastAsia="Arial" w:hAnsi="Arial"/>
                <w:sz w:val="26"/>
                <w:szCs w:val="26"/>
                <w:color w:val="auto"/>
              </w:rPr>
              <w:t>16.7%</w:t>
            </w:r>
          </w:p>
        </w:tc>
        <w:tc>
          <w:tcPr>
            <w:tcW w:w="2840" w:type="dxa"/>
            <w:vAlign w:val="bottom"/>
          </w:tcPr>
          <w:p>
            <w:pPr>
              <w:jc w:val="right"/>
              <w:ind w:right="951"/>
              <w:spacing w:after="0"/>
              <w:rPr>
                <w:sz w:val="20"/>
                <w:szCs w:val="20"/>
                <w:color w:val="auto"/>
              </w:rPr>
            </w:pPr>
            <w:r>
              <w:rPr>
                <w:rFonts w:ascii="Arial" w:cs="Arial" w:eastAsia="Arial" w:hAnsi="Arial"/>
                <w:sz w:val="26"/>
                <w:szCs w:val="26"/>
                <w:color w:val="auto"/>
              </w:rPr>
              <w:t>18.6%</w:t>
            </w:r>
          </w:p>
        </w:tc>
        <w:tc>
          <w:tcPr>
            <w:tcW w:w="1820" w:type="dxa"/>
            <w:vAlign w:val="bottom"/>
          </w:tcPr>
          <w:p>
            <w:pPr>
              <w:jc w:val="right"/>
              <w:spacing w:after="0"/>
              <w:rPr>
                <w:sz w:val="20"/>
                <w:szCs w:val="20"/>
                <w:color w:val="auto"/>
              </w:rPr>
            </w:pPr>
            <w:r>
              <w:rPr>
                <w:rFonts w:ascii="Arial" w:cs="Arial" w:eastAsia="Arial" w:hAnsi="Arial"/>
                <w:sz w:val="26"/>
                <w:szCs w:val="26"/>
                <w:color w:val="auto"/>
              </w:rPr>
              <w:t>18.1%</w:t>
            </w:r>
          </w:p>
        </w:tc>
      </w:tr>
    </w:tbl>
    <w:p>
      <w:pPr>
        <w:spacing w:after="0" w:line="174" w:lineRule="exact"/>
        <w:rPr>
          <w:sz w:val="20"/>
          <w:szCs w:val="20"/>
          <w:color w:val="auto"/>
        </w:rPr>
      </w:pPr>
    </w:p>
    <w:p>
      <w:pPr>
        <w:jc w:val="right"/>
        <w:ind w:right="340"/>
        <w:spacing w:after="0"/>
        <w:rPr>
          <w:sz w:val="20"/>
          <w:szCs w:val="20"/>
          <w:color w:val="auto"/>
        </w:rPr>
      </w:pPr>
      <w:r>
        <w:rPr>
          <w:rFonts w:ascii="Arial" w:cs="Arial" w:eastAsia="Arial" w:hAnsi="Arial"/>
          <w:sz w:val="26"/>
          <w:szCs w:val="26"/>
          <w:b w:val="1"/>
          <w:bCs w:val="1"/>
          <w:color w:val="auto"/>
        </w:rPr>
        <w:t>6</w:t>
      </w:r>
    </w:p>
    <w:p>
      <w:pPr>
        <w:sectPr>
          <w:pgSz w:w="11900" w:h="16838" w:orient="portrait"/>
          <w:cols w:equalWidth="0" w:num="1">
            <w:col w:w="11100"/>
          </w:cols>
          <w:pgMar w:left="480" w:top="542" w:right="319" w:bottom="1440" w:gutter="0" w:footer="0" w:header="0"/>
          <w:type w:val="continuous"/>
        </w:sectPr>
      </w:pPr>
    </w:p>
    <w:bookmarkStart w:id="20" w:name="page21"/>
    <w:bookmarkEnd w:id="20"/>
    <w:p>
      <w:pPr>
        <w:ind w:left="13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Key GMNA Performance Indicators</w:t>
      </w:r>
    </w:p>
    <w:p>
      <w:pPr>
        <w:sectPr>
          <w:pgSz w:w="11900" w:h="16838" w:orient="portrait"/>
          <w:cols w:equalWidth="0" w:num="1">
            <w:col w:w="11100"/>
          </w:cols>
          <w:pgMar w:left="360" w:top="54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Share</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6"/>
        </w:trPr>
        <w:tc>
          <w:tcPr>
            <w:tcW w:w="3280" w:type="dxa"/>
            <w:vAlign w:val="bottom"/>
          </w:tcPr>
          <w:p>
            <w:pPr>
              <w:spacing w:after="0"/>
              <w:rPr>
                <w:sz w:val="20"/>
                <w:szCs w:val="20"/>
                <w:color w:val="auto"/>
              </w:rPr>
            </w:pPr>
            <w:r>
              <w:rPr>
                <w:rFonts w:ascii="Arial" w:cs="Arial" w:eastAsia="Arial" w:hAnsi="Arial"/>
                <w:sz w:val="29"/>
                <w:szCs w:val="29"/>
                <w:b w:val="1"/>
                <w:bCs w:val="1"/>
                <w:color w:val="auto"/>
              </w:rPr>
              <w:t>U.S. Total Share</w:t>
            </w:r>
          </w:p>
        </w:tc>
        <w:tc>
          <w:tcPr>
            <w:tcW w:w="4380" w:type="dxa"/>
            <w:vAlign w:val="bottom"/>
          </w:tcPr>
          <w:p>
            <w:pPr>
              <w:ind w:left="620"/>
              <w:spacing w:after="0"/>
              <w:rPr>
                <w:sz w:val="20"/>
                <w:szCs w:val="20"/>
                <w:color w:val="auto"/>
              </w:rPr>
            </w:pPr>
            <w:r>
              <w:rPr>
                <w:rFonts w:ascii="Arial" w:cs="Arial" w:eastAsia="Arial" w:hAnsi="Arial"/>
                <w:sz w:val="29"/>
                <w:szCs w:val="29"/>
                <w:b w:val="1"/>
                <w:bCs w:val="1"/>
                <w:color w:val="auto"/>
              </w:rPr>
              <w:t>Avg. GM U.S. Retail</w:t>
            </w:r>
          </w:p>
        </w:tc>
        <w:tc>
          <w:tcPr>
            <w:tcW w:w="1540" w:type="dxa"/>
            <w:vAlign w:val="bottom"/>
            <w:vMerge w:val="restart"/>
          </w:tcPr>
          <w:p>
            <w:pPr>
              <w:ind w:left="900"/>
              <w:spacing w:after="0"/>
              <w:rPr>
                <w:sz w:val="20"/>
                <w:szCs w:val="20"/>
                <w:color w:val="auto"/>
              </w:rPr>
            </w:pPr>
            <w:r>
              <w:rPr>
                <w:rFonts w:ascii="Arial" w:cs="Arial" w:eastAsia="Arial" w:hAnsi="Arial"/>
                <w:sz w:val="23"/>
                <w:szCs w:val="23"/>
                <w:b w:val="1"/>
                <w:bCs w:val="1"/>
                <w:color w:val="auto"/>
                <w:w w:val="96"/>
              </w:rPr>
              <w:t>$/Unit</w:t>
            </w:r>
          </w:p>
        </w:tc>
        <w:tc>
          <w:tcPr>
            <w:tcW w:w="0" w:type="dxa"/>
            <w:vAlign w:val="bottom"/>
          </w:tcPr>
          <w:p>
            <w:pPr>
              <w:spacing w:after="0"/>
              <w:rPr>
                <w:sz w:val="1"/>
                <w:szCs w:val="1"/>
                <w:color w:val="auto"/>
              </w:rPr>
            </w:pPr>
          </w:p>
        </w:tc>
      </w:tr>
      <w:tr>
        <w:trPr>
          <w:trHeight w:val="274"/>
        </w:trPr>
        <w:tc>
          <w:tcPr>
            <w:tcW w:w="3280" w:type="dxa"/>
            <w:vAlign w:val="bottom"/>
            <w:vMerge w:val="restart"/>
          </w:tcPr>
          <w:p>
            <w:pPr>
              <w:spacing w:after="0"/>
              <w:rPr>
                <w:sz w:val="20"/>
                <w:szCs w:val="20"/>
                <w:color w:val="auto"/>
              </w:rPr>
            </w:pPr>
            <w:r>
              <w:rPr>
                <w:rFonts w:ascii="Arial" w:cs="Arial" w:eastAsia="Arial" w:hAnsi="Arial"/>
                <w:sz w:val="29"/>
                <w:szCs w:val="29"/>
                <w:b w:val="1"/>
                <w:bCs w:val="1"/>
                <w:color w:val="auto"/>
              </w:rPr>
              <w:t>U.S. 4 Brand Share</w:t>
            </w:r>
          </w:p>
        </w:tc>
        <w:tc>
          <w:tcPr>
            <w:tcW w:w="4380" w:type="dxa"/>
            <w:vAlign w:val="bottom"/>
            <w:vMerge w:val="restart"/>
          </w:tcPr>
          <w:p>
            <w:pPr>
              <w:ind w:left="620"/>
              <w:spacing w:after="0"/>
              <w:rPr>
                <w:sz w:val="20"/>
                <w:szCs w:val="20"/>
                <w:color w:val="auto"/>
              </w:rPr>
            </w:pPr>
            <w:r>
              <w:rPr>
                <w:rFonts w:ascii="Arial" w:cs="Arial" w:eastAsia="Arial" w:hAnsi="Arial"/>
                <w:sz w:val="29"/>
                <w:szCs w:val="29"/>
                <w:b w:val="1"/>
                <w:bCs w:val="1"/>
                <w:color w:val="auto"/>
              </w:rPr>
              <w:t>Incentive – 4 Brands</w:t>
            </w:r>
          </w:p>
        </w:tc>
        <w:tc>
          <w:tcPr>
            <w:tcW w:w="1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280" w:type="dxa"/>
            <w:vAlign w:val="bottom"/>
            <w:vMerge w:val="continue"/>
          </w:tcPr>
          <w:p>
            <w:pPr>
              <w:spacing w:after="0"/>
              <w:rPr>
                <w:sz w:val="14"/>
                <w:szCs w:val="14"/>
                <w:color w:val="auto"/>
              </w:rPr>
            </w:pPr>
          </w:p>
        </w:tc>
        <w:tc>
          <w:tcPr>
            <w:tcW w:w="438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180" w:space="720"/>
            <w:col w:w="9200"/>
          </w:cols>
          <w:pgMar w:left="360" w:top="54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840"/>
        <w:spacing w:after="0"/>
        <w:rPr>
          <w:sz w:val="20"/>
          <w:szCs w:val="20"/>
          <w:color w:val="auto"/>
        </w:rPr>
      </w:pPr>
      <w:r>
        <w:rPr>
          <w:rFonts w:ascii="Arial" w:cs="Arial" w:eastAsia="Arial" w:hAnsi="Arial"/>
          <w:sz w:val="26"/>
          <w:szCs w:val="26"/>
          <w:b w:val="1"/>
          <w:bCs w:val="1"/>
          <w:color w:val="auto"/>
        </w:rPr>
        <w:t>Apr</w:t>
      </w:r>
    </w:p>
    <w:p>
      <w:pPr>
        <w:spacing w:after="0" w:line="40" w:lineRule="exact"/>
        <w:rPr>
          <w:sz w:val="20"/>
          <w:szCs w:val="20"/>
          <w:color w:val="auto"/>
        </w:rPr>
      </w:pPr>
    </w:p>
    <w:p>
      <w:pPr>
        <w:ind w:left="9780"/>
        <w:spacing w:after="0"/>
        <w:rPr>
          <w:sz w:val="20"/>
          <w:szCs w:val="20"/>
          <w:color w:val="auto"/>
        </w:rPr>
      </w:pPr>
      <w:r>
        <w:rPr>
          <w:rFonts w:ascii="Arial" w:cs="Arial" w:eastAsia="Arial" w:hAnsi="Arial"/>
          <w:sz w:val="26"/>
          <w:szCs w:val="26"/>
          <w:b w:val="1"/>
          <w:bCs w:val="1"/>
          <w:color w:val="auto"/>
        </w:rPr>
        <w:t>2010</w:t>
      </w:r>
    </w:p>
    <w:p>
      <w:pPr>
        <w:spacing w:after="0" w:line="364" w:lineRule="exact"/>
        <w:rPr>
          <w:sz w:val="20"/>
          <w:szCs w:val="20"/>
          <w:color w:val="auto"/>
        </w:rPr>
      </w:pPr>
    </w:p>
    <w:p>
      <w:pPr>
        <w:ind w:left="1000"/>
        <w:spacing w:after="0"/>
        <w:rPr>
          <w:sz w:val="20"/>
          <w:szCs w:val="20"/>
          <w:color w:val="auto"/>
        </w:rPr>
      </w:pPr>
      <w:r>
        <w:rPr>
          <w:rFonts w:ascii="Arial" w:cs="Arial" w:eastAsia="Arial" w:hAnsi="Arial"/>
          <w:sz w:val="26"/>
          <w:szCs w:val="26"/>
          <w:color w:val="auto"/>
        </w:rPr>
        <w:t>GM Average U.S. Retail Incentive (4 Brand) % of Industry Average</w:t>
      </w:r>
    </w:p>
    <w:p>
      <w:pPr>
        <w:spacing w:after="0" w:line="141" w:lineRule="exact"/>
        <w:rPr>
          <w:sz w:val="20"/>
          <w:szCs w:val="20"/>
          <w:color w:val="auto"/>
        </w:rPr>
      </w:pPr>
    </w:p>
    <w:p>
      <w:pPr>
        <w:jc w:val="center"/>
        <w:ind w:right="-99"/>
        <w:spacing w:after="0"/>
        <w:tabs>
          <w:tab w:leader="none" w:pos="180" w:val="left"/>
          <w:tab w:leader="none" w:pos="180" w:val="left"/>
          <w:tab w:leader="none" w:pos="180" w:val="left"/>
          <w:tab w:leader="none" w:pos="180" w:val="left"/>
          <w:tab w:leader="none" w:pos="180" w:val="left"/>
          <w:tab w:leader="none" w:pos="180" w:val="left"/>
          <w:tab w:leader="none" w:pos="180" w:val="left"/>
          <w:tab w:leader="none" w:pos="180" w:val="left"/>
          <w:tab w:leader="none" w:pos="180" w:val="left"/>
          <w:tab w:leader="none" w:pos="180" w:val="left"/>
          <w:tab w:leader="none" w:pos="180" w:val="left"/>
          <w:tab w:leader="none" w:pos="180" w:val="left"/>
          <w:tab w:leader="none" w:pos="180" w:val="left"/>
          <w:tab w:leader="none" w:pos="240" w:val="left"/>
          <w:tab w:leader="none" w:pos="240" w:val="left"/>
        </w:tabs>
        <w:rPr>
          <w:sz w:val="20"/>
          <w:szCs w:val="20"/>
          <w:color w:val="auto"/>
        </w:rPr>
      </w:pPr>
      <w:r>
        <w:rPr>
          <w:rFonts w:ascii="Arial" w:cs="Arial" w:eastAsia="Arial" w:hAnsi="Arial"/>
          <w:sz w:val="23"/>
          <w:szCs w:val="23"/>
          <w:color w:val="auto"/>
        </w:rPr>
        <w:t>127</w:t>
        <w:tab/>
        <w:t>152</w:t>
        <w:tab/>
        <w:t>143</w:t>
        <w:tab/>
        <w:t>137</w:t>
        <w:tab/>
        <w:t>137</w:t>
        <w:tab/>
        <w:t>121</w:t>
        <w:tab/>
        <w:t>143</w:t>
        <w:tab/>
        <w:t>135</w:t>
        <w:tab/>
        <w:t>149</w:t>
        <w:tab/>
        <w:t>154</w:t>
        <w:tab/>
        <w:t>141</w:t>
        <w:tab/>
        <w:t>132</w:t>
        <w:tab/>
        <w:t>119</w:t>
        <w:tab/>
        <w:t>106</w:t>
        <w:tab/>
        <w:t>98</w:t>
        <w:tab/>
        <w:t>108</w:t>
      </w: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9660" w:type="dxa"/>
            <w:vAlign w:val="bottom"/>
          </w:tcPr>
          <w:p>
            <w:pPr>
              <w:spacing w:after="0"/>
              <w:rPr>
                <w:sz w:val="20"/>
                <w:szCs w:val="20"/>
                <w:color w:val="auto"/>
              </w:rPr>
            </w:pPr>
            <w:r>
              <w:rPr>
                <w:rFonts w:ascii="Arial" w:cs="Arial" w:eastAsia="Arial" w:hAnsi="Arial"/>
                <w:sz w:val="20"/>
                <w:szCs w:val="20"/>
                <w:color w:val="auto"/>
              </w:rPr>
              <w:t>Note: Incentive Information Based on J.D. Power and Associates Power Information Network data</w:t>
            </w:r>
          </w:p>
        </w:tc>
        <w:tc>
          <w:tcPr>
            <w:tcW w:w="1240" w:type="dxa"/>
            <w:vAlign w:val="bottom"/>
            <w:vMerge w:val="restart"/>
          </w:tcPr>
          <w:p>
            <w:pPr>
              <w:jc w:val="right"/>
              <w:spacing w:after="0"/>
              <w:rPr>
                <w:sz w:val="20"/>
                <w:szCs w:val="20"/>
                <w:color w:val="auto"/>
              </w:rPr>
            </w:pPr>
            <w:r>
              <w:rPr>
                <w:rFonts w:ascii="Arial" w:cs="Arial" w:eastAsia="Arial" w:hAnsi="Arial"/>
                <w:sz w:val="26"/>
                <w:szCs w:val="26"/>
                <w:b w:val="1"/>
                <w:bCs w:val="1"/>
                <w:color w:val="auto"/>
              </w:rPr>
              <w:t>7</w:t>
            </w:r>
          </w:p>
        </w:tc>
        <w:tc>
          <w:tcPr>
            <w:tcW w:w="0" w:type="dxa"/>
            <w:vAlign w:val="bottom"/>
          </w:tcPr>
          <w:p>
            <w:pPr>
              <w:spacing w:after="0"/>
              <w:rPr>
                <w:sz w:val="1"/>
                <w:szCs w:val="1"/>
                <w:color w:val="auto"/>
              </w:rPr>
            </w:pPr>
          </w:p>
        </w:tc>
      </w:tr>
      <w:tr>
        <w:trPr>
          <w:trHeight w:val="129"/>
        </w:trPr>
        <w:tc>
          <w:tcPr>
            <w:tcW w:w="96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542" w:right="439" w:bottom="1440" w:gutter="0" w:footer="0" w:header="0"/>
          <w:type w:val="continuous"/>
        </w:sectPr>
      </w:pPr>
    </w:p>
    <w:bookmarkStart w:id="21" w:name="page22"/>
    <w:bookmarkEnd w:id="21"/>
    <w:p>
      <w:pPr>
        <w:ind w:left="12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GMNA Net Revenue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33"/>
          <w:szCs w:val="33"/>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3280" w:type="dxa"/>
            <w:vAlign w:val="bottom"/>
          </w:tcPr>
          <w:p>
            <w:pPr>
              <w:spacing w:after="0"/>
              <w:rPr>
                <w:sz w:val="20"/>
                <w:szCs w:val="20"/>
                <w:color w:val="auto"/>
              </w:rPr>
            </w:pPr>
            <w:r>
              <w:rPr>
                <w:rFonts w:ascii="Arial" w:cs="Arial" w:eastAsia="Arial" w:hAnsi="Arial"/>
                <w:sz w:val="26"/>
                <w:szCs w:val="26"/>
                <w:b w:val="1"/>
                <w:bCs w:val="1"/>
                <w:color w:val="auto"/>
              </w:rPr>
              <w:t>GMNA Production (000’s)</w:t>
            </w:r>
          </w:p>
        </w:tc>
        <w:tc>
          <w:tcPr>
            <w:tcW w:w="2700" w:type="dxa"/>
            <w:vAlign w:val="bottom"/>
          </w:tcPr>
          <w:p>
            <w:pPr>
              <w:jc w:val="right"/>
              <w:ind w:right="1931"/>
              <w:spacing w:after="0"/>
              <w:rPr>
                <w:sz w:val="20"/>
                <w:szCs w:val="20"/>
                <w:color w:val="auto"/>
              </w:rPr>
            </w:pPr>
            <w:r>
              <w:rPr>
                <w:rFonts w:ascii="Arial" w:cs="Arial" w:eastAsia="Arial" w:hAnsi="Arial"/>
                <w:sz w:val="26"/>
                <w:szCs w:val="26"/>
                <w:b w:val="1"/>
                <w:bCs w:val="1"/>
                <w:color w:val="auto"/>
              </w:rPr>
              <w:t>531</w:t>
            </w:r>
          </w:p>
        </w:tc>
        <w:tc>
          <w:tcPr>
            <w:tcW w:w="1780" w:type="dxa"/>
            <w:vAlign w:val="bottom"/>
          </w:tcPr>
          <w:p>
            <w:pPr>
              <w:jc w:val="right"/>
              <w:ind w:right="1011"/>
              <w:spacing w:after="0"/>
              <w:rPr>
                <w:sz w:val="20"/>
                <w:szCs w:val="20"/>
                <w:color w:val="auto"/>
              </w:rPr>
            </w:pPr>
            <w:r>
              <w:rPr>
                <w:rFonts w:ascii="Arial" w:cs="Arial" w:eastAsia="Arial" w:hAnsi="Arial"/>
                <w:sz w:val="26"/>
                <w:szCs w:val="26"/>
                <w:b w:val="1"/>
                <w:bCs w:val="1"/>
                <w:color w:val="auto"/>
              </w:rPr>
              <w:t>616</w:t>
            </w:r>
          </w:p>
        </w:tc>
        <w:tc>
          <w:tcPr>
            <w:tcW w:w="3200" w:type="dxa"/>
            <w:vAlign w:val="bottom"/>
          </w:tcPr>
          <w:p>
            <w:pPr>
              <w:jc w:val="right"/>
              <w:ind w:right="1511"/>
              <w:spacing w:after="0"/>
              <w:rPr>
                <w:sz w:val="20"/>
                <w:szCs w:val="20"/>
                <w:color w:val="auto"/>
              </w:rPr>
            </w:pPr>
            <w:r>
              <w:rPr>
                <w:rFonts w:ascii="Arial" w:cs="Arial" w:eastAsia="Arial" w:hAnsi="Arial"/>
                <w:sz w:val="26"/>
                <w:szCs w:val="26"/>
                <w:b w:val="1"/>
                <w:bCs w:val="1"/>
                <w:color w:val="auto"/>
              </w:rPr>
              <w:t>668</w:t>
            </w:r>
          </w:p>
        </w:tc>
      </w:tr>
      <w:tr>
        <w:trPr>
          <w:trHeight w:val="430"/>
        </w:trPr>
        <w:tc>
          <w:tcPr>
            <w:tcW w:w="3280" w:type="dxa"/>
            <w:vAlign w:val="bottom"/>
          </w:tcPr>
          <w:p>
            <w:pPr>
              <w:spacing w:after="0"/>
              <w:rPr>
                <w:sz w:val="20"/>
                <w:szCs w:val="20"/>
                <w:color w:val="auto"/>
              </w:rPr>
            </w:pPr>
            <w:r>
              <w:rPr>
                <w:rFonts w:ascii="Arial" w:cs="Arial" w:eastAsia="Arial" w:hAnsi="Arial"/>
                <w:sz w:val="26"/>
                <w:szCs w:val="26"/>
                <w:b w:val="1"/>
                <w:bCs w:val="1"/>
                <w:color w:val="auto"/>
              </w:rPr>
              <w:t>U.S. Dealer Inv (000’s)</w:t>
            </w:r>
          </w:p>
        </w:tc>
        <w:tc>
          <w:tcPr>
            <w:tcW w:w="2700" w:type="dxa"/>
            <w:vAlign w:val="bottom"/>
          </w:tcPr>
          <w:p>
            <w:pPr>
              <w:jc w:val="right"/>
              <w:ind w:right="1931"/>
              <w:spacing w:after="0"/>
              <w:rPr>
                <w:sz w:val="20"/>
                <w:szCs w:val="20"/>
                <w:color w:val="auto"/>
              </w:rPr>
            </w:pPr>
            <w:r>
              <w:rPr>
                <w:rFonts w:ascii="Arial" w:cs="Arial" w:eastAsia="Arial" w:hAnsi="Arial"/>
                <w:sz w:val="26"/>
                <w:szCs w:val="26"/>
                <w:b w:val="1"/>
                <w:bCs w:val="1"/>
                <w:color w:val="auto"/>
              </w:rPr>
              <w:t>424</w:t>
            </w:r>
          </w:p>
        </w:tc>
        <w:tc>
          <w:tcPr>
            <w:tcW w:w="1780" w:type="dxa"/>
            <w:vAlign w:val="bottom"/>
          </w:tcPr>
          <w:p>
            <w:pPr>
              <w:jc w:val="right"/>
              <w:ind w:right="1011"/>
              <w:spacing w:after="0"/>
              <w:rPr>
                <w:sz w:val="20"/>
                <w:szCs w:val="20"/>
                <w:color w:val="auto"/>
              </w:rPr>
            </w:pPr>
            <w:r>
              <w:rPr>
                <w:rFonts w:ascii="Arial" w:cs="Arial" w:eastAsia="Arial" w:hAnsi="Arial"/>
                <w:sz w:val="26"/>
                <w:szCs w:val="26"/>
                <w:b w:val="1"/>
                <w:bCs w:val="1"/>
                <w:color w:val="auto"/>
              </w:rPr>
              <w:t>385</w:t>
            </w:r>
          </w:p>
        </w:tc>
        <w:tc>
          <w:tcPr>
            <w:tcW w:w="3200" w:type="dxa"/>
            <w:vAlign w:val="bottom"/>
          </w:tcPr>
          <w:p>
            <w:pPr>
              <w:jc w:val="right"/>
              <w:ind w:right="1511"/>
              <w:spacing w:after="0"/>
              <w:rPr>
                <w:sz w:val="20"/>
                <w:szCs w:val="20"/>
                <w:color w:val="auto"/>
              </w:rPr>
            </w:pPr>
            <w:r>
              <w:rPr>
                <w:rFonts w:ascii="Arial" w:cs="Arial" w:eastAsia="Arial" w:hAnsi="Arial"/>
                <w:sz w:val="26"/>
                <w:szCs w:val="26"/>
                <w:b w:val="1"/>
                <w:bCs w:val="1"/>
                <w:color w:val="auto"/>
              </w:rPr>
              <w:t>428</w:t>
            </w:r>
          </w:p>
        </w:tc>
      </w:tr>
      <w:tr>
        <w:trPr>
          <w:trHeight w:val="995"/>
        </w:trPr>
        <w:tc>
          <w:tcPr>
            <w:tcW w:w="5980" w:type="dxa"/>
            <w:vAlign w:val="bottom"/>
            <w:gridSpan w:val="2"/>
          </w:tcPr>
          <w:p>
            <w:pPr>
              <w:ind w:left="300"/>
              <w:spacing w:after="0"/>
              <w:rPr>
                <w:sz w:val="20"/>
                <w:szCs w:val="20"/>
                <w:color w:val="auto"/>
              </w:rPr>
            </w:pPr>
            <w:r>
              <w:rPr>
                <w:rFonts w:ascii="Arial" w:cs="Arial" w:eastAsia="Arial" w:hAnsi="Arial"/>
                <w:sz w:val="20"/>
                <w:szCs w:val="20"/>
                <w:color w:val="auto"/>
              </w:rPr>
              <w:t>Q3 2009 represents combined net revenue for GM and Old GM</w:t>
            </w:r>
          </w:p>
        </w:tc>
        <w:tc>
          <w:tcPr>
            <w:tcW w:w="17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26"/>
                <w:szCs w:val="26"/>
                <w:b w:val="1"/>
                <w:bCs w:val="1"/>
                <w:color w:val="auto"/>
              </w:rPr>
              <w:t>8</w:t>
            </w:r>
          </w:p>
        </w:tc>
      </w:tr>
    </w:tbl>
    <w:p>
      <w:pPr>
        <w:sectPr>
          <w:pgSz w:w="11900" w:h="16838" w:orient="portrait"/>
          <w:cols w:equalWidth="0" w:num="1">
            <w:col w:w="10960"/>
          </w:cols>
          <w:pgMar w:left="500" w:top="542" w:right="439" w:bottom="1440" w:gutter="0" w:footer="0" w:header="0"/>
        </w:sectPr>
      </w:pPr>
    </w:p>
    <w:bookmarkStart w:id="22" w:name="page23"/>
    <w:bookmarkEnd w:id="22"/>
    <w:p>
      <w:pPr>
        <w:ind w:left="980"/>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GMNA Earnings Before Interest &amp; Taxes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9</w:t>
      </w:r>
    </w:p>
    <w:p>
      <w:pPr>
        <w:sectPr>
          <w:pgSz w:w="11900" w:h="16838" w:orient="portrait"/>
          <w:cols w:equalWidth="0" w:num="1">
            <w:col w:w="10680"/>
          </w:cols>
          <w:pgMar w:left="500" w:top="606" w:right="719" w:bottom="1440" w:gutter="0" w:footer="0" w:header="0"/>
        </w:sectPr>
      </w:pPr>
    </w:p>
    <w:bookmarkStart w:id="23" w:name="page24"/>
    <w:bookmarkEnd w:id="23"/>
    <w:p>
      <w:pPr>
        <w:ind w:left="9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GME Deliveries</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33"/>
          <w:szCs w:val="33"/>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240" w:type="dxa"/>
            <w:vAlign w:val="bottom"/>
          </w:tcPr>
          <w:p>
            <w:pPr>
              <w:spacing w:after="0"/>
              <w:rPr>
                <w:sz w:val="20"/>
                <w:szCs w:val="20"/>
                <w:color w:val="auto"/>
              </w:rPr>
            </w:pPr>
            <w:r>
              <w:rPr>
                <w:rFonts w:ascii="Arial" w:cs="Arial" w:eastAsia="Arial" w:hAnsi="Arial"/>
                <w:sz w:val="26"/>
                <w:szCs w:val="26"/>
                <w:b w:val="1"/>
                <w:bCs w:val="1"/>
                <w:color w:val="auto"/>
              </w:rPr>
              <w:t>GME Share</w:t>
            </w:r>
          </w:p>
        </w:tc>
        <w:tc>
          <w:tcPr>
            <w:tcW w:w="2140" w:type="dxa"/>
            <w:vAlign w:val="bottom"/>
          </w:tcPr>
          <w:p>
            <w:pPr>
              <w:jc w:val="center"/>
              <w:ind w:right="471"/>
              <w:spacing w:after="0"/>
              <w:rPr>
                <w:sz w:val="20"/>
                <w:szCs w:val="20"/>
                <w:color w:val="auto"/>
              </w:rPr>
            </w:pPr>
            <w:r>
              <w:rPr>
                <w:rFonts w:ascii="Arial" w:cs="Arial" w:eastAsia="Arial" w:hAnsi="Arial"/>
                <w:sz w:val="26"/>
                <w:szCs w:val="26"/>
                <w:b w:val="1"/>
                <w:bCs w:val="1"/>
                <w:color w:val="auto"/>
                <w:w w:val="97"/>
              </w:rPr>
              <w:t>8.9%</w:t>
            </w:r>
          </w:p>
        </w:tc>
        <w:tc>
          <w:tcPr>
            <w:tcW w:w="2760" w:type="dxa"/>
            <w:vAlign w:val="bottom"/>
          </w:tcPr>
          <w:p>
            <w:pPr>
              <w:jc w:val="center"/>
              <w:spacing w:after="0"/>
              <w:rPr>
                <w:sz w:val="20"/>
                <w:szCs w:val="20"/>
                <w:color w:val="auto"/>
              </w:rPr>
            </w:pPr>
            <w:r>
              <w:rPr>
                <w:rFonts w:ascii="Arial" w:cs="Arial" w:eastAsia="Arial" w:hAnsi="Arial"/>
                <w:sz w:val="26"/>
                <w:szCs w:val="26"/>
                <w:b w:val="1"/>
                <w:bCs w:val="1"/>
                <w:color w:val="auto"/>
                <w:w w:val="97"/>
              </w:rPr>
              <w:t>8.2%</w:t>
            </w:r>
          </w:p>
        </w:tc>
        <w:tc>
          <w:tcPr>
            <w:tcW w:w="1740" w:type="dxa"/>
            <w:vAlign w:val="bottom"/>
          </w:tcPr>
          <w:p>
            <w:pPr>
              <w:jc w:val="center"/>
              <w:ind w:left="891"/>
              <w:spacing w:after="0"/>
              <w:rPr>
                <w:sz w:val="20"/>
                <w:szCs w:val="20"/>
                <w:color w:val="auto"/>
              </w:rPr>
            </w:pPr>
            <w:r>
              <w:rPr>
                <w:rFonts w:ascii="Arial" w:cs="Arial" w:eastAsia="Arial" w:hAnsi="Arial"/>
                <w:sz w:val="26"/>
                <w:szCs w:val="26"/>
                <w:b w:val="1"/>
                <w:bCs w:val="1"/>
                <w:color w:val="auto"/>
              </w:rPr>
              <w:t>8.5%</w:t>
            </w:r>
          </w:p>
        </w:tc>
      </w:tr>
      <w:tr>
        <w:trPr>
          <w:trHeight w:val="430"/>
        </w:trPr>
        <w:tc>
          <w:tcPr>
            <w:tcW w:w="2240" w:type="dxa"/>
            <w:vAlign w:val="bottom"/>
          </w:tcPr>
          <w:p>
            <w:pPr>
              <w:spacing w:after="0"/>
              <w:rPr>
                <w:sz w:val="20"/>
                <w:szCs w:val="20"/>
                <w:color w:val="auto"/>
              </w:rPr>
            </w:pPr>
            <w:r>
              <w:rPr>
                <w:rFonts w:ascii="Arial" w:cs="Arial" w:eastAsia="Arial" w:hAnsi="Arial"/>
                <w:sz w:val="26"/>
                <w:szCs w:val="26"/>
                <w:color w:val="auto"/>
              </w:rPr>
              <w:t>Germany Share</w:t>
            </w:r>
          </w:p>
        </w:tc>
        <w:tc>
          <w:tcPr>
            <w:tcW w:w="2140" w:type="dxa"/>
            <w:vAlign w:val="bottom"/>
          </w:tcPr>
          <w:p>
            <w:pPr>
              <w:jc w:val="center"/>
              <w:ind w:right="471"/>
              <w:spacing w:after="0"/>
              <w:rPr>
                <w:sz w:val="20"/>
                <w:szCs w:val="20"/>
                <w:color w:val="auto"/>
              </w:rPr>
            </w:pPr>
            <w:r>
              <w:rPr>
                <w:rFonts w:ascii="Arial" w:cs="Arial" w:eastAsia="Arial" w:hAnsi="Arial"/>
                <w:sz w:val="26"/>
                <w:szCs w:val="26"/>
                <w:color w:val="auto"/>
                <w:w w:val="97"/>
              </w:rPr>
              <w:t>9.4%</w:t>
            </w:r>
          </w:p>
        </w:tc>
        <w:tc>
          <w:tcPr>
            <w:tcW w:w="2760" w:type="dxa"/>
            <w:vAlign w:val="bottom"/>
          </w:tcPr>
          <w:p>
            <w:pPr>
              <w:jc w:val="center"/>
              <w:spacing w:after="0"/>
              <w:rPr>
                <w:sz w:val="20"/>
                <w:szCs w:val="20"/>
                <w:color w:val="auto"/>
              </w:rPr>
            </w:pPr>
            <w:r>
              <w:rPr>
                <w:rFonts w:ascii="Arial" w:cs="Arial" w:eastAsia="Arial" w:hAnsi="Arial"/>
                <w:sz w:val="26"/>
                <w:szCs w:val="26"/>
                <w:color w:val="auto"/>
                <w:w w:val="97"/>
              </w:rPr>
              <w:t>8.8%</w:t>
            </w:r>
          </w:p>
        </w:tc>
        <w:tc>
          <w:tcPr>
            <w:tcW w:w="1740" w:type="dxa"/>
            <w:vAlign w:val="bottom"/>
          </w:tcPr>
          <w:p>
            <w:pPr>
              <w:jc w:val="center"/>
              <w:ind w:left="891"/>
              <w:spacing w:after="0"/>
              <w:rPr>
                <w:sz w:val="20"/>
                <w:szCs w:val="20"/>
                <w:color w:val="auto"/>
              </w:rPr>
            </w:pPr>
            <w:r>
              <w:rPr>
                <w:rFonts w:ascii="Arial" w:cs="Arial" w:eastAsia="Arial" w:hAnsi="Arial"/>
                <w:sz w:val="26"/>
                <w:szCs w:val="26"/>
                <w:color w:val="auto"/>
              </w:rPr>
              <w:t>8.2%</w:t>
            </w:r>
          </w:p>
        </w:tc>
      </w:tr>
      <w:tr>
        <w:trPr>
          <w:trHeight w:val="430"/>
        </w:trPr>
        <w:tc>
          <w:tcPr>
            <w:tcW w:w="2240" w:type="dxa"/>
            <w:vAlign w:val="bottom"/>
          </w:tcPr>
          <w:p>
            <w:pPr>
              <w:spacing w:after="0"/>
              <w:rPr>
                <w:sz w:val="20"/>
                <w:szCs w:val="20"/>
                <w:color w:val="auto"/>
              </w:rPr>
            </w:pPr>
            <w:r>
              <w:rPr>
                <w:rFonts w:ascii="Arial" w:cs="Arial" w:eastAsia="Arial" w:hAnsi="Arial"/>
                <w:sz w:val="26"/>
                <w:szCs w:val="26"/>
                <w:color w:val="auto"/>
              </w:rPr>
              <w:t>U.K. Share</w:t>
            </w:r>
          </w:p>
        </w:tc>
        <w:tc>
          <w:tcPr>
            <w:tcW w:w="2140" w:type="dxa"/>
            <w:vAlign w:val="bottom"/>
          </w:tcPr>
          <w:p>
            <w:pPr>
              <w:jc w:val="center"/>
              <w:ind w:right="471"/>
              <w:spacing w:after="0"/>
              <w:rPr>
                <w:sz w:val="20"/>
                <w:szCs w:val="20"/>
                <w:color w:val="auto"/>
              </w:rPr>
            </w:pPr>
            <w:r>
              <w:rPr>
                <w:rFonts w:ascii="Arial" w:cs="Arial" w:eastAsia="Arial" w:hAnsi="Arial"/>
                <w:sz w:val="26"/>
                <w:szCs w:val="26"/>
                <w:color w:val="auto"/>
              </w:rPr>
              <w:t>12.0%</w:t>
            </w:r>
          </w:p>
        </w:tc>
        <w:tc>
          <w:tcPr>
            <w:tcW w:w="2760" w:type="dxa"/>
            <w:vAlign w:val="bottom"/>
          </w:tcPr>
          <w:p>
            <w:pPr>
              <w:jc w:val="center"/>
              <w:spacing w:after="0"/>
              <w:rPr>
                <w:sz w:val="20"/>
                <w:szCs w:val="20"/>
                <w:color w:val="auto"/>
              </w:rPr>
            </w:pPr>
            <w:r>
              <w:rPr>
                <w:rFonts w:ascii="Arial" w:cs="Arial" w:eastAsia="Arial" w:hAnsi="Arial"/>
                <w:sz w:val="26"/>
                <w:szCs w:val="26"/>
                <w:color w:val="auto"/>
                <w:w w:val="97"/>
              </w:rPr>
              <w:t>11.2%</w:t>
            </w:r>
          </w:p>
        </w:tc>
        <w:tc>
          <w:tcPr>
            <w:tcW w:w="1740" w:type="dxa"/>
            <w:vAlign w:val="bottom"/>
          </w:tcPr>
          <w:p>
            <w:pPr>
              <w:jc w:val="center"/>
              <w:ind w:left="871"/>
              <w:spacing w:after="0"/>
              <w:rPr>
                <w:sz w:val="20"/>
                <w:szCs w:val="20"/>
                <w:color w:val="auto"/>
              </w:rPr>
            </w:pPr>
            <w:r>
              <w:rPr>
                <w:rFonts w:ascii="Arial" w:cs="Arial" w:eastAsia="Arial" w:hAnsi="Arial"/>
                <w:sz w:val="26"/>
                <w:szCs w:val="26"/>
                <w:color w:val="auto"/>
              </w:rPr>
              <w:t>11.8%</w:t>
            </w:r>
          </w:p>
        </w:tc>
      </w:tr>
    </w:tbl>
    <w:p>
      <w:pPr>
        <w:spacing w:after="0" w:line="395"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10</w:t>
      </w:r>
    </w:p>
    <w:p>
      <w:pPr>
        <w:sectPr>
          <w:pgSz w:w="11900" w:h="16838" w:orient="portrait"/>
          <w:cols w:equalWidth="0" w:num="1">
            <w:col w:w="10680"/>
          </w:cols>
          <w:pgMar w:left="500" w:top="542" w:right="719" w:bottom="1440" w:gutter="0" w:footer="0" w:header="0"/>
        </w:sectPr>
      </w:pPr>
    </w:p>
    <w:bookmarkStart w:id="24" w:name="page25"/>
    <w:bookmarkEnd w:id="24"/>
    <w:p>
      <w:pPr>
        <w:ind w:left="12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GME Net Revenue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80"/>
        <w:spacing w:after="0"/>
        <w:rPr>
          <w:sz w:val="20"/>
          <w:szCs w:val="20"/>
          <w:color w:val="auto"/>
        </w:rPr>
      </w:pPr>
      <w:r>
        <w:rPr>
          <w:rFonts w:ascii="Arial" w:cs="Arial" w:eastAsia="Arial" w:hAnsi="Arial"/>
          <w:sz w:val="33"/>
          <w:szCs w:val="33"/>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3120" w:type="dxa"/>
            <w:vAlign w:val="bottom"/>
          </w:tcPr>
          <w:p>
            <w:pPr>
              <w:spacing w:after="0"/>
              <w:rPr>
                <w:sz w:val="20"/>
                <w:szCs w:val="20"/>
                <w:color w:val="auto"/>
              </w:rPr>
            </w:pPr>
            <w:r>
              <w:rPr>
                <w:rFonts w:ascii="Arial" w:cs="Arial" w:eastAsia="Arial" w:hAnsi="Arial"/>
                <w:sz w:val="26"/>
                <w:szCs w:val="26"/>
                <w:b w:val="1"/>
                <w:bCs w:val="1"/>
                <w:color w:val="auto"/>
              </w:rPr>
              <w:t>Total Production (000’s)</w:t>
            </w:r>
          </w:p>
        </w:tc>
        <w:tc>
          <w:tcPr>
            <w:tcW w:w="1780" w:type="dxa"/>
            <w:vAlign w:val="bottom"/>
          </w:tcPr>
          <w:p>
            <w:pPr>
              <w:jc w:val="right"/>
              <w:ind w:right="1011"/>
              <w:spacing w:after="0"/>
              <w:rPr>
                <w:sz w:val="20"/>
                <w:szCs w:val="20"/>
                <w:color w:val="auto"/>
              </w:rPr>
            </w:pPr>
            <w:r>
              <w:rPr>
                <w:rFonts w:ascii="Arial" w:cs="Arial" w:eastAsia="Arial" w:hAnsi="Arial"/>
                <w:sz w:val="26"/>
                <w:szCs w:val="26"/>
                <w:b w:val="1"/>
                <w:bCs w:val="1"/>
                <w:color w:val="auto"/>
              </w:rPr>
              <w:t>277</w:t>
            </w:r>
          </w:p>
        </w:tc>
        <w:tc>
          <w:tcPr>
            <w:tcW w:w="2780" w:type="dxa"/>
            <w:vAlign w:val="bottom"/>
          </w:tcPr>
          <w:p>
            <w:pPr>
              <w:jc w:val="right"/>
              <w:ind w:right="1091"/>
              <w:spacing w:after="0"/>
              <w:rPr>
                <w:sz w:val="20"/>
                <w:szCs w:val="20"/>
                <w:color w:val="auto"/>
              </w:rPr>
            </w:pPr>
            <w:r>
              <w:rPr>
                <w:rFonts w:ascii="Arial" w:cs="Arial" w:eastAsia="Arial" w:hAnsi="Arial"/>
                <w:sz w:val="26"/>
                <w:szCs w:val="26"/>
                <w:b w:val="1"/>
                <w:bCs w:val="1"/>
                <w:color w:val="auto"/>
              </w:rPr>
              <w:t>266</w:t>
            </w:r>
          </w:p>
        </w:tc>
        <w:tc>
          <w:tcPr>
            <w:tcW w:w="1640" w:type="dxa"/>
            <w:vAlign w:val="bottom"/>
          </w:tcPr>
          <w:p>
            <w:pPr>
              <w:jc w:val="right"/>
              <w:spacing w:after="0"/>
              <w:rPr>
                <w:sz w:val="20"/>
                <w:szCs w:val="20"/>
                <w:color w:val="auto"/>
              </w:rPr>
            </w:pPr>
            <w:r>
              <w:rPr>
                <w:rFonts w:ascii="Arial" w:cs="Arial" w:eastAsia="Arial" w:hAnsi="Arial"/>
                <w:sz w:val="26"/>
                <w:szCs w:val="26"/>
                <w:b w:val="1"/>
                <w:bCs w:val="1"/>
                <w:color w:val="auto"/>
              </w:rPr>
              <w:t>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341"/>
        </w:trPr>
        <w:tc>
          <w:tcPr>
            <w:tcW w:w="7940" w:type="dxa"/>
            <w:vAlign w:val="bottom"/>
          </w:tcPr>
          <w:p>
            <w:pPr>
              <w:spacing w:after="0"/>
              <w:rPr>
                <w:sz w:val="20"/>
                <w:szCs w:val="20"/>
                <w:color w:val="auto"/>
              </w:rPr>
            </w:pPr>
            <w:r>
              <w:rPr>
                <w:rFonts w:ascii="Arial" w:cs="Arial" w:eastAsia="Arial" w:hAnsi="Arial"/>
                <w:sz w:val="20"/>
                <w:szCs w:val="20"/>
                <w:color w:val="auto"/>
              </w:rPr>
              <w:t>Q3 2009 represents combined net revenue for GM and Old GM</w:t>
            </w:r>
          </w:p>
        </w:tc>
        <w:tc>
          <w:tcPr>
            <w:tcW w:w="2720" w:type="dxa"/>
            <w:vAlign w:val="bottom"/>
          </w:tcPr>
          <w:p>
            <w:pPr>
              <w:jc w:val="right"/>
              <w:spacing w:after="0"/>
              <w:rPr>
                <w:sz w:val="20"/>
                <w:szCs w:val="20"/>
                <w:color w:val="auto"/>
              </w:rPr>
            </w:pPr>
            <w:r>
              <w:rPr>
                <w:rFonts w:ascii="Arial" w:cs="Arial" w:eastAsia="Arial" w:hAnsi="Arial"/>
                <w:sz w:val="26"/>
                <w:szCs w:val="26"/>
                <w:b w:val="1"/>
                <w:bCs w:val="1"/>
                <w:color w:val="auto"/>
              </w:rPr>
              <w:t>11</w:t>
            </w:r>
          </w:p>
        </w:tc>
      </w:tr>
    </w:tbl>
    <w:p>
      <w:pPr>
        <w:sectPr>
          <w:pgSz w:w="11900" w:h="16838" w:orient="portrait"/>
          <w:cols w:equalWidth="0" w:num="1">
            <w:col w:w="10960"/>
          </w:cols>
          <w:pgMar w:left="500" w:top="542" w:right="439" w:bottom="1440" w:gutter="0" w:footer="0" w:header="0"/>
        </w:sectPr>
      </w:pPr>
    </w:p>
    <w:bookmarkStart w:id="25" w:name="page26"/>
    <w:bookmarkEnd w:id="25"/>
    <w:p>
      <w:pPr>
        <w:ind w:left="980"/>
        <w:spacing w:after="0"/>
        <w:rPr>
          <w:sz w:val="20"/>
          <w:szCs w:val="20"/>
          <w:color w:val="auto"/>
        </w:rPr>
      </w:pPr>
      <w:r>
        <w:rPr>
          <w:rFonts w:ascii="Arial" w:cs="Arial" w:eastAsia="Arial" w:hAnsi="Arial"/>
          <w:sz w:val="41"/>
          <w:szCs w:val="41"/>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GME Earnings Before Interest &amp; Taxes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12</w:t>
      </w:r>
    </w:p>
    <w:p>
      <w:pPr>
        <w:sectPr>
          <w:pgSz w:w="11900" w:h="16838" w:orient="portrait"/>
          <w:cols w:equalWidth="0" w:num="1">
            <w:col w:w="10680"/>
          </w:cols>
          <w:pgMar w:left="500" w:top="582" w:right="719" w:bottom="1440" w:gutter="0" w:footer="0" w:header="0"/>
        </w:sectPr>
      </w:pPr>
    </w:p>
    <w:bookmarkStart w:id="26" w:name="page27"/>
    <w:bookmarkEnd w:id="26"/>
    <w:p>
      <w:pPr>
        <w:ind w:left="9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GMIO Deliveries</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33"/>
          <w:szCs w:val="33"/>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420"/>
        <w:spacing w:after="0"/>
        <w:rPr>
          <w:sz w:val="20"/>
          <w:szCs w:val="20"/>
          <w:color w:val="auto"/>
        </w:rPr>
      </w:pPr>
      <w:r>
        <w:rPr>
          <w:rFonts w:ascii="Arial" w:cs="Arial" w:eastAsia="Arial" w:hAnsi="Arial"/>
          <w:sz w:val="26"/>
          <w:szCs w:val="26"/>
          <w:b w:val="1"/>
          <w:bCs w:val="1"/>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20"/>
        <w:spacing w:after="0"/>
        <w:rPr>
          <w:sz w:val="20"/>
          <w:szCs w:val="20"/>
          <w:color w:val="auto"/>
        </w:rPr>
      </w:pPr>
      <w:r>
        <w:rPr>
          <w:rFonts w:ascii="Arial" w:cs="Arial" w:eastAsia="Arial" w:hAnsi="Arial"/>
          <w:sz w:val="25"/>
          <w:szCs w:val="25"/>
          <w:b w:val="1"/>
          <w:bCs w:val="1"/>
          <w:color w:val="auto"/>
        </w:rPr>
        <w:t>GMIO Excl.</w:t>
      </w:r>
    </w:p>
    <w:p>
      <w:pPr>
        <w:spacing w:after="0" w:line="51" w:lineRule="exact"/>
        <w:rPr>
          <w:sz w:val="20"/>
          <w:szCs w:val="20"/>
          <w:color w:val="auto"/>
        </w:rPr>
      </w:pPr>
    </w:p>
    <w:p>
      <w:pPr>
        <w:ind w:left="9420"/>
        <w:spacing w:after="0"/>
        <w:rPr>
          <w:sz w:val="20"/>
          <w:szCs w:val="20"/>
          <w:color w:val="auto"/>
        </w:rPr>
      </w:pPr>
      <w:r>
        <w:rPr>
          <w:rFonts w:ascii="Arial" w:cs="Arial" w:eastAsia="Arial" w:hAnsi="Arial"/>
          <w:sz w:val="26"/>
          <w:szCs w:val="26"/>
          <w:b w:val="1"/>
          <w:bCs w:val="1"/>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120" w:type="dxa"/>
            <w:vAlign w:val="bottom"/>
          </w:tcPr>
          <w:p>
            <w:pPr>
              <w:spacing w:after="0"/>
              <w:rPr>
                <w:sz w:val="20"/>
                <w:szCs w:val="20"/>
                <w:color w:val="auto"/>
              </w:rPr>
            </w:pPr>
            <w:r>
              <w:rPr>
                <w:rFonts w:ascii="Arial" w:cs="Arial" w:eastAsia="Arial" w:hAnsi="Arial"/>
                <w:sz w:val="26"/>
                <w:szCs w:val="26"/>
                <w:b w:val="1"/>
                <w:bCs w:val="1"/>
                <w:color w:val="auto"/>
              </w:rPr>
              <w:t>GMIO Share</w:t>
            </w:r>
          </w:p>
        </w:tc>
        <w:tc>
          <w:tcPr>
            <w:tcW w:w="2340" w:type="dxa"/>
            <w:vAlign w:val="bottom"/>
          </w:tcPr>
          <w:p>
            <w:pPr>
              <w:jc w:val="right"/>
              <w:ind w:right="811"/>
              <w:spacing w:after="0"/>
              <w:rPr>
                <w:sz w:val="20"/>
                <w:szCs w:val="20"/>
                <w:color w:val="auto"/>
              </w:rPr>
            </w:pPr>
            <w:r>
              <w:rPr>
                <w:rFonts w:ascii="Arial" w:cs="Arial" w:eastAsia="Arial" w:hAnsi="Arial"/>
                <w:sz w:val="26"/>
                <w:szCs w:val="26"/>
                <w:b w:val="1"/>
                <w:bCs w:val="1"/>
                <w:color w:val="auto"/>
              </w:rPr>
              <w:t>10.3%</w:t>
            </w:r>
          </w:p>
        </w:tc>
        <w:tc>
          <w:tcPr>
            <w:tcW w:w="2680" w:type="dxa"/>
            <w:vAlign w:val="bottom"/>
          </w:tcPr>
          <w:p>
            <w:pPr>
              <w:jc w:val="right"/>
              <w:ind w:right="871"/>
              <w:spacing w:after="0"/>
              <w:rPr>
                <w:sz w:val="20"/>
                <w:szCs w:val="20"/>
                <w:color w:val="auto"/>
              </w:rPr>
            </w:pPr>
            <w:r>
              <w:rPr>
                <w:rFonts w:ascii="Arial" w:cs="Arial" w:eastAsia="Arial" w:hAnsi="Arial"/>
                <w:sz w:val="26"/>
                <w:szCs w:val="26"/>
                <w:b w:val="1"/>
                <w:bCs w:val="1"/>
                <w:color w:val="auto"/>
              </w:rPr>
              <w:t>10.3%</w:t>
            </w:r>
          </w:p>
        </w:tc>
        <w:tc>
          <w:tcPr>
            <w:tcW w:w="1760" w:type="dxa"/>
            <w:vAlign w:val="bottom"/>
          </w:tcPr>
          <w:p>
            <w:pPr>
              <w:jc w:val="right"/>
              <w:spacing w:after="0"/>
              <w:rPr>
                <w:sz w:val="20"/>
                <w:szCs w:val="20"/>
                <w:color w:val="auto"/>
              </w:rPr>
            </w:pPr>
            <w:r>
              <w:rPr>
                <w:rFonts w:ascii="Arial" w:cs="Arial" w:eastAsia="Arial" w:hAnsi="Arial"/>
                <w:sz w:val="26"/>
                <w:szCs w:val="26"/>
                <w:b w:val="1"/>
                <w:bCs w:val="1"/>
                <w:color w:val="auto"/>
              </w:rPr>
              <w:t>10.3%</w:t>
            </w:r>
          </w:p>
        </w:tc>
      </w:tr>
      <w:tr>
        <w:trPr>
          <w:trHeight w:val="479"/>
        </w:trPr>
        <w:tc>
          <w:tcPr>
            <w:tcW w:w="2120" w:type="dxa"/>
            <w:vAlign w:val="bottom"/>
          </w:tcPr>
          <w:p>
            <w:pPr>
              <w:spacing w:after="0"/>
              <w:rPr>
                <w:sz w:val="20"/>
                <w:szCs w:val="20"/>
                <w:color w:val="auto"/>
              </w:rPr>
            </w:pPr>
            <w:r>
              <w:rPr>
                <w:rFonts w:ascii="Arial" w:cs="Arial" w:eastAsia="Arial" w:hAnsi="Arial"/>
                <w:sz w:val="26"/>
                <w:szCs w:val="26"/>
                <w:color w:val="auto"/>
              </w:rPr>
              <w:t>China Share</w:t>
            </w:r>
          </w:p>
        </w:tc>
        <w:tc>
          <w:tcPr>
            <w:tcW w:w="2340" w:type="dxa"/>
            <w:vAlign w:val="bottom"/>
          </w:tcPr>
          <w:p>
            <w:pPr>
              <w:jc w:val="center"/>
              <w:ind w:right="171"/>
              <w:spacing w:after="0"/>
              <w:rPr>
                <w:sz w:val="20"/>
                <w:szCs w:val="20"/>
                <w:color w:val="auto"/>
              </w:rPr>
            </w:pPr>
            <w:r>
              <w:rPr>
                <w:rFonts w:ascii="Arial" w:cs="Arial" w:eastAsia="Arial" w:hAnsi="Arial"/>
                <w:sz w:val="26"/>
                <w:szCs w:val="26"/>
                <w:color w:val="auto"/>
                <w:w w:val="97"/>
              </w:rPr>
              <w:t>13.4%</w:t>
            </w:r>
          </w:p>
        </w:tc>
        <w:tc>
          <w:tcPr>
            <w:tcW w:w="2680" w:type="dxa"/>
            <w:vAlign w:val="bottom"/>
          </w:tcPr>
          <w:p>
            <w:pPr>
              <w:jc w:val="center"/>
              <w:spacing w:after="0"/>
              <w:rPr>
                <w:sz w:val="20"/>
                <w:szCs w:val="20"/>
                <w:color w:val="auto"/>
              </w:rPr>
            </w:pPr>
            <w:r>
              <w:rPr>
                <w:rFonts w:ascii="Arial" w:cs="Arial" w:eastAsia="Arial" w:hAnsi="Arial"/>
                <w:sz w:val="26"/>
                <w:szCs w:val="26"/>
                <w:color w:val="auto"/>
                <w:w w:val="97"/>
              </w:rPr>
              <w:t>13.3%</w:t>
            </w:r>
          </w:p>
        </w:tc>
        <w:tc>
          <w:tcPr>
            <w:tcW w:w="1760" w:type="dxa"/>
            <w:vAlign w:val="bottom"/>
          </w:tcPr>
          <w:p>
            <w:pPr>
              <w:jc w:val="center"/>
              <w:ind w:left="851"/>
              <w:spacing w:after="0"/>
              <w:rPr>
                <w:sz w:val="20"/>
                <w:szCs w:val="20"/>
                <w:color w:val="auto"/>
              </w:rPr>
            </w:pPr>
            <w:r>
              <w:rPr>
                <w:rFonts w:ascii="Arial" w:cs="Arial" w:eastAsia="Arial" w:hAnsi="Arial"/>
                <w:sz w:val="26"/>
                <w:szCs w:val="26"/>
                <w:color w:val="auto"/>
              </w:rPr>
              <w:t>13.5%</w:t>
            </w:r>
          </w:p>
        </w:tc>
      </w:tr>
      <w:tr>
        <w:trPr>
          <w:trHeight w:val="479"/>
        </w:trPr>
        <w:tc>
          <w:tcPr>
            <w:tcW w:w="2120" w:type="dxa"/>
            <w:vAlign w:val="bottom"/>
          </w:tcPr>
          <w:p>
            <w:pPr>
              <w:spacing w:after="0"/>
              <w:rPr>
                <w:sz w:val="20"/>
                <w:szCs w:val="20"/>
                <w:color w:val="auto"/>
              </w:rPr>
            </w:pPr>
            <w:r>
              <w:rPr>
                <w:rFonts w:ascii="Arial" w:cs="Arial" w:eastAsia="Arial" w:hAnsi="Arial"/>
                <w:sz w:val="26"/>
                <w:szCs w:val="26"/>
                <w:color w:val="auto"/>
              </w:rPr>
              <w:t>Brazil Share</w:t>
            </w:r>
          </w:p>
        </w:tc>
        <w:tc>
          <w:tcPr>
            <w:tcW w:w="2340" w:type="dxa"/>
            <w:vAlign w:val="bottom"/>
          </w:tcPr>
          <w:p>
            <w:pPr>
              <w:jc w:val="center"/>
              <w:ind w:right="171"/>
              <w:spacing w:after="0"/>
              <w:rPr>
                <w:sz w:val="20"/>
                <w:szCs w:val="20"/>
                <w:color w:val="auto"/>
              </w:rPr>
            </w:pPr>
            <w:r>
              <w:rPr>
                <w:rFonts w:ascii="Arial" w:cs="Arial" w:eastAsia="Arial" w:hAnsi="Arial"/>
                <w:sz w:val="26"/>
                <w:szCs w:val="26"/>
                <w:color w:val="auto"/>
                <w:w w:val="97"/>
              </w:rPr>
              <w:t>19.8%</w:t>
            </w:r>
          </w:p>
        </w:tc>
        <w:tc>
          <w:tcPr>
            <w:tcW w:w="2680" w:type="dxa"/>
            <w:vAlign w:val="bottom"/>
          </w:tcPr>
          <w:p>
            <w:pPr>
              <w:jc w:val="center"/>
              <w:spacing w:after="0"/>
              <w:rPr>
                <w:sz w:val="20"/>
                <w:szCs w:val="20"/>
                <w:color w:val="auto"/>
              </w:rPr>
            </w:pPr>
            <w:r>
              <w:rPr>
                <w:rFonts w:ascii="Arial" w:cs="Arial" w:eastAsia="Arial" w:hAnsi="Arial"/>
                <w:sz w:val="26"/>
                <w:szCs w:val="26"/>
                <w:color w:val="auto"/>
                <w:w w:val="97"/>
              </w:rPr>
              <w:t>18.7%</w:t>
            </w:r>
          </w:p>
        </w:tc>
        <w:tc>
          <w:tcPr>
            <w:tcW w:w="1760" w:type="dxa"/>
            <w:vAlign w:val="bottom"/>
          </w:tcPr>
          <w:p>
            <w:pPr>
              <w:jc w:val="center"/>
              <w:ind w:left="851"/>
              <w:spacing w:after="0"/>
              <w:rPr>
                <w:sz w:val="20"/>
                <w:szCs w:val="20"/>
                <w:color w:val="auto"/>
              </w:rPr>
            </w:pPr>
            <w:r>
              <w:rPr>
                <w:rFonts w:ascii="Arial" w:cs="Arial" w:eastAsia="Arial" w:hAnsi="Arial"/>
                <w:sz w:val="26"/>
                <w:szCs w:val="26"/>
                <w:color w:val="auto"/>
              </w:rPr>
              <w:t>19.9%</w:t>
            </w:r>
          </w:p>
        </w:tc>
      </w:tr>
      <w:tr>
        <w:trPr>
          <w:trHeight w:val="479"/>
        </w:trPr>
        <w:tc>
          <w:tcPr>
            <w:tcW w:w="2120" w:type="dxa"/>
            <w:vAlign w:val="bottom"/>
          </w:tcPr>
          <w:p>
            <w:pPr>
              <w:spacing w:after="0"/>
              <w:rPr>
                <w:sz w:val="20"/>
                <w:szCs w:val="20"/>
                <w:color w:val="auto"/>
              </w:rPr>
            </w:pPr>
            <w:r>
              <w:rPr>
                <w:rFonts w:ascii="Arial" w:cs="Arial" w:eastAsia="Arial" w:hAnsi="Arial"/>
                <w:sz w:val="26"/>
                <w:szCs w:val="26"/>
                <w:color w:val="auto"/>
              </w:rPr>
              <w:t>India Share</w:t>
            </w:r>
          </w:p>
        </w:tc>
        <w:tc>
          <w:tcPr>
            <w:tcW w:w="2340" w:type="dxa"/>
            <w:vAlign w:val="bottom"/>
          </w:tcPr>
          <w:p>
            <w:pPr>
              <w:jc w:val="center"/>
              <w:ind w:right="171"/>
              <w:spacing w:after="0"/>
              <w:rPr>
                <w:sz w:val="20"/>
                <w:szCs w:val="20"/>
                <w:color w:val="auto"/>
              </w:rPr>
            </w:pPr>
            <w:r>
              <w:rPr>
                <w:rFonts w:ascii="Arial" w:cs="Arial" w:eastAsia="Arial" w:hAnsi="Arial"/>
                <w:sz w:val="26"/>
                <w:szCs w:val="26"/>
                <w:color w:val="auto"/>
              </w:rPr>
              <w:t>3.1%</w:t>
            </w:r>
          </w:p>
        </w:tc>
        <w:tc>
          <w:tcPr>
            <w:tcW w:w="2680" w:type="dxa"/>
            <w:vAlign w:val="bottom"/>
          </w:tcPr>
          <w:p>
            <w:pPr>
              <w:jc w:val="center"/>
              <w:spacing w:after="0"/>
              <w:rPr>
                <w:sz w:val="20"/>
                <w:szCs w:val="20"/>
                <w:color w:val="auto"/>
              </w:rPr>
            </w:pPr>
            <w:r>
              <w:rPr>
                <w:rFonts w:ascii="Arial" w:cs="Arial" w:eastAsia="Arial" w:hAnsi="Arial"/>
                <w:sz w:val="26"/>
                <w:szCs w:val="26"/>
                <w:color w:val="auto"/>
                <w:w w:val="97"/>
              </w:rPr>
              <w:t>3.7%</w:t>
            </w:r>
          </w:p>
        </w:tc>
        <w:tc>
          <w:tcPr>
            <w:tcW w:w="1760" w:type="dxa"/>
            <w:vAlign w:val="bottom"/>
          </w:tcPr>
          <w:p>
            <w:pPr>
              <w:jc w:val="center"/>
              <w:ind w:left="871"/>
              <w:spacing w:after="0"/>
              <w:rPr>
                <w:sz w:val="20"/>
                <w:szCs w:val="20"/>
                <w:color w:val="auto"/>
              </w:rPr>
            </w:pPr>
            <w:r>
              <w:rPr>
                <w:rFonts w:ascii="Arial" w:cs="Arial" w:eastAsia="Arial" w:hAnsi="Arial"/>
                <w:sz w:val="26"/>
                <w:szCs w:val="26"/>
                <w:color w:val="auto"/>
              </w:rPr>
              <w:t>4.2%</w:t>
            </w:r>
          </w:p>
        </w:tc>
      </w:tr>
    </w:tbl>
    <w:p>
      <w:pPr>
        <w:spacing w:after="0" w:line="236" w:lineRule="exact"/>
        <w:rPr>
          <w:sz w:val="20"/>
          <w:szCs w:val="20"/>
          <w:color w:val="auto"/>
        </w:rPr>
      </w:pPr>
    </w:p>
    <w:p>
      <w:pPr>
        <w:ind w:left="10380"/>
        <w:spacing w:after="0"/>
        <w:rPr>
          <w:sz w:val="20"/>
          <w:szCs w:val="20"/>
          <w:color w:val="auto"/>
        </w:rPr>
      </w:pPr>
      <w:r>
        <w:rPr>
          <w:rFonts w:ascii="Arial" w:cs="Arial" w:eastAsia="Arial" w:hAnsi="Arial"/>
          <w:sz w:val="26"/>
          <w:szCs w:val="26"/>
          <w:b w:val="1"/>
          <w:bCs w:val="1"/>
          <w:color w:val="auto"/>
        </w:rPr>
        <w:t>13</w:t>
      </w:r>
    </w:p>
    <w:p>
      <w:pPr>
        <w:sectPr>
          <w:pgSz w:w="11900" w:h="16838" w:orient="portrait"/>
          <w:cols w:equalWidth="0" w:num="1">
            <w:col w:w="10780"/>
          </w:cols>
          <w:pgMar w:left="500" w:top="542" w:right="619" w:bottom="1440" w:gutter="0" w:footer="0" w:header="0"/>
        </w:sectPr>
      </w:pPr>
    </w:p>
    <w:bookmarkStart w:id="27" w:name="page28"/>
    <w:bookmarkEnd w:id="27"/>
    <w:p>
      <w:pPr>
        <w:ind w:left="12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GMIO Net Revenue</w:t>
      </w:r>
    </w:p>
    <w:p>
      <w:pPr>
        <w:spacing w:after="0" w:line="297" w:lineRule="exact"/>
        <w:rPr>
          <w:sz w:val="20"/>
          <w:szCs w:val="20"/>
          <w:color w:val="auto"/>
        </w:rPr>
      </w:pPr>
    </w:p>
    <w:p>
      <w:pPr>
        <w:ind w:left="1180"/>
        <w:spacing w:after="0"/>
        <w:rPr>
          <w:sz w:val="20"/>
          <w:szCs w:val="20"/>
          <w:color w:val="auto"/>
        </w:rPr>
      </w:pPr>
      <w:r>
        <w:rPr>
          <w:rFonts w:ascii="Arial" w:cs="Arial" w:eastAsia="Arial" w:hAnsi="Arial"/>
          <w:sz w:val="33"/>
          <w:szCs w:val="33"/>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840" w:type="dxa"/>
            <w:vAlign w:val="bottom"/>
          </w:tcPr>
          <w:p>
            <w:pPr>
              <w:spacing w:after="0"/>
              <w:rPr>
                <w:sz w:val="20"/>
                <w:szCs w:val="20"/>
                <w:color w:val="auto"/>
              </w:rPr>
            </w:pPr>
            <w:r>
              <w:rPr>
                <w:rFonts w:ascii="Arial" w:cs="Arial" w:eastAsia="Arial" w:hAnsi="Arial"/>
                <w:sz w:val="26"/>
                <w:szCs w:val="26"/>
                <w:b w:val="1"/>
                <w:bCs w:val="1"/>
                <w:color w:val="auto"/>
              </w:rPr>
              <w:t>Production (000’s)</w:t>
            </w:r>
          </w:p>
        </w:tc>
        <w:tc>
          <w:tcPr>
            <w:tcW w:w="3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30"/>
        </w:trPr>
        <w:tc>
          <w:tcPr>
            <w:tcW w:w="2840" w:type="dxa"/>
            <w:vAlign w:val="bottom"/>
          </w:tcPr>
          <w:p>
            <w:pPr>
              <w:ind w:left="60"/>
              <w:spacing w:after="0"/>
              <w:rPr>
                <w:sz w:val="20"/>
                <w:szCs w:val="20"/>
                <w:color w:val="auto"/>
              </w:rPr>
            </w:pPr>
            <w:r>
              <w:rPr>
                <w:rFonts w:ascii="Arial" w:cs="Arial" w:eastAsia="Arial" w:hAnsi="Arial"/>
                <w:sz w:val="26"/>
                <w:szCs w:val="26"/>
                <w:b w:val="1"/>
                <w:bCs w:val="1"/>
                <w:color w:val="auto"/>
              </w:rPr>
              <w:t>Fully Consolidated</w:t>
            </w:r>
          </w:p>
        </w:tc>
        <w:tc>
          <w:tcPr>
            <w:tcW w:w="3060" w:type="dxa"/>
            <w:vAlign w:val="bottom"/>
          </w:tcPr>
          <w:p>
            <w:pPr>
              <w:jc w:val="right"/>
              <w:ind w:right="2051"/>
              <w:spacing w:after="0"/>
              <w:rPr>
                <w:sz w:val="20"/>
                <w:szCs w:val="20"/>
                <w:color w:val="auto"/>
              </w:rPr>
            </w:pPr>
            <w:r>
              <w:rPr>
                <w:rFonts w:ascii="Arial" w:cs="Arial" w:eastAsia="Arial" w:hAnsi="Arial"/>
                <w:sz w:val="26"/>
                <w:szCs w:val="26"/>
                <w:b w:val="1"/>
                <w:bCs w:val="1"/>
                <w:color w:val="auto"/>
              </w:rPr>
              <w:t>414</w:t>
            </w:r>
          </w:p>
        </w:tc>
        <w:tc>
          <w:tcPr>
            <w:tcW w:w="1880" w:type="dxa"/>
            <w:vAlign w:val="bottom"/>
          </w:tcPr>
          <w:p>
            <w:pPr>
              <w:jc w:val="center"/>
              <w:ind w:right="851"/>
              <w:spacing w:after="0"/>
              <w:rPr>
                <w:sz w:val="20"/>
                <w:szCs w:val="20"/>
                <w:color w:val="auto"/>
              </w:rPr>
            </w:pPr>
            <w:r>
              <w:rPr>
                <w:rFonts w:ascii="Arial" w:cs="Arial" w:eastAsia="Arial" w:hAnsi="Arial"/>
                <w:sz w:val="26"/>
                <w:szCs w:val="26"/>
                <w:b w:val="1"/>
                <w:bCs w:val="1"/>
                <w:color w:val="auto"/>
                <w:w w:val="96"/>
              </w:rPr>
              <w:t>456</w:t>
            </w:r>
          </w:p>
        </w:tc>
        <w:tc>
          <w:tcPr>
            <w:tcW w:w="3180" w:type="dxa"/>
            <w:vAlign w:val="bottom"/>
          </w:tcPr>
          <w:p>
            <w:pPr>
              <w:jc w:val="center"/>
              <w:ind w:right="211"/>
              <w:spacing w:after="0"/>
              <w:rPr>
                <w:sz w:val="20"/>
                <w:szCs w:val="20"/>
                <w:color w:val="auto"/>
              </w:rPr>
            </w:pPr>
            <w:r>
              <w:rPr>
                <w:rFonts w:ascii="Arial" w:cs="Arial" w:eastAsia="Arial" w:hAnsi="Arial"/>
                <w:sz w:val="26"/>
                <w:szCs w:val="26"/>
                <w:b w:val="1"/>
                <w:bCs w:val="1"/>
                <w:color w:val="auto"/>
              </w:rPr>
              <w:t>455</w:t>
            </w:r>
          </w:p>
        </w:tc>
      </w:tr>
      <w:tr>
        <w:trPr>
          <w:trHeight w:val="430"/>
        </w:trPr>
        <w:tc>
          <w:tcPr>
            <w:tcW w:w="2840" w:type="dxa"/>
            <w:vAlign w:val="bottom"/>
          </w:tcPr>
          <w:p>
            <w:pPr>
              <w:ind w:left="60"/>
              <w:spacing w:after="0"/>
              <w:rPr>
                <w:sz w:val="20"/>
                <w:szCs w:val="20"/>
                <w:color w:val="auto"/>
              </w:rPr>
            </w:pPr>
            <w:r>
              <w:rPr>
                <w:rFonts w:ascii="Arial" w:cs="Arial" w:eastAsia="Arial" w:hAnsi="Arial"/>
                <w:sz w:val="26"/>
                <w:szCs w:val="26"/>
                <w:b w:val="1"/>
                <w:bCs w:val="1"/>
                <w:color w:val="auto"/>
              </w:rPr>
              <w:t>Joint Venture</w:t>
            </w:r>
          </w:p>
        </w:tc>
        <w:tc>
          <w:tcPr>
            <w:tcW w:w="3060" w:type="dxa"/>
            <w:vAlign w:val="bottom"/>
          </w:tcPr>
          <w:p>
            <w:pPr>
              <w:jc w:val="right"/>
              <w:ind w:right="2051"/>
              <w:spacing w:after="0"/>
              <w:rPr>
                <w:sz w:val="20"/>
                <w:szCs w:val="20"/>
                <w:color w:val="auto"/>
              </w:rPr>
            </w:pPr>
            <w:r>
              <w:rPr>
                <w:rFonts w:ascii="Arial" w:cs="Arial" w:eastAsia="Arial" w:hAnsi="Arial"/>
                <w:sz w:val="26"/>
                <w:szCs w:val="26"/>
                <w:b w:val="1"/>
                <w:bCs w:val="1"/>
                <w:color w:val="auto"/>
              </w:rPr>
              <w:t>491</w:t>
            </w:r>
          </w:p>
        </w:tc>
        <w:tc>
          <w:tcPr>
            <w:tcW w:w="1880" w:type="dxa"/>
            <w:vAlign w:val="bottom"/>
          </w:tcPr>
          <w:p>
            <w:pPr>
              <w:jc w:val="center"/>
              <w:ind w:right="851"/>
              <w:spacing w:after="0"/>
              <w:rPr>
                <w:sz w:val="20"/>
                <w:szCs w:val="20"/>
                <w:color w:val="auto"/>
              </w:rPr>
            </w:pPr>
            <w:r>
              <w:rPr>
                <w:rFonts w:ascii="Arial" w:cs="Arial" w:eastAsia="Arial" w:hAnsi="Arial"/>
                <w:sz w:val="26"/>
                <w:szCs w:val="26"/>
                <w:b w:val="1"/>
                <w:bCs w:val="1"/>
                <w:color w:val="auto"/>
                <w:w w:val="96"/>
              </w:rPr>
              <w:t>584</w:t>
            </w:r>
          </w:p>
        </w:tc>
        <w:tc>
          <w:tcPr>
            <w:tcW w:w="3180" w:type="dxa"/>
            <w:vAlign w:val="bottom"/>
          </w:tcPr>
          <w:p>
            <w:pPr>
              <w:jc w:val="center"/>
              <w:ind w:right="211"/>
              <w:spacing w:after="0"/>
              <w:rPr>
                <w:sz w:val="20"/>
                <w:szCs w:val="20"/>
                <w:color w:val="auto"/>
              </w:rPr>
            </w:pPr>
            <w:r>
              <w:rPr>
                <w:rFonts w:ascii="Arial" w:cs="Arial" w:eastAsia="Arial" w:hAnsi="Arial"/>
                <w:sz w:val="26"/>
                <w:szCs w:val="26"/>
                <w:b w:val="1"/>
                <w:bCs w:val="1"/>
                <w:color w:val="auto"/>
              </w:rPr>
              <w:t>605</w:t>
            </w:r>
          </w:p>
        </w:tc>
      </w:tr>
      <w:tr>
        <w:trPr>
          <w:trHeight w:val="430"/>
        </w:trPr>
        <w:tc>
          <w:tcPr>
            <w:tcW w:w="2840" w:type="dxa"/>
            <w:vAlign w:val="bottom"/>
          </w:tcPr>
          <w:p>
            <w:pPr>
              <w:ind w:left="300"/>
              <w:spacing w:after="0"/>
              <w:rPr>
                <w:sz w:val="20"/>
                <w:szCs w:val="20"/>
                <w:color w:val="auto"/>
              </w:rPr>
            </w:pPr>
            <w:r>
              <w:rPr>
                <w:rFonts w:ascii="Arial" w:cs="Arial" w:eastAsia="Arial" w:hAnsi="Arial"/>
                <w:sz w:val="26"/>
                <w:szCs w:val="26"/>
                <w:b w:val="1"/>
                <w:bCs w:val="1"/>
                <w:color w:val="auto"/>
              </w:rPr>
              <w:t>Total</w:t>
            </w:r>
          </w:p>
        </w:tc>
        <w:tc>
          <w:tcPr>
            <w:tcW w:w="3060" w:type="dxa"/>
            <w:vAlign w:val="bottom"/>
          </w:tcPr>
          <w:p>
            <w:pPr>
              <w:jc w:val="right"/>
              <w:ind w:right="2051"/>
              <w:spacing w:after="0"/>
              <w:rPr>
                <w:sz w:val="20"/>
                <w:szCs w:val="20"/>
                <w:color w:val="auto"/>
              </w:rPr>
            </w:pPr>
            <w:r>
              <w:rPr>
                <w:rFonts w:ascii="Arial" w:cs="Arial" w:eastAsia="Arial" w:hAnsi="Arial"/>
                <w:sz w:val="26"/>
                <w:szCs w:val="26"/>
                <w:b w:val="1"/>
                <w:bCs w:val="1"/>
                <w:color w:val="auto"/>
              </w:rPr>
              <w:t>905</w:t>
            </w:r>
          </w:p>
        </w:tc>
        <w:tc>
          <w:tcPr>
            <w:tcW w:w="1880" w:type="dxa"/>
            <w:vAlign w:val="bottom"/>
          </w:tcPr>
          <w:p>
            <w:pPr>
              <w:jc w:val="center"/>
              <w:ind w:right="851"/>
              <w:spacing w:after="0"/>
              <w:rPr>
                <w:sz w:val="20"/>
                <w:szCs w:val="20"/>
                <w:color w:val="auto"/>
              </w:rPr>
            </w:pPr>
            <w:r>
              <w:rPr>
                <w:rFonts w:ascii="Arial" w:cs="Arial" w:eastAsia="Arial" w:hAnsi="Arial"/>
                <w:sz w:val="26"/>
                <w:szCs w:val="26"/>
                <w:b w:val="1"/>
                <w:bCs w:val="1"/>
                <w:color w:val="auto"/>
              </w:rPr>
              <w:t>1,040</w:t>
            </w:r>
          </w:p>
        </w:tc>
        <w:tc>
          <w:tcPr>
            <w:tcW w:w="3180" w:type="dxa"/>
            <w:vAlign w:val="bottom"/>
          </w:tcPr>
          <w:p>
            <w:pPr>
              <w:jc w:val="center"/>
              <w:ind w:right="211"/>
              <w:spacing w:after="0"/>
              <w:rPr>
                <w:sz w:val="20"/>
                <w:szCs w:val="20"/>
                <w:color w:val="auto"/>
              </w:rPr>
            </w:pPr>
            <w:r>
              <w:rPr>
                <w:rFonts w:ascii="Arial" w:cs="Arial" w:eastAsia="Arial" w:hAnsi="Arial"/>
                <w:sz w:val="26"/>
                <w:szCs w:val="26"/>
                <w:b w:val="1"/>
                <w:bCs w:val="1"/>
                <w:color w:val="auto"/>
                <w:w w:val="98"/>
              </w:rPr>
              <w:t>1,060</w:t>
            </w:r>
          </w:p>
        </w:tc>
      </w:tr>
      <w:tr>
        <w:trPr>
          <w:trHeight w:val="774"/>
        </w:trPr>
        <w:tc>
          <w:tcPr>
            <w:tcW w:w="5900" w:type="dxa"/>
            <w:vAlign w:val="bottom"/>
            <w:gridSpan w:val="2"/>
          </w:tcPr>
          <w:p>
            <w:pPr>
              <w:ind w:left="300"/>
              <w:spacing w:after="0"/>
              <w:rPr>
                <w:sz w:val="20"/>
                <w:szCs w:val="20"/>
                <w:color w:val="auto"/>
              </w:rPr>
            </w:pPr>
            <w:r>
              <w:rPr>
                <w:rFonts w:ascii="Arial" w:cs="Arial" w:eastAsia="Arial" w:hAnsi="Arial"/>
                <w:sz w:val="20"/>
                <w:szCs w:val="20"/>
                <w:color w:val="auto"/>
                <w:w w:val="99"/>
              </w:rPr>
              <w:t>Q3 2009 represents combined net revenue for GM and Old GM</w:t>
            </w:r>
          </w:p>
        </w:tc>
        <w:tc>
          <w:tcPr>
            <w:tcW w:w="188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26"/>
                <w:szCs w:val="26"/>
                <w:b w:val="1"/>
                <w:bCs w:val="1"/>
                <w:color w:val="auto"/>
              </w:rPr>
              <w:t>14</w:t>
            </w:r>
          </w:p>
        </w:tc>
      </w:tr>
    </w:tbl>
    <w:p>
      <w:pPr>
        <w:sectPr>
          <w:pgSz w:w="11900" w:h="16838" w:orient="portrait"/>
          <w:cols w:equalWidth="0" w:num="1">
            <w:col w:w="10960"/>
          </w:cols>
          <w:pgMar w:left="500" w:top="542" w:right="4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40"/>
          <w:szCs w:val="40"/>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Q1 2010 GMIO Earnings Before Interest &amp; Taxes</w:t>
      </w:r>
    </w:p>
    <w:p>
      <w:pPr>
        <w:sectPr>
          <w:pgSz w:w="11900" w:h="16838" w:orient="portrait"/>
          <w:cols w:equalWidth="0" w:num="1">
            <w:col w:w="11140"/>
          </w:cols>
          <w:pgMar w:left="500" w:top="58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80"/>
        <w:spacing w:after="0"/>
        <w:rPr>
          <w:sz w:val="20"/>
          <w:szCs w:val="20"/>
          <w:color w:val="auto"/>
        </w:rPr>
      </w:pPr>
      <w:r>
        <w:rPr>
          <w:rFonts w:ascii="Arial" w:cs="Arial" w:eastAsia="Arial" w:hAnsi="Arial"/>
          <w:sz w:val="33"/>
          <w:szCs w:val="33"/>
          <w:b w:val="1"/>
          <w:bCs w:val="1"/>
          <w:color w:val="auto"/>
        </w:rPr>
        <w:t>1.2</w:t>
      </w:r>
    </w:p>
    <w:p>
      <w:pPr>
        <w:spacing w:after="0" w:line="370" w:lineRule="exact"/>
        <w:rPr>
          <w:sz w:val="20"/>
          <w:szCs w:val="20"/>
          <w:color w:val="auto"/>
        </w:rPr>
      </w:pPr>
    </w:p>
    <w:p>
      <w:pPr>
        <w:ind w:left="5420"/>
        <w:spacing w:after="0"/>
        <w:rPr>
          <w:sz w:val="20"/>
          <w:szCs w:val="20"/>
          <w:color w:val="auto"/>
        </w:rPr>
      </w:pPr>
      <w:r>
        <w:rPr>
          <w:rFonts w:ascii="Arial" w:cs="Arial" w:eastAsia="Arial" w:hAnsi="Arial"/>
          <w:sz w:val="33"/>
          <w:szCs w:val="33"/>
          <w:b w:val="1"/>
          <w:bCs w:val="1"/>
          <w:color w:val="auto"/>
        </w:rPr>
        <w:t>0.7</w:t>
      </w:r>
    </w:p>
    <w:p>
      <w:pPr>
        <w:spacing w:after="0" w:line="19" w:lineRule="exact"/>
        <w:rPr>
          <w:sz w:val="20"/>
          <w:szCs w:val="20"/>
          <w:color w:val="auto"/>
        </w:rPr>
      </w:pPr>
    </w:p>
    <w:p>
      <w:pPr>
        <w:ind w:left="2360"/>
        <w:spacing w:after="0"/>
        <w:rPr>
          <w:sz w:val="20"/>
          <w:szCs w:val="20"/>
          <w:color w:val="auto"/>
        </w:rPr>
      </w:pPr>
      <w:r>
        <w:rPr>
          <w:rFonts w:ascii="Arial" w:cs="Arial" w:eastAsia="Arial" w:hAnsi="Arial"/>
          <w:sz w:val="33"/>
          <w:szCs w:val="33"/>
          <w:b w:val="1"/>
          <w:bCs w:val="1"/>
          <w:color w:val="auto"/>
        </w:rPr>
        <w:t>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Equity</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Income</w:t>
      </w:r>
    </w:p>
    <w:p>
      <w:pPr>
        <w:spacing w:after="0" w:line="358" w:lineRule="exact"/>
        <w:rPr>
          <w:sz w:val="20"/>
          <w:szCs w:val="20"/>
          <w:color w:val="auto"/>
        </w:rPr>
      </w:pPr>
    </w:p>
    <w:p>
      <w:pPr>
        <w:spacing w:after="0" w:line="285" w:lineRule="auto"/>
        <w:rPr>
          <w:sz w:val="20"/>
          <w:szCs w:val="20"/>
          <w:color w:val="auto"/>
        </w:rPr>
      </w:pPr>
      <w:r>
        <w:rPr>
          <w:rFonts w:ascii="Arial" w:cs="Arial" w:eastAsia="Arial" w:hAnsi="Arial"/>
          <w:sz w:val="23"/>
          <w:szCs w:val="23"/>
          <w:b w:val="1"/>
          <w:bCs w:val="1"/>
          <w:color w:val="auto"/>
        </w:rPr>
        <w:t>Inc. Before Int/Tax/Equity</w:t>
      </w:r>
    </w:p>
    <w:p>
      <w:pPr>
        <w:spacing w:after="0" w:line="200" w:lineRule="exact"/>
        <w:rPr>
          <w:sz w:val="20"/>
          <w:szCs w:val="20"/>
          <w:color w:val="auto"/>
        </w:rPr>
      </w:pPr>
    </w:p>
    <w:p>
      <w:pPr>
        <w:sectPr>
          <w:pgSz w:w="11900" w:h="16838" w:orient="portrait"/>
          <w:cols w:equalWidth="0" w:num="2">
            <w:col w:w="8900" w:space="720"/>
            <w:col w:w="1520"/>
          </w:cols>
          <w:pgMar w:left="500" w:top="58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380"/>
        <w:spacing w:after="0"/>
        <w:rPr>
          <w:sz w:val="20"/>
          <w:szCs w:val="20"/>
          <w:color w:val="auto"/>
        </w:rPr>
      </w:pPr>
      <w:r>
        <w:rPr>
          <w:rFonts w:ascii="Arial" w:cs="Arial" w:eastAsia="Arial" w:hAnsi="Arial"/>
          <w:sz w:val="26"/>
          <w:szCs w:val="26"/>
          <w:b w:val="1"/>
          <w:bCs w:val="1"/>
          <w:color w:val="auto"/>
        </w:rPr>
        <w:t>15</w:t>
      </w:r>
    </w:p>
    <w:p>
      <w:pPr>
        <w:sectPr>
          <w:pgSz w:w="11900" w:h="16838" w:orient="portrait"/>
          <w:cols w:equalWidth="0" w:num="1">
            <w:col w:w="11140"/>
          </w:cols>
          <w:pgMar w:left="500" w:top="582" w:right="259" w:bottom="1440" w:gutter="0" w:footer="0" w:header="0"/>
          <w:type w:val="continuous"/>
        </w:sectPr>
      </w:pPr>
    </w:p>
    <w:bookmarkStart w:id="29" w:name="page30"/>
    <w:bookmarkEnd w:id="29"/>
    <w:p>
      <w:pPr>
        <w:ind w:left="980"/>
        <w:spacing w:after="0"/>
        <w:rPr>
          <w:sz w:val="20"/>
          <w:szCs w:val="20"/>
          <w:color w:val="auto"/>
        </w:rPr>
      </w:pPr>
      <w:r>
        <w:rPr>
          <w:rFonts w:ascii="Arial" w:cs="Arial" w:eastAsia="Arial" w:hAnsi="Arial"/>
          <w:sz w:val="45"/>
          <w:szCs w:val="45"/>
          <w:b w:val="1"/>
          <w:bCs w:val="1"/>
          <w:color w:val="auto"/>
        </w:rPr>
        <w:t>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($B)</w:t>
      </w:r>
    </w:p>
    <w:p>
      <w:pPr>
        <w:spacing w:after="0" w:line="247"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Net Income /(Loss)</w:t>
      </w: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29"/>
          <w:szCs w:val="29"/>
          <w:color w:val="auto"/>
        </w:rPr>
        <w:t>Depreciation / Amortization</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9"/>
          <w:szCs w:val="29"/>
          <w:color w:val="auto"/>
        </w:rPr>
        <w:t>Working Capital</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9"/>
          <w:szCs w:val="29"/>
          <w:color w:val="auto"/>
        </w:rPr>
        <w:t>Pension / OPEB &amp; Other</w:t>
      </w:r>
    </w:p>
    <w:p>
      <w:pPr>
        <w:spacing w:after="0" w:line="267" w:lineRule="exact"/>
        <w:rPr>
          <w:sz w:val="20"/>
          <w:szCs w:val="20"/>
          <w:color w:val="auto"/>
        </w:rPr>
      </w:pPr>
    </w:p>
    <w:p>
      <w:pPr>
        <w:spacing w:after="0" w:line="288" w:lineRule="auto"/>
        <w:rPr>
          <w:sz w:val="20"/>
          <w:szCs w:val="20"/>
          <w:color w:val="auto"/>
        </w:rPr>
      </w:pPr>
      <w:r>
        <w:rPr>
          <w:rFonts w:ascii="Arial" w:cs="Arial" w:eastAsia="Arial" w:hAnsi="Arial"/>
          <w:sz w:val="33"/>
          <w:szCs w:val="33"/>
          <w:b w:val="1"/>
          <w:bCs w:val="1"/>
          <w:color w:val="auto"/>
        </w:rPr>
        <w:t>Net cash provided/(used) operating activities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29"/>
          <w:szCs w:val="29"/>
          <w:color w:val="auto"/>
        </w:rPr>
        <w:t>Capital Expenditures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9"/>
        </w:trPr>
        <w:tc>
          <w:tcPr>
            <w:tcW w:w="2500" w:type="dxa"/>
            <w:vAlign w:val="bottom"/>
          </w:tcPr>
          <w:p>
            <w:pPr>
              <w:jc w:val="right"/>
              <w:ind w:right="248"/>
              <w:spacing w:after="0"/>
              <w:rPr>
                <w:sz w:val="20"/>
                <w:szCs w:val="20"/>
                <w:color w:val="auto"/>
              </w:rPr>
            </w:pPr>
            <w:r>
              <w:rPr>
                <w:rFonts w:ascii="Arial" w:cs="Arial" w:eastAsia="Arial" w:hAnsi="Arial"/>
                <w:sz w:val="26"/>
                <w:szCs w:val="26"/>
                <w:b w:val="1"/>
                <w:bCs w:val="1"/>
                <w:color w:val="auto"/>
                <w:w w:val="99"/>
              </w:rPr>
              <w:t>July 10 – Sept 30</w:t>
            </w:r>
          </w:p>
        </w:tc>
        <w:tc>
          <w:tcPr>
            <w:tcW w:w="1720" w:type="dxa"/>
            <w:vAlign w:val="bottom"/>
          </w:tcPr>
          <w:p>
            <w:pPr>
              <w:jc w:val="center"/>
              <w:ind w:right="68"/>
              <w:spacing w:after="0"/>
              <w:rPr>
                <w:sz w:val="20"/>
                <w:szCs w:val="20"/>
                <w:color w:val="auto"/>
              </w:rPr>
            </w:pPr>
            <w:r>
              <w:rPr>
                <w:rFonts w:ascii="Arial" w:cs="Arial" w:eastAsia="Arial" w:hAnsi="Arial"/>
                <w:sz w:val="26"/>
                <w:szCs w:val="26"/>
                <w:b w:val="1"/>
                <w:bCs w:val="1"/>
                <w:color w:val="auto"/>
                <w:w w:val="97"/>
              </w:rPr>
              <w:t>Q4</w:t>
            </w:r>
          </w:p>
        </w:tc>
        <w:tc>
          <w:tcPr>
            <w:tcW w:w="1360" w:type="dxa"/>
            <w:vAlign w:val="bottom"/>
          </w:tcPr>
          <w:p>
            <w:pPr>
              <w:jc w:val="center"/>
              <w:ind w:left="468"/>
              <w:spacing w:after="0"/>
              <w:rPr>
                <w:sz w:val="20"/>
                <w:szCs w:val="20"/>
                <w:color w:val="auto"/>
              </w:rPr>
            </w:pPr>
            <w:r>
              <w:rPr>
                <w:rFonts w:ascii="Arial" w:cs="Arial" w:eastAsia="Arial" w:hAnsi="Arial"/>
                <w:sz w:val="26"/>
                <w:szCs w:val="26"/>
                <w:b w:val="1"/>
                <w:bCs w:val="1"/>
                <w:color w:val="auto"/>
                <w:w w:val="97"/>
              </w:rPr>
              <w:t>Q1</w:t>
            </w:r>
          </w:p>
        </w:tc>
      </w:tr>
      <w:tr>
        <w:trPr>
          <w:trHeight w:val="442"/>
        </w:trPr>
        <w:tc>
          <w:tcPr>
            <w:tcW w:w="2500" w:type="dxa"/>
            <w:vAlign w:val="bottom"/>
          </w:tcPr>
          <w:p>
            <w:pPr>
              <w:jc w:val="right"/>
              <w:ind w:right="868"/>
              <w:spacing w:after="0"/>
              <w:rPr>
                <w:sz w:val="20"/>
                <w:szCs w:val="20"/>
                <w:color w:val="auto"/>
              </w:rPr>
            </w:pPr>
            <w:r>
              <w:rPr>
                <w:rFonts w:ascii="Arial" w:cs="Arial" w:eastAsia="Arial" w:hAnsi="Arial"/>
                <w:sz w:val="33"/>
                <w:szCs w:val="33"/>
                <w:b w:val="1"/>
                <w:bCs w:val="1"/>
                <w:color w:val="auto"/>
              </w:rPr>
              <w:t>2009</w:t>
            </w:r>
          </w:p>
        </w:tc>
        <w:tc>
          <w:tcPr>
            <w:tcW w:w="1720" w:type="dxa"/>
            <w:vAlign w:val="bottom"/>
          </w:tcPr>
          <w:p>
            <w:pPr>
              <w:jc w:val="center"/>
              <w:ind w:right="68"/>
              <w:spacing w:after="0"/>
              <w:rPr>
                <w:sz w:val="20"/>
                <w:szCs w:val="20"/>
                <w:color w:val="auto"/>
              </w:rPr>
            </w:pPr>
            <w:r>
              <w:rPr>
                <w:rFonts w:ascii="Arial" w:cs="Arial" w:eastAsia="Arial" w:hAnsi="Arial"/>
                <w:sz w:val="33"/>
                <w:szCs w:val="33"/>
                <w:b w:val="1"/>
                <w:bCs w:val="1"/>
                <w:color w:val="auto"/>
              </w:rPr>
              <w:t>2009</w:t>
            </w:r>
          </w:p>
        </w:tc>
        <w:tc>
          <w:tcPr>
            <w:tcW w:w="1360" w:type="dxa"/>
            <w:vAlign w:val="bottom"/>
          </w:tcPr>
          <w:p>
            <w:pPr>
              <w:jc w:val="center"/>
              <w:ind w:left="468"/>
              <w:spacing w:after="0"/>
              <w:rPr>
                <w:sz w:val="20"/>
                <w:szCs w:val="20"/>
                <w:color w:val="auto"/>
              </w:rPr>
            </w:pPr>
            <w:r>
              <w:rPr>
                <w:rFonts w:ascii="Arial" w:cs="Arial" w:eastAsia="Arial" w:hAnsi="Arial"/>
                <w:sz w:val="33"/>
                <w:szCs w:val="33"/>
                <w:b w:val="1"/>
                <w:bCs w:val="1"/>
                <w:color w:val="auto"/>
              </w:rPr>
              <w:t>2010</w:t>
            </w:r>
          </w:p>
        </w:tc>
      </w:tr>
      <w:tr>
        <w:trPr>
          <w:trHeight w:val="626"/>
        </w:trPr>
        <w:tc>
          <w:tcPr>
            <w:tcW w:w="2500" w:type="dxa"/>
            <w:vAlign w:val="bottom"/>
          </w:tcPr>
          <w:p>
            <w:pPr>
              <w:jc w:val="right"/>
              <w:ind w:right="948"/>
              <w:spacing w:after="0"/>
              <w:rPr>
                <w:sz w:val="20"/>
                <w:szCs w:val="20"/>
                <w:color w:val="auto"/>
              </w:rPr>
            </w:pPr>
            <w:r>
              <w:rPr>
                <w:rFonts w:ascii="Arial" w:cs="Arial" w:eastAsia="Arial" w:hAnsi="Arial"/>
                <w:sz w:val="33"/>
                <w:szCs w:val="33"/>
                <w:b w:val="1"/>
                <w:bCs w:val="1"/>
                <w:color w:val="auto"/>
              </w:rPr>
              <w:t>(0.6)</w:t>
            </w:r>
          </w:p>
        </w:tc>
        <w:tc>
          <w:tcPr>
            <w:tcW w:w="1720" w:type="dxa"/>
            <w:vAlign w:val="bottom"/>
          </w:tcPr>
          <w:p>
            <w:pPr>
              <w:jc w:val="center"/>
              <w:ind w:right="88"/>
              <w:spacing w:after="0"/>
              <w:rPr>
                <w:sz w:val="20"/>
                <w:szCs w:val="20"/>
                <w:color w:val="auto"/>
              </w:rPr>
            </w:pPr>
            <w:r>
              <w:rPr>
                <w:rFonts w:ascii="Arial" w:cs="Arial" w:eastAsia="Arial" w:hAnsi="Arial"/>
                <w:sz w:val="33"/>
                <w:szCs w:val="33"/>
                <w:b w:val="1"/>
                <w:bCs w:val="1"/>
                <w:color w:val="auto"/>
              </w:rPr>
              <w:t>(3.2)</w:t>
            </w:r>
          </w:p>
        </w:tc>
        <w:tc>
          <w:tcPr>
            <w:tcW w:w="1360" w:type="dxa"/>
            <w:vAlign w:val="bottom"/>
          </w:tcPr>
          <w:p>
            <w:pPr>
              <w:jc w:val="center"/>
              <w:ind w:left="468"/>
              <w:spacing w:after="0"/>
              <w:rPr>
                <w:sz w:val="20"/>
                <w:szCs w:val="20"/>
                <w:color w:val="auto"/>
              </w:rPr>
            </w:pPr>
            <w:r>
              <w:rPr>
                <w:rFonts w:ascii="Arial" w:cs="Arial" w:eastAsia="Arial" w:hAnsi="Arial"/>
                <w:sz w:val="33"/>
                <w:szCs w:val="33"/>
                <w:b w:val="1"/>
                <w:bCs w:val="1"/>
                <w:color w:val="auto"/>
              </w:rPr>
              <w:t>1.2</w:t>
            </w:r>
          </w:p>
        </w:tc>
      </w:tr>
      <w:tr>
        <w:trPr>
          <w:trHeight w:val="737"/>
        </w:trPr>
        <w:tc>
          <w:tcPr>
            <w:tcW w:w="2500" w:type="dxa"/>
            <w:vAlign w:val="bottom"/>
          </w:tcPr>
          <w:p>
            <w:pPr>
              <w:jc w:val="right"/>
              <w:ind w:right="1068"/>
              <w:spacing w:after="0"/>
              <w:rPr>
                <w:sz w:val="20"/>
                <w:szCs w:val="20"/>
                <w:color w:val="auto"/>
              </w:rPr>
            </w:pPr>
            <w:r>
              <w:rPr>
                <w:rFonts w:ascii="Arial" w:cs="Arial" w:eastAsia="Arial" w:hAnsi="Arial"/>
                <w:sz w:val="29"/>
                <w:szCs w:val="29"/>
                <w:color w:val="auto"/>
              </w:rPr>
              <w:t>2.0</w:t>
            </w:r>
          </w:p>
        </w:tc>
        <w:tc>
          <w:tcPr>
            <w:tcW w:w="1720" w:type="dxa"/>
            <w:vAlign w:val="bottom"/>
          </w:tcPr>
          <w:p>
            <w:pPr>
              <w:jc w:val="center"/>
              <w:ind w:right="88"/>
              <w:spacing w:after="0"/>
              <w:rPr>
                <w:sz w:val="20"/>
                <w:szCs w:val="20"/>
                <w:color w:val="auto"/>
              </w:rPr>
            </w:pPr>
            <w:r>
              <w:rPr>
                <w:rFonts w:ascii="Arial" w:cs="Arial" w:eastAsia="Arial" w:hAnsi="Arial"/>
                <w:sz w:val="29"/>
                <w:szCs w:val="29"/>
                <w:color w:val="auto"/>
                <w:w w:val="99"/>
              </w:rPr>
              <w:t>2.2</w:t>
            </w:r>
          </w:p>
        </w:tc>
        <w:tc>
          <w:tcPr>
            <w:tcW w:w="1360" w:type="dxa"/>
            <w:vAlign w:val="bottom"/>
          </w:tcPr>
          <w:p>
            <w:pPr>
              <w:jc w:val="center"/>
              <w:ind w:left="468"/>
              <w:spacing w:after="0"/>
              <w:rPr>
                <w:sz w:val="20"/>
                <w:szCs w:val="20"/>
                <w:color w:val="auto"/>
              </w:rPr>
            </w:pPr>
            <w:r>
              <w:rPr>
                <w:rFonts w:ascii="Arial" w:cs="Arial" w:eastAsia="Arial" w:hAnsi="Arial"/>
                <w:sz w:val="29"/>
                <w:szCs w:val="29"/>
                <w:color w:val="auto"/>
              </w:rPr>
              <w:t>1.8</w:t>
            </w:r>
          </w:p>
        </w:tc>
      </w:tr>
      <w:tr>
        <w:trPr>
          <w:trHeight w:val="749"/>
        </w:trPr>
        <w:tc>
          <w:tcPr>
            <w:tcW w:w="2500" w:type="dxa"/>
            <w:vAlign w:val="bottom"/>
          </w:tcPr>
          <w:p>
            <w:pPr>
              <w:jc w:val="right"/>
              <w:ind w:right="1068"/>
              <w:spacing w:after="0"/>
              <w:rPr>
                <w:sz w:val="20"/>
                <w:szCs w:val="20"/>
                <w:color w:val="auto"/>
              </w:rPr>
            </w:pPr>
            <w:r>
              <w:rPr>
                <w:rFonts w:ascii="Arial" w:cs="Arial" w:eastAsia="Arial" w:hAnsi="Arial"/>
                <w:sz w:val="29"/>
                <w:szCs w:val="29"/>
                <w:color w:val="auto"/>
              </w:rPr>
              <w:t>6.4</w:t>
            </w:r>
          </w:p>
        </w:tc>
        <w:tc>
          <w:tcPr>
            <w:tcW w:w="1720" w:type="dxa"/>
            <w:vAlign w:val="bottom"/>
          </w:tcPr>
          <w:p>
            <w:pPr>
              <w:jc w:val="center"/>
              <w:ind w:right="88"/>
              <w:spacing w:after="0"/>
              <w:rPr>
                <w:sz w:val="20"/>
                <w:szCs w:val="20"/>
                <w:color w:val="auto"/>
              </w:rPr>
            </w:pPr>
            <w:r>
              <w:rPr>
                <w:rFonts w:ascii="Arial" w:cs="Arial" w:eastAsia="Arial" w:hAnsi="Arial"/>
                <w:sz w:val="29"/>
                <w:szCs w:val="29"/>
                <w:color w:val="auto"/>
              </w:rPr>
              <w:t>(2.1)</w:t>
            </w:r>
          </w:p>
        </w:tc>
        <w:tc>
          <w:tcPr>
            <w:tcW w:w="1360" w:type="dxa"/>
            <w:vAlign w:val="bottom"/>
          </w:tcPr>
          <w:p>
            <w:pPr>
              <w:jc w:val="center"/>
              <w:ind w:left="468"/>
              <w:spacing w:after="0"/>
              <w:rPr>
                <w:sz w:val="20"/>
                <w:szCs w:val="20"/>
                <w:color w:val="auto"/>
              </w:rPr>
            </w:pPr>
            <w:r>
              <w:rPr>
                <w:rFonts w:ascii="Arial" w:cs="Arial" w:eastAsia="Arial" w:hAnsi="Arial"/>
                <w:sz w:val="29"/>
                <w:szCs w:val="29"/>
                <w:color w:val="auto"/>
              </w:rPr>
              <w:t>(0.7)</w:t>
            </w:r>
          </w:p>
        </w:tc>
      </w:tr>
      <w:tr>
        <w:trPr>
          <w:trHeight w:val="749"/>
        </w:trPr>
        <w:tc>
          <w:tcPr>
            <w:tcW w:w="2500" w:type="dxa"/>
            <w:vAlign w:val="bottom"/>
          </w:tcPr>
          <w:p>
            <w:pPr>
              <w:jc w:val="right"/>
              <w:ind w:right="968"/>
              <w:spacing w:after="0"/>
              <w:rPr>
                <w:sz w:val="20"/>
                <w:szCs w:val="20"/>
                <w:color w:val="auto"/>
              </w:rPr>
            </w:pPr>
            <w:r>
              <w:rPr>
                <w:rFonts w:ascii="Arial" w:cs="Arial" w:eastAsia="Arial" w:hAnsi="Arial"/>
                <w:sz w:val="29"/>
                <w:szCs w:val="29"/>
                <w:color w:val="auto"/>
              </w:rPr>
              <w:t>(4.9)</w:t>
            </w:r>
          </w:p>
        </w:tc>
        <w:tc>
          <w:tcPr>
            <w:tcW w:w="1720" w:type="dxa"/>
            <w:vAlign w:val="bottom"/>
          </w:tcPr>
          <w:p>
            <w:pPr>
              <w:jc w:val="center"/>
              <w:ind w:right="88"/>
              <w:spacing w:after="0"/>
              <w:rPr>
                <w:sz w:val="20"/>
                <w:szCs w:val="20"/>
                <w:color w:val="auto"/>
              </w:rPr>
            </w:pPr>
            <w:r>
              <w:rPr>
                <w:rFonts w:ascii="Arial" w:cs="Arial" w:eastAsia="Arial" w:hAnsi="Arial"/>
                <w:sz w:val="29"/>
                <w:szCs w:val="29"/>
                <w:color w:val="auto"/>
                <w:w w:val="99"/>
              </w:rPr>
              <w:t>1.2</w:t>
            </w:r>
          </w:p>
        </w:tc>
        <w:tc>
          <w:tcPr>
            <w:tcW w:w="1360" w:type="dxa"/>
            <w:vAlign w:val="bottom"/>
          </w:tcPr>
          <w:p>
            <w:pPr>
              <w:jc w:val="center"/>
              <w:ind w:left="468"/>
              <w:spacing w:after="0"/>
              <w:rPr>
                <w:sz w:val="20"/>
                <w:szCs w:val="20"/>
                <w:color w:val="auto"/>
              </w:rPr>
            </w:pPr>
            <w:r>
              <w:rPr>
                <w:rFonts w:ascii="Arial" w:cs="Arial" w:eastAsia="Arial" w:hAnsi="Arial"/>
                <w:sz w:val="29"/>
                <w:szCs w:val="29"/>
                <w:color w:val="auto"/>
              </w:rPr>
              <w:t>(0.6)</w:t>
            </w:r>
          </w:p>
        </w:tc>
      </w:tr>
      <w:tr>
        <w:trPr>
          <w:trHeight w:val="884"/>
        </w:trPr>
        <w:tc>
          <w:tcPr>
            <w:tcW w:w="2500" w:type="dxa"/>
            <w:vAlign w:val="bottom"/>
          </w:tcPr>
          <w:p>
            <w:pPr>
              <w:jc w:val="right"/>
              <w:ind w:right="1068"/>
              <w:spacing w:after="0"/>
              <w:rPr>
                <w:sz w:val="20"/>
                <w:szCs w:val="20"/>
                <w:color w:val="auto"/>
              </w:rPr>
            </w:pPr>
            <w:r>
              <w:rPr>
                <w:rFonts w:ascii="Arial" w:cs="Arial" w:eastAsia="Arial" w:hAnsi="Arial"/>
                <w:sz w:val="33"/>
                <w:szCs w:val="33"/>
                <w:b w:val="1"/>
                <w:bCs w:val="1"/>
                <w:color w:val="auto"/>
              </w:rPr>
              <w:t>2.9</w:t>
            </w:r>
          </w:p>
        </w:tc>
        <w:tc>
          <w:tcPr>
            <w:tcW w:w="1720" w:type="dxa"/>
            <w:vAlign w:val="bottom"/>
          </w:tcPr>
          <w:p>
            <w:pPr>
              <w:jc w:val="center"/>
              <w:ind w:right="88"/>
              <w:spacing w:after="0"/>
              <w:rPr>
                <w:sz w:val="20"/>
                <w:szCs w:val="20"/>
                <w:color w:val="auto"/>
              </w:rPr>
            </w:pPr>
            <w:r>
              <w:rPr>
                <w:rFonts w:ascii="Arial" w:cs="Arial" w:eastAsia="Arial" w:hAnsi="Arial"/>
                <w:sz w:val="33"/>
                <w:szCs w:val="33"/>
                <w:b w:val="1"/>
                <w:bCs w:val="1"/>
                <w:color w:val="auto"/>
              </w:rPr>
              <w:t>(1.9)</w:t>
            </w:r>
          </w:p>
        </w:tc>
        <w:tc>
          <w:tcPr>
            <w:tcW w:w="1360" w:type="dxa"/>
            <w:vAlign w:val="bottom"/>
          </w:tcPr>
          <w:p>
            <w:pPr>
              <w:jc w:val="center"/>
              <w:ind w:left="468"/>
              <w:spacing w:after="0"/>
              <w:rPr>
                <w:sz w:val="20"/>
                <w:szCs w:val="20"/>
                <w:color w:val="auto"/>
              </w:rPr>
            </w:pPr>
            <w:r>
              <w:rPr>
                <w:rFonts w:ascii="Arial" w:cs="Arial" w:eastAsia="Arial" w:hAnsi="Arial"/>
                <w:sz w:val="33"/>
                <w:szCs w:val="33"/>
                <w:b w:val="1"/>
                <w:bCs w:val="1"/>
                <w:color w:val="auto"/>
              </w:rPr>
              <w:t>1.7</w:t>
            </w:r>
          </w:p>
        </w:tc>
      </w:tr>
      <w:tr>
        <w:trPr>
          <w:trHeight w:val="946"/>
        </w:trPr>
        <w:tc>
          <w:tcPr>
            <w:tcW w:w="2500" w:type="dxa"/>
            <w:vAlign w:val="bottom"/>
          </w:tcPr>
          <w:p>
            <w:pPr>
              <w:jc w:val="right"/>
              <w:ind w:right="968"/>
              <w:spacing w:after="0"/>
              <w:rPr>
                <w:sz w:val="20"/>
                <w:szCs w:val="20"/>
                <w:color w:val="auto"/>
              </w:rPr>
            </w:pPr>
            <w:r>
              <w:rPr>
                <w:rFonts w:ascii="Arial" w:cs="Arial" w:eastAsia="Arial" w:hAnsi="Arial"/>
                <w:sz w:val="29"/>
                <w:szCs w:val="29"/>
                <w:color w:val="auto"/>
              </w:rPr>
              <w:t>(0.9)</w:t>
            </w:r>
          </w:p>
        </w:tc>
        <w:tc>
          <w:tcPr>
            <w:tcW w:w="1720" w:type="dxa"/>
            <w:vAlign w:val="bottom"/>
          </w:tcPr>
          <w:p>
            <w:pPr>
              <w:jc w:val="center"/>
              <w:ind w:right="88"/>
              <w:spacing w:after="0"/>
              <w:rPr>
                <w:sz w:val="20"/>
                <w:szCs w:val="20"/>
                <w:color w:val="auto"/>
              </w:rPr>
            </w:pPr>
            <w:r>
              <w:rPr>
                <w:rFonts w:ascii="Arial" w:cs="Arial" w:eastAsia="Arial" w:hAnsi="Arial"/>
                <w:sz w:val="29"/>
                <w:szCs w:val="29"/>
                <w:color w:val="auto"/>
              </w:rPr>
              <w:t>(1.0)</w:t>
            </w:r>
          </w:p>
        </w:tc>
        <w:tc>
          <w:tcPr>
            <w:tcW w:w="1360" w:type="dxa"/>
            <w:vAlign w:val="bottom"/>
          </w:tcPr>
          <w:p>
            <w:pPr>
              <w:jc w:val="center"/>
              <w:ind w:left="468"/>
              <w:spacing w:after="0"/>
              <w:rPr>
                <w:sz w:val="20"/>
                <w:szCs w:val="20"/>
                <w:color w:val="auto"/>
              </w:rPr>
            </w:pPr>
            <w:r>
              <w:rPr>
                <w:rFonts w:ascii="Arial" w:cs="Arial" w:eastAsia="Arial" w:hAnsi="Arial"/>
                <w:sz w:val="29"/>
                <w:szCs w:val="29"/>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-4359275</wp:posOffset>
            </wp:positionV>
            <wp:extent cx="7299960" cy="5340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500"/>
            <w:col w:w="6240"/>
          </w:cols>
          <w:pgMar w:left="500" w:top="542" w:right="699" w:bottom="1440" w:gutter="0" w:footer="0" w:header="0"/>
        </w:sect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442"/>
        </w:trPr>
        <w:tc>
          <w:tcPr>
            <w:tcW w:w="3860" w:type="dxa"/>
            <w:vAlign w:val="bottom"/>
          </w:tcPr>
          <w:p>
            <w:pPr>
              <w:spacing w:after="0"/>
              <w:rPr>
                <w:sz w:val="20"/>
                <w:szCs w:val="20"/>
                <w:color w:val="auto"/>
              </w:rPr>
            </w:pPr>
            <w:r>
              <w:rPr>
                <w:rFonts w:ascii="Arial" w:cs="Arial" w:eastAsia="Arial" w:hAnsi="Arial"/>
                <w:sz w:val="33"/>
                <w:szCs w:val="33"/>
                <w:b w:val="1"/>
                <w:bCs w:val="1"/>
                <w:color w:val="auto"/>
              </w:rPr>
              <w:t>Free Cash Flow</w:t>
            </w:r>
          </w:p>
        </w:tc>
        <w:tc>
          <w:tcPr>
            <w:tcW w:w="2700" w:type="dxa"/>
            <w:vAlign w:val="bottom"/>
          </w:tcPr>
          <w:p>
            <w:pPr>
              <w:jc w:val="right"/>
              <w:ind w:right="654"/>
              <w:spacing w:after="0"/>
              <w:rPr>
                <w:sz w:val="20"/>
                <w:szCs w:val="20"/>
                <w:color w:val="auto"/>
              </w:rPr>
            </w:pPr>
            <w:r>
              <w:rPr>
                <w:rFonts w:ascii="Arial" w:cs="Arial" w:eastAsia="Arial" w:hAnsi="Arial"/>
                <w:sz w:val="33"/>
                <w:szCs w:val="33"/>
                <w:b w:val="1"/>
                <w:bCs w:val="1"/>
                <w:color w:val="auto"/>
              </w:rPr>
              <w:t>2.0</w:t>
            </w:r>
          </w:p>
        </w:tc>
        <w:tc>
          <w:tcPr>
            <w:tcW w:w="2180" w:type="dxa"/>
            <w:vAlign w:val="bottom"/>
          </w:tcPr>
          <w:p>
            <w:pPr>
              <w:jc w:val="right"/>
              <w:ind w:right="534"/>
              <w:spacing w:after="0"/>
              <w:rPr>
                <w:sz w:val="20"/>
                <w:szCs w:val="20"/>
                <w:color w:val="auto"/>
              </w:rPr>
            </w:pPr>
            <w:r>
              <w:rPr>
                <w:rFonts w:ascii="Arial" w:cs="Arial" w:eastAsia="Arial" w:hAnsi="Arial"/>
                <w:sz w:val="33"/>
                <w:szCs w:val="33"/>
                <w:b w:val="1"/>
                <w:bCs w:val="1"/>
                <w:color w:val="auto"/>
              </w:rPr>
              <w:t>(2.9)</w:t>
            </w:r>
          </w:p>
        </w:tc>
        <w:tc>
          <w:tcPr>
            <w:tcW w:w="1160" w:type="dxa"/>
            <w:vAlign w:val="bottom"/>
          </w:tcPr>
          <w:p>
            <w:pPr>
              <w:jc w:val="right"/>
              <w:spacing w:after="0"/>
              <w:rPr>
                <w:sz w:val="20"/>
                <w:szCs w:val="20"/>
                <w:color w:val="auto"/>
              </w:rPr>
            </w:pPr>
            <w:r>
              <w:rPr>
                <w:rFonts w:ascii="Arial" w:cs="Arial" w:eastAsia="Arial" w:hAnsi="Arial"/>
                <w:sz w:val="33"/>
                <w:szCs w:val="33"/>
                <w:b w:val="1"/>
                <w:bCs w:val="1"/>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16</w:t>
      </w:r>
    </w:p>
    <w:p>
      <w:pPr>
        <w:sectPr>
          <w:pgSz w:w="11900" w:h="16838" w:orient="portrait"/>
          <w:cols w:equalWidth="0" w:num="1">
            <w:col w:w="10700"/>
          </w:cols>
          <w:pgMar w:left="500" w:top="542" w:right="699" w:bottom="1440" w:gutter="0" w:footer="0" w:header="0"/>
          <w:type w:val="continuous"/>
        </w:sectPr>
      </w:pPr>
    </w:p>
    <w:bookmarkStart w:id="30" w:name="page31"/>
    <w:bookmarkEnd w:id="30"/>
    <w:p>
      <w:pPr>
        <w:ind w:left="9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Depreciation / Amortization &amp; Cap Ex</w:t>
      </w:r>
    </w:p>
    <w:p>
      <w:pPr>
        <w:sectPr>
          <w:pgSz w:w="11900" w:h="16838" w:orient="portrait"/>
          <w:cols w:equalWidth="0" w:num="1">
            <w:col w:w="10680"/>
          </w:cols>
          <w:pgMar w:left="500" w:top="542"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($M)</w:t>
      </w:r>
    </w:p>
    <w:p>
      <w:pPr>
        <w:spacing w:after="0" w:line="350" w:lineRule="exact"/>
        <w:rPr>
          <w:sz w:val="20"/>
          <w:szCs w:val="20"/>
          <w:color w:val="auto"/>
        </w:rPr>
      </w:pPr>
    </w:p>
    <w:p>
      <w:pPr>
        <w:ind w:left="280"/>
        <w:spacing w:after="0"/>
        <w:rPr>
          <w:sz w:val="20"/>
          <w:szCs w:val="20"/>
          <w:color w:val="auto"/>
        </w:rPr>
      </w:pPr>
      <w:r>
        <w:rPr>
          <w:rFonts w:ascii="Arial" w:cs="Arial" w:eastAsia="Arial" w:hAnsi="Arial"/>
          <w:sz w:val="33"/>
          <w:szCs w:val="33"/>
          <w:color w:val="auto"/>
        </w:rPr>
        <w:t>GMNA</w:t>
      </w: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33"/>
          <w:szCs w:val="33"/>
          <w:color w:val="auto"/>
        </w:rPr>
        <w:t>GME</w:t>
      </w: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Arial" w:cs="Arial" w:eastAsia="Arial" w:hAnsi="Arial"/>
          <w:sz w:val="33"/>
          <w:szCs w:val="33"/>
          <w:color w:val="auto"/>
        </w:rPr>
        <w:t>GMIO</w:t>
      </w: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Arial" w:cs="Arial" w:eastAsia="Arial" w:hAnsi="Arial"/>
          <w:sz w:val="33"/>
          <w:szCs w:val="33"/>
          <w:color w:val="auto"/>
        </w:rPr>
        <w:t>Corp / Other</w:t>
      </w:r>
    </w:p>
    <w:p>
      <w:pPr>
        <w:spacing w:after="0" w:line="278" w:lineRule="exact"/>
        <w:rPr>
          <w:sz w:val="20"/>
          <w:szCs w:val="20"/>
          <w:color w:val="auto"/>
        </w:rPr>
      </w:pPr>
    </w:p>
    <w:p>
      <w:pPr>
        <w:ind w:right="520"/>
        <w:spacing w:after="0" w:line="288" w:lineRule="auto"/>
        <w:rPr>
          <w:sz w:val="20"/>
          <w:szCs w:val="20"/>
          <w:color w:val="auto"/>
        </w:rPr>
      </w:pPr>
      <w:r>
        <w:rPr>
          <w:rFonts w:ascii="Arial" w:cs="Arial" w:eastAsia="Arial" w:hAnsi="Arial"/>
          <w:sz w:val="33"/>
          <w:szCs w:val="33"/>
          <w:b w:val="1"/>
          <w:bCs w:val="1"/>
          <w:color w:val="auto"/>
        </w:rPr>
        <w:t>Total Depreciation &amp;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6"/>
        </w:trPr>
        <w:tc>
          <w:tcPr>
            <w:tcW w:w="2700" w:type="dxa"/>
            <w:vAlign w:val="bottom"/>
          </w:tcPr>
          <w:p>
            <w:pPr>
              <w:spacing w:after="0"/>
              <w:rPr>
                <w:sz w:val="20"/>
                <w:szCs w:val="20"/>
                <w:color w:val="auto"/>
              </w:rPr>
            </w:pPr>
            <w:r>
              <w:rPr>
                <w:rFonts w:ascii="Arial" w:cs="Arial" w:eastAsia="Arial" w:hAnsi="Arial"/>
                <w:sz w:val="29"/>
                <w:szCs w:val="29"/>
                <w:b w:val="1"/>
                <w:bCs w:val="1"/>
                <w:color w:val="auto"/>
              </w:rPr>
              <w:t>July 10 – Sept 30</w:t>
            </w:r>
          </w:p>
        </w:tc>
        <w:tc>
          <w:tcPr>
            <w:tcW w:w="1660" w:type="dxa"/>
            <w:vAlign w:val="bottom"/>
          </w:tcPr>
          <w:p>
            <w:pPr>
              <w:ind w:left="560"/>
              <w:spacing w:after="0"/>
              <w:rPr>
                <w:sz w:val="20"/>
                <w:szCs w:val="20"/>
                <w:color w:val="auto"/>
              </w:rPr>
            </w:pPr>
            <w:r>
              <w:rPr>
                <w:rFonts w:ascii="Arial" w:cs="Arial" w:eastAsia="Arial" w:hAnsi="Arial"/>
                <w:sz w:val="29"/>
                <w:szCs w:val="29"/>
                <w:b w:val="1"/>
                <w:bCs w:val="1"/>
                <w:color w:val="auto"/>
              </w:rPr>
              <w:t>Q4</w:t>
            </w:r>
          </w:p>
        </w:tc>
        <w:tc>
          <w:tcPr>
            <w:tcW w:w="1360" w:type="dxa"/>
            <w:vAlign w:val="bottom"/>
          </w:tcPr>
          <w:p>
            <w:pPr>
              <w:ind w:left="760"/>
              <w:spacing w:after="0"/>
              <w:rPr>
                <w:sz w:val="20"/>
                <w:szCs w:val="20"/>
                <w:color w:val="auto"/>
              </w:rPr>
            </w:pPr>
            <w:r>
              <w:rPr>
                <w:rFonts w:ascii="Arial" w:cs="Arial" w:eastAsia="Arial" w:hAnsi="Arial"/>
                <w:sz w:val="29"/>
                <w:szCs w:val="29"/>
                <w:b w:val="1"/>
                <w:bCs w:val="1"/>
                <w:color w:val="auto"/>
              </w:rPr>
              <w:t>Q1</w:t>
            </w:r>
          </w:p>
        </w:tc>
      </w:tr>
      <w:tr>
        <w:trPr>
          <w:trHeight w:val="442"/>
        </w:trPr>
        <w:tc>
          <w:tcPr>
            <w:tcW w:w="2700" w:type="dxa"/>
            <w:vAlign w:val="bottom"/>
          </w:tcPr>
          <w:p>
            <w:pPr>
              <w:jc w:val="center"/>
              <w:ind w:right="177"/>
              <w:spacing w:after="0"/>
              <w:rPr>
                <w:sz w:val="20"/>
                <w:szCs w:val="20"/>
                <w:color w:val="auto"/>
              </w:rPr>
            </w:pPr>
            <w:r>
              <w:rPr>
                <w:rFonts w:ascii="Arial" w:cs="Arial" w:eastAsia="Arial" w:hAnsi="Arial"/>
                <w:sz w:val="33"/>
                <w:szCs w:val="33"/>
                <w:b w:val="1"/>
                <w:bCs w:val="1"/>
                <w:color w:val="auto"/>
                <w:w w:val="98"/>
              </w:rPr>
              <w:t>2009</w:t>
            </w:r>
          </w:p>
        </w:tc>
        <w:tc>
          <w:tcPr>
            <w:tcW w:w="1660" w:type="dxa"/>
            <w:vAlign w:val="bottom"/>
          </w:tcPr>
          <w:p>
            <w:pPr>
              <w:jc w:val="center"/>
              <w:ind w:right="17"/>
              <w:spacing w:after="0"/>
              <w:rPr>
                <w:sz w:val="20"/>
                <w:szCs w:val="20"/>
                <w:color w:val="auto"/>
              </w:rPr>
            </w:pPr>
            <w:r>
              <w:rPr>
                <w:rFonts w:ascii="Arial" w:cs="Arial" w:eastAsia="Arial" w:hAnsi="Arial"/>
                <w:sz w:val="33"/>
                <w:szCs w:val="33"/>
                <w:b w:val="1"/>
                <w:bCs w:val="1"/>
                <w:color w:val="auto"/>
                <w:w w:val="98"/>
              </w:rPr>
              <w:t>2009</w:t>
            </w:r>
          </w:p>
        </w:tc>
        <w:tc>
          <w:tcPr>
            <w:tcW w:w="1360" w:type="dxa"/>
            <w:vAlign w:val="bottom"/>
          </w:tcPr>
          <w:p>
            <w:pPr>
              <w:jc w:val="center"/>
              <w:ind w:left="377"/>
              <w:spacing w:after="0"/>
              <w:rPr>
                <w:sz w:val="20"/>
                <w:szCs w:val="20"/>
                <w:color w:val="auto"/>
              </w:rPr>
            </w:pPr>
            <w:r>
              <w:rPr>
                <w:rFonts w:ascii="Arial" w:cs="Arial" w:eastAsia="Arial" w:hAnsi="Arial"/>
                <w:sz w:val="33"/>
                <w:szCs w:val="33"/>
                <w:b w:val="1"/>
                <w:bCs w:val="1"/>
                <w:color w:val="auto"/>
              </w:rPr>
              <w:t>2010</w:t>
            </w:r>
          </w:p>
        </w:tc>
      </w:tr>
      <w:tr>
        <w:trPr>
          <w:trHeight w:val="688"/>
        </w:trPr>
        <w:tc>
          <w:tcPr>
            <w:tcW w:w="2700" w:type="dxa"/>
            <w:vAlign w:val="bottom"/>
          </w:tcPr>
          <w:p>
            <w:pPr>
              <w:jc w:val="center"/>
              <w:ind w:right="177"/>
              <w:spacing w:after="0"/>
              <w:rPr>
                <w:sz w:val="20"/>
                <w:szCs w:val="20"/>
                <w:color w:val="auto"/>
              </w:rPr>
            </w:pPr>
            <w:r>
              <w:rPr>
                <w:rFonts w:ascii="Arial" w:cs="Arial" w:eastAsia="Arial" w:hAnsi="Arial"/>
                <w:sz w:val="33"/>
                <w:szCs w:val="33"/>
                <w:color w:val="auto"/>
              </w:rPr>
              <w:t>1,348</w:t>
            </w:r>
          </w:p>
        </w:tc>
        <w:tc>
          <w:tcPr>
            <w:tcW w:w="1660" w:type="dxa"/>
            <w:vAlign w:val="bottom"/>
          </w:tcPr>
          <w:p>
            <w:pPr>
              <w:jc w:val="center"/>
              <w:ind w:right="17"/>
              <w:spacing w:after="0"/>
              <w:rPr>
                <w:sz w:val="20"/>
                <w:szCs w:val="20"/>
                <w:color w:val="auto"/>
              </w:rPr>
            </w:pPr>
            <w:r>
              <w:rPr>
                <w:rFonts w:ascii="Arial" w:cs="Arial" w:eastAsia="Arial" w:hAnsi="Arial"/>
                <w:sz w:val="33"/>
                <w:szCs w:val="33"/>
                <w:color w:val="auto"/>
              </w:rPr>
              <w:t>1,384</w:t>
            </w:r>
          </w:p>
        </w:tc>
        <w:tc>
          <w:tcPr>
            <w:tcW w:w="1360" w:type="dxa"/>
            <w:vAlign w:val="bottom"/>
          </w:tcPr>
          <w:p>
            <w:pPr>
              <w:jc w:val="center"/>
              <w:ind w:left="357"/>
              <w:spacing w:after="0"/>
              <w:rPr>
                <w:sz w:val="20"/>
                <w:szCs w:val="20"/>
                <w:color w:val="auto"/>
              </w:rPr>
            </w:pPr>
            <w:r>
              <w:rPr>
                <w:rFonts w:ascii="Arial" w:cs="Arial" w:eastAsia="Arial" w:hAnsi="Arial"/>
                <w:sz w:val="33"/>
                <w:szCs w:val="33"/>
                <w:color w:val="auto"/>
              </w:rPr>
              <w:t>1,174</w:t>
            </w:r>
          </w:p>
        </w:tc>
      </w:tr>
      <w:tr>
        <w:trPr>
          <w:trHeight w:val="847"/>
        </w:trPr>
        <w:tc>
          <w:tcPr>
            <w:tcW w:w="2700" w:type="dxa"/>
            <w:vAlign w:val="bottom"/>
          </w:tcPr>
          <w:p>
            <w:pPr>
              <w:jc w:val="center"/>
              <w:ind w:right="177"/>
              <w:spacing w:after="0"/>
              <w:rPr>
                <w:sz w:val="20"/>
                <w:szCs w:val="20"/>
                <w:color w:val="auto"/>
              </w:rPr>
            </w:pPr>
            <w:r>
              <w:rPr>
                <w:rFonts w:ascii="Arial" w:cs="Arial" w:eastAsia="Arial" w:hAnsi="Arial"/>
                <w:sz w:val="33"/>
                <w:szCs w:val="33"/>
                <w:color w:val="auto"/>
              </w:rPr>
              <w:t>401</w:t>
            </w:r>
          </w:p>
        </w:tc>
        <w:tc>
          <w:tcPr>
            <w:tcW w:w="1660" w:type="dxa"/>
            <w:vAlign w:val="bottom"/>
          </w:tcPr>
          <w:p>
            <w:pPr>
              <w:jc w:val="center"/>
              <w:ind w:right="17"/>
              <w:spacing w:after="0"/>
              <w:rPr>
                <w:sz w:val="20"/>
                <w:szCs w:val="20"/>
                <w:color w:val="auto"/>
              </w:rPr>
            </w:pPr>
            <w:r>
              <w:rPr>
                <w:rFonts w:ascii="Arial" w:cs="Arial" w:eastAsia="Arial" w:hAnsi="Arial"/>
                <w:sz w:val="33"/>
                <w:szCs w:val="33"/>
                <w:color w:val="auto"/>
              </w:rPr>
              <w:t>551</w:t>
            </w:r>
          </w:p>
        </w:tc>
        <w:tc>
          <w:tcPr>
            <w:tcW w:w="1360" w:type="dxa"/>
            <w:vAlign w:val="bottom"/>
          </w:tcPr>
          <w:p>
            <w:pPr>
              <w:jc w:val="center"/>
              <w:ind w:left="377"/>
              <w:spacing w:after="0"/>
              <w:rPr>
                <w:sz w:val="20"/>
                <w:szCs w:val="20"/>
                <w:color w:val="auto"/>
              </w:rPr>
            </w:pPr>
            <w:r>
              <w:rPr>
                <w:rFonts w:ascii="Arial" w:cs="Arial" w:eastAsia="Arial" w:hAnsi="Arial"/>
                <w:sz w:val="33"/>
                <w:szCs w:val="33"/>
                <w:color w:val="auto"/>
                <w:w w:val="98"/>
              </w:rPr>
              <w:t>384</w:t>
            </w:r>
          </w:p>
        </w:tc>
      </w:tr>
      <w:tr>
        <w:trPr>
          <w:trHeight w:val="798"/>
        </w:trPr>
        <w:tc>
          <w:tcPr>
            <w:tcW w:w="2700" w:type="dxa"/>
            <w:vAlign w:val="bottom"/>
          </w:tcPr>
          <w:p>
            <w:pPr>
              <w:jc w:val="center"/>
              <w:ind w:right="177"/>
              <w:spacing w:after="0"/>
              <w:rPr>
                <w:sz w:val="20"/>
                <w:szCs w:val="20"/>
                <w:color w:val="auto"/>
              </w:rPr>
            </w:pPr>
            <w:r>
              <w:rPr>
                <w:rFonts w:ascii="Arial" w:cs="Arial" w:eastAsia="Arial" w:hAnsi="Arial"/>
                <w:sz w:val="33"/>
                <w:szCs w:val="33"/>
                <w:color w:val="auto"/>
              </w:rPr>
              <w:t>170</w:t>
            </w:r>
          </w:p>
        </w:tc>
        <w:tc>
          <w:tcPr>
            <w:tcW w:w="1660" w:type="dxa"/>
            <w:vAlign w:val="bottom"/>
          </w:tcPr>
          <w:p>
            <w:pPr>
              <w:jc w:val="center"/>
              <w:ind w:right="17"/>
              <w:spacing w:after="0"/>
              <w:rPr>
                <w:sz w:val="20"/>
                <w:szCs w:val="20"/>
                <w:color w:val="auto"/>
              </w:rPr>
            </w:pPr>
            <w:r>
              <w:rPr>
                <w:rFonts w:ascii="Arial" w:cs="Arial" w:eastAsia="Arial" w:hAnsi="Arial"/>
                <w:sz w:val="33"/>
                <w:szCs w:val="33"/>
                <w:color w:val="auto"/>
              </w:rPr>
              <w:t>277</w:t>
            </w:r>
          </w:p>
        </w:tc>
        <w:tc>
          <w:tcPr>
            <w:tcW w:w="1360" w:type="dxa"/>
            <w:vAlign w:val="bottom"/>
          </w:tcPr>
          <w:p>
            <w:pPr>
              <w:jc w:val="center"/>
              <w:ind w:left="377"/>
              <w:spacing w:after="0"/>
              <w:rPr>
                <w:sz w:val="20"/>
                <w:szCs w:val="20"/>
                <w:color w:val="auto"/>
              </w:rPr>
            </w:pPr>
            <w:r>
              <w:rPr>
                <w:rFonts w:ascii="Arial" w:cs="Arial" w:eastAsia="Arial" w:hAnsi="Arial"/>
                <w:sz w:val="33"/>
                <w:szCs w:val="33"/>
                <w:color w:val="auto"/>
                <w:w w:val="98"/>
              </w:rPr>
              <w:t>194</w:t>
            </w:r>
          </w:p>
        </w:tc>
      </w:tr>
      <w:tr>
        <w:trPr>
          <w:trHeight w:val="786"/>
        </w:trPr>
        <w:tc>
          <w:tcPr>
            <w:tcW w:w="2700" w:type="dxa"/>
            <w:vAlign w:val="bottom"/>
          </w:tcPr>
          <w:p>
            <w:pPr>
              <w:jc w:val="center"/>
              <w:ind w:right="177"/>
              <w:spacing w:after="0"/>
              <w:rPr>
                <w:sz w:val="20"/>
                <w:szCs w:val="20"/>
                <w:color w:val="auto"/>
              </w:rPr>
            </w:pPr>
            <w:r>
              <w:rPr>
                <w:rFonts w:ascii="Arial" w:cs="Arial" w:eastAsia="Arial" w:hAnsi="Arial"/>
                <w:sz w:val="33"/>
                <w:szCs w:val="33"/>
                <w:color w:val="auto"/>
                <w:w w:val="97"/>
              </w:rPr>
              <w:t>66</w:t>
            </w:r>
          </w:p>
        </w:tc>
        <w:tc>
          <w:tcPr>
            <w:tcW w:w="1660" w:type="dxa"/>
            <w:vAlign w:val="bottom"/>
          </w:tcPr>
          <w:p>
            <w:pPr>
              <w:jc w:val="center"/>
              <w:ind w:right="17"/>
              <w:spacing w:after="0"/>
              <w:rPr>
                <w:sz w:val="20"/>
                <w:szCs w:val="20"/>
                <w:color w:val="auto"/>
              </w:rPr>
            </w:pPr>
            <w:r>
              <w:rPr>
                <w:rFonts w:ascii="Arial" w:cs="Arial" w:eastAsia="Arial" w:hAnsi="Arial"/>
                <w:sz w:val="33"/>
                <w:szCs w:val="33"/>
                <w:color w:val="auto"/>
                <w:w w:val="97"/>
              </w:rPr>
              <w:t>44</w:t>
            </w:r>
          </w:p>
        </w:tc>
        <w:tc>
          <w:tcPr>
            <w:tcW w:w="1360" w:type="dxa"/>
            <w:vAlign w:val="bottom"/>
          </w:tcPr>
          <w:p>
            <w:pPr>
              <w:jc w:val="center"/>
              <w:ind w:left="377"/>
              <w:spacing w:after="0"/>
              <w:rPr>
                <w:sz w:val="20"/>
                <w:szCs w:val="20"/>
                <w:color w:val="auto"/>
              </w:rPr>
            </w:pPr>
            <w:r>
              <w:rPr>
                <w:rFonts w:ascii="Arial" w:cs="Arial" w:eastAsia="Arial" w:hAnsi="Arial"/>
                <w:sz w:val="33"/>
                <w:szCs w:val="33"/>
                <w:color w:val="auto"/>
              </w:rPr>
              <w:t>51</w:t>
            </w:r>
          </w:p>
        </w:tc>
      </w:tr>
      <w:tr>
        <w:trPr>
          <w:trHeight w:val="896"/>
        </w:trPr>
        <w:tc>
          <w:tcPr>
            <w:tcW w:w="2700" w:type="dxa"/>
            <w:vAlign w:val="bottom"/>
          </w:tcPr>
          <w:p>
            <w:pPr>
              <w:jc w:val="center"/>
              <w:ind w:right="177"/>
              <w:spacing w:after="0"/>
              <w:rPr>
                <w:sz w:val="20"/>
                <w:szCs w:val="20"/>
                <w:color w:val="auto"/>
              </w:rPr>
            </w:pPr>
            <w:r>
              <w:rPr>
                <w:rFonts w:ascii="Arial" w:cs="Arial" w:eastAsia="Arial" w:hAnsi="Arial"/>
                <w:sz w:val="33"/>
                <w:szCs w:val="33"/>
                <w:b w:val="1"/>
                <w:bCs w:val="1"/>
                <w:color w:val="auto"/>
              </w:rPr>
              <w:t>1,985</w:t>
            </w:r>
          </w:p>
        </w:tc>
        <w:tc>
          <w:tcPr>
            <w:tcW w:w="1660" w:type="dxa"/>
            <w:vAlign w:val="bottom"/>
          </w:tcPr>
          <w:p>
            <w:pPr>
              <w:jc w:val="center"/>
              <w:ind w:right="17"/>
              <w:spacing w:after="0"/>
              <w:rPr>
                <w:sz w:val="20"/>
                <w:szCs w:val="20"/>
                <w:color w:val="auto"/>
              </w:rPr>
            </w:pPr>
            <w:r>
              <w:rPr>
                <w:rFonts w:ascii="Arial" w:cs="Arial" w:eastAsia="Arial" w:hAnsi="Arial"/>
                <w:sz w:val="33"/>
                <w:szCs w:val="33"/>
                <w:b w:val="1"/>
                <w:bCs w:val="1"/>
                <w:color w:val="auto"/>
              </w:rPr>
              <w:t>2,256</w:t>
            </w:r>
          </w:p>
        </w:tc>
        <w:tc>
          <w:tcPr>
            <w:tcW w:w="1360" w:type="dxa"/>
            <w:vAlign w:val="bottom"/>
          </w:tcPr>
          <w:p>
            <w:pPr>
              <w:jc w:val="center"/>
              <w:ind w:left="357"/>
              <w:spacing w:after="0"/>
              <w:rPr>
                <w:sz w:val="20"/>
                <w:szCs w:val="20"/>
                <w:color w:val="auto"/>
              </w:rPr>
            </w:pPr>
            <w:r>
              <w:rPr>
                <w:rFonts w:ascii="Arial" w:cs="Arial" w:eastAsia="Arial" w:hAnsi="Arial"/>
                <w:sz w:val="33"/>
                <w:szCs w:val="33"/>
                <w:b w:val="1"/>
                <w:bCs w:val="1"/>
                <w:color w:val="auto"/>
              </w:rPr>
              <w:t>1,803</w:t>
            </w:r>
          </w:p>
        </w:tc>
      </w:tr>
    </w:tbl>
    <w:p>
      <w:pPr>
        <w:spacing w:after="0" w:line="472" w:lineRule="exact"/>
        <w:rPr>
          <w:sz w:val="20"/>
          <w:szCs w:val="20"/>
          <w:color w:val="auto"/>
        </w:rPr>
      </w:pPr>
    </w:p>
    <w:p>
      <w:pPr>
        <w:sectPr>
          <w:pgSz w:w="11900" w:h="16838" w:orient="portrait"/>
          <w:cols w:equalWidth="0" w:num="2">
            <w:col w:w="3720" w:space="720"/>
            <w:col w:w="6240"/>
          </w:cols>
          <w:pgMar w:left="500" w:top="542" w:right="71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42"/>
        </w:trPr>
        <w:tc>
          <w:tcPr>
            <w:tcW w:w="4320" w:type="dxa"/>
            <w:vAlign w:val="bottom"/>
          </w:tcPr>
          <w:p>
            <w:pPr>
              <w:spacing w:after="0"/>
              <w:rPr>
                <w:sz w:val="20"/>
                <w:szCs w:val="20"/>
                <w:color w:val="auto"/>
              </w:rPr>
            </w:pPr>
            <w:r>
              <w:rPr>
                <w:rFonts w:ascii="Arial" w:cs="Arial" w:eastAsia="Arial" w:hAnsi="Arial"/>
                <w:sz w:val="33"/>
                <w:szCs w:val="33"/>
                <w:b w:val="1"/>
                <w:bCs w:val="1"/>
                <w:color w:val="auto"/>
              </w:rPr>
              <w:t>Capital Expenditures</w:t>
            </w:r>
          </w:p>
        </w:tc>
        <w:tc>
          <w:tcPr>
            <w:tcW w:w="2360" w:type="dxa"/>
            <w:vAlign w:val="bottom"/>
          </w:tcPr>
          <w:p>
            <w:pPr>
              <w:jc w:val="right"/>
              <w:ind w:right="614"/>
              <w:spacing w:after="0"/>
              <w:rPr>
                <w:sz w:val="20"/>
                <w:szCs w:val="20"/>
                <w:color w:val="auto"/>
              </w:rPr>
            </w:pPr>
            <w:r>
              <w:rPr>
                <w:rFonts w:ascii="Arial" w:cs="Arial" w:eastAsia="Arial" w:hAnsi="Arial"/>
                <w:sz w:val="33"/>
                <w:szCs w:val="33"/>
                <w:b w:val="1"/>
                <w:bCs w:val="1"/>
                <w:color w:val="auto"/>
              </w:rPr>
              <w:t>881</w:t>
            </w:r>
          </w:p>
        </w:tc>
        <w:tc>
          <w:tcPr>
            <w:tcW w:w="2200" w:type="dxa"/>
            <w:vAlign w:val="bottom"/>
          </w:tcPr>
          <w:p>
            <w:pPr>
              <w:jc w:val="right"/>
              <w:ind w:right="414"/>
              <w:spacing w:after="0"/>
              <w:rPr>
                <w:sz w:val="20"/>
                <w:szCs w:val="20"/>
                <w:color w:val="auto"/>
              </w:rPr>
            </w:pPr>
            <w:r>
              <w:rPr>
                <w:rFonts w:ascii="Arial" w:cs="Arial" w:eastAsia="Arial" w:hAnsi="Arial"/>
                <w:sz w:val="33"/>
                <w:szCs w:val="33"/>
                <w:b w:val="1"/>
                <w:bCs w:val="1"/>
                <w:color w:val="auto"/>
              </w:rPr>
              <w:t>1,033</w:t>
            </w:r>
          </w:p>
        </w:tc>
        <w:tc>
          <w:tcPr>
            <w:tcW w:w="1140" w:type="dxa"/>
            <w:vAlign w:val="bottom"/>
          </w:tcPr>
          <w:p>
            <w:pPr>
              <w:jc w:val="right"/>
              <w:spacing w:after="0"/>
              <w:rPr>
                <w:sz w:val="20"/>
                <w:szCs w:val="20"/>
                <w:color w:val="auto"/>
              </w:rPr>
            </w:pPr>
            <w:r>
              <w:rPr>
                <w:rFonts w:ascii="Arial" w:cs="Arial" w:eastAsia="Arial" w:hAnsi="Arial"/>
                <w:sz w:val="33"/>
                <w:szCs w:val="33"/>
                <w:b w:val="1"/>
                <w:bCs w:val="1"/>
                <w:color w:val="auto"/>
              </w:rPr>
              <w:t>755</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17</w:t>
      </w:r>
    </w:p>
    <w:p>
      <w:pPr>
        <w:sectPr>
          <w:pgSz w:w="11900" w:h="16838" w:orient="portrait"/>
          <w:cols w:equalWidth="0" w:num="1">
            <w:col w:w="10680"/>
          </w:cols>
          <w:pgMar w:left="500" w:top="542" w:right="719" w:bottom="1440" w:gutter="0" w:footer="0" w:header="0"/>
          <w:type w:val="continuous"/>
        </w:sectPr>
      </w:pPr>
    </w:p>
    <w:bookmarkStart w:id="31" w:name="page32"/>
    <w:bookmarkEnd w:id="31"/>
    <w:p>
      <w:pPr>
        <w:ind w:left="8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Key Balance Sheet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393"/>
        </w:trPr>
        <w:tc>
          <w:tcPr>
            <w:tcW w:w="5080" w:type="dxa"/>
            <w:vAlign w:val="bottom"/>
          </w:tcPr>
          <w:p>
            <w:pPr>
              <w:spacing w:after="0"/>
              <w:rPr>
                <w:sz w:val="24"/>
                <w:szCs w:val="24"/>
                <w:color w:val="auto"/>
              </w:rPr>
            </w:pPr>
          </w:p>
        </w:tc>
        <w:tc>
          <w:tcPr>
            <w:tcW w:w="2860" w:type="dxa"/>
            <w:vAlign w:val="bottom"/>
          </w:tcPr>
          <w:p>
            <w:pPr>
              <w:ind w:left="320"/>
              <w:spacing w:after="0"/>
              <w:rPr>
                <w:sz w:val="20"/>
                <w:szCs w:val="20"/>
                <w:color w:val="auto"/>
              </w:rPr>
            </w:pPr>
            <w:r>
              <w:rPr>
                <w:rFonts w:ascii="Arial" w:cs="Arial" w:eastAsia="Arial" w:hAnsi="Arial"/>
                <w:sz w:val="33"/>
                <w:szCs w:val="33"/>
                <w:b w:val="1"/>
                <w:bCs w:val="1"/>
                <w:color w:val="auto"/>
              </w:rPr>
              <w:t>December 31</w:t>
            </w:r>
          </w:p>
        </w:tc>
        <w:tc>
          <w:tcPr>
            <w:tcW w:w="1920" w:type="dxa"/>
            <w:vAlign w:val="bottom"/>
          </w:tcPr>
          <w:p>
            <w:pPr>
              <w:ind w:left="480"/>
              <w:spacing w:after="0"/>
              <w:rPr>
                <w:sz w:val="20"/>
                <w:szCs w:val="20"/>
                <w:color w:val="auto"/>
              </w:rPr>
            </w:pPr>
            <w:r>
              <w:rPr>
                <w:rFonts w:ascii="Arial" w:cs="Arial" w:eastAsia="Arial" w:hAnsi="Arial"/>
                <w:sz w:val="33"/>
                <w:szCs w:val="33"/>
                <w:b w:val="1"/>
                <w:bCs w:val="1"/>
                <w:color w:val="auto"/>
                <w:w w:val="99"/>
              </w:rPr>
              <w:t>March 31</w:t>
            </w:r>
          </w:p>
        </w:tc>
      </w:tr>
      <w:tr>
        <w:trPr>
          <w:trHeight w:val="442"/>
        </w:trPr>
        <w:tc>
          <w:tcPr>
            <w:tcW w:w="5080" w:type="dxa"/>
            <w:vAlign w:val="bottom"/>
          </w:tcPr>
          <w:p>
            <w:pPr>
              <w:spacing w:after="0"/>
              <w:rPr>
                <w:sz w:val="20"/>
                <w:szCs w:val="20"/>
                <w:color w:val="auto"/>
              </w:rPr>
            </w:pPr>
            <w:r>
              <w:rPr>
                <w:rFonts w:ascii="Arial" w:cs="Arial" w:eastAsia="Arial" w:hAnsi="Arial"/>
                <w:sz w:val="33"/>
                <w:szCs w:val="33"/>
                <w:b w:val="1"/>
                <w:bCs w:val="1"/>
                <w:color w:val="auto"/>
              </w:rPr>
              <w:t>($B)</w:t>
            </w:r>
          </w:p>
        </w:tc>
        <w:tc>
          <w:tcPr>
            <w:tcW w:w="2860" w:type="dxa"/>
            <w:vAlign w:val="bottom"/>
          </w:tcPr>
          <w:p>
            <w:pPr>
              <w:jc w:val="center"/>
              <w:spacing w:after="0"/>
              <w:rPr>
                <w:sz w:val="20"/>
                <w:szCs w:val="20"/>
                <w:color w:val="auto"/>
              </w:rPr>
            </w:pPr>
            <w:r>
              <w:rPr>
                <w:rFonts w:ascii="Arial" w:cs="Arial" w:eastAsia="Arial" w:hAnsi="Arial"/>
                <w:sz w:val="33"/>
                <w:szCs w:val="33"/>
                <w:b w:val="1"/>
                <w:bCs w:val="1"/>
                <w:color w:val="auto"/>
              </w:rPr>
              <w:t>2009</w:t>
            </w:r>
          </w:p>
        </w:tc>
        <w:tc>
          <w:tcPr>
            <w:tcW w:w="1920" w:type="dxa"/>
            <w:vAlign w:val="bottom"/>
          </w:tcPr>
          <w:p>
            <w:pPr>
              <w:jc w:val="center"/>
              <w:ind w:left="294"/>
              <w:spacing w:after="0"/>
              <w:rPr>
                <w:sz w:val="20"/>
                <w:szCs w:val="20"/>
                <w:color w:val="auto"/>
              </w:rPr>
            </w:pPr>
            <w:r>
              <w:rPr>
                <w:rFonts w:ascii="Arial" w:cs="Arial" w:eastAsia="Arial" w:hAnsi="Arial"/>
                <w:sz w:val="33"/>
                <w:szCs w:val="33"/>
                <w:b w:val="1"/>
                <w:bCs w:val="1"/>
                <w:color w:val="auto"/>
              </w:rPr>
              <w:t>2010</w:t>
            </w:r>
          </w:p>
        </w:tc>
      </w:tr>
      <w:tr>
        <w:trPr>
          <w:trHeight w:val="638"/>
        </w:trPr>
        <w:tc>
          <w:tcPr>
            <w:tcW w:w="5080" w:type="dxa"/>
            <w:vAlign w:val="bottom"/>
          </w:tcPr>
          <w:p>
            <w:pPr>
              <w:spacing w:after="0"/>
              <w:rPr>
                <w:sz w:val="20"/>
                <w:szCs w:val="20"/>
                <w:color w:val="auto"/>
              </w:rPr>
            </w:pPr>
            <w:r>
              <w:rPr>
                <w:rFonts w:ascii="Arial" w:cs="Arial" w:eastAsia="Arial" w:hAnsi="Arial"/>
                <w:sz w:val="33"/>
                <w:szCs w:val="33"/>
                <w:b w:val="1"/>
                <w:bCs w:val="1"/>
                <w:color w:val="auto"/>
              </w:rPr>
              <w:t>Cash &amp; marketable securities*</w:t>
            </w:r>
          </w:p>
        </w:tc>
        <w:tc>
          <w:tcPr>
            <w:tcW w:w="2860" w:type="dxa"/>
            <w:vAlign w:val="bottom"/>
          </w:tcPr>
          <w:p>
            <w:pPr>
              <w:jc w:val="center"/>
              <w:spacing w:after="0"/>
              <w:rPr>
                <w:sz w:val="20"/>
                <w:szCs w:val="20"/>
                <w:color w:val="auto"/>
              </w:rPr>
            </w:pPr>
            <w:r>
              <w:rPr>
                <w:rFonts w:ascii="Arial" w:cs="Arial" w:eastAsia="Arial" w:hAnsi="Arial"/>
                <w:sz w:val="33"/>
                <w:szCs w:val="33"/>
                <w:b w:val="1"/>
                <w:bCs w:val="1"/>
                <w:color w:val="auto"/>
              </w:rPr>
              <w:t>36.2</w:t>
            </w:r>
          </w:p>
        </w:tc>
        <w:tc>
          <w:tcPr>
            <w:tcW w:w="1920" w:type="dxa"/>
            <w:vAlign w:val="bottom"/>
          </w:tcPr>
          <w:p>
            <w:pPr>
              <w:jc w:val="center"/>
              <w:ind w:left="314"/>
              <w:spacing w:after="0"/>
              <w:rPr>
                <w:sz w:val="20"/>
                <w:szCs w:val="20"/>
                <w:color w:val="auto"/>
              </w:rPr>
            </w:pPr>
            <w:r>
              <w:rPr>
                <w:rFonts w:ascii="Arial" w:cs="Arial" w:eastAsia="Arial" w:hAnsi="Arial"/>
                <w:sz w:val="33"/>
                <w:szCs w:val="33"/>
                <w:b w:val="1"/>
                <w:bCs w:val="1"/>
                <w:color w:val="auto"/>
                <w:w w:val="99"/>
              </w:rPr>
              <w:t>35.7</w:t>
            </w:r>
          </w:p>
        </w:tc>
      </w:tr>
      <w:tr>
        <w:trPr>
          <w:trHeight w:val="774"/>
        </w:trPr>
        <w:tc>
          <w:tcPr>
            <w:tcW w:w="5080" w:type="dxa"/>
            <w:vAlign w:val="bottom"/>
          </w:tcPr>
          <w:p>
            <w:pPr>
              <w:spacing w:after="0"/>
              <w:rPr>
                <w:sz w:val="20"/>
                <w:szCs w:val="20"/>
                <w:color w:val="auto"/>
              </w:rPr>
            </w:pPr>
            <w:r>
              <w:rPr>
                <w:rFonts w:ascii="Arial" w:cs="Arial" w:eastAsia="Arial" w:hAnsi="Arial"/>
                <w:sz w:val="33"/>
                <w:szCs w:val="33"/>
                <w:b w:val="1"/>
                <w:bCs w:val="1"/>
                <w:color w:val="auto"/>
              </w:rPr>
              <w:t>Key Obligations:</w:t>
            </w: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77"/>
        </w:trPr>
        <w:tc>
          <w:tcPr>
            <w:tcW w:w="5080" w:type="dxa"/>
            <w:vAlign w:val="bottom"/>
          </w:tcPr>
          <w:p>
            <w:pPr>
              <w:ind w:left="140"/>
              <w:spacing w:after="0"/>
              <w:rPr>
                <w:sz w:val="20"/>
                <w:szCs w:val="20"/>
                <w:color w:val="auto"/>
              </w:rPr>
            </w:pPr>
            <w:r>
              <w:rPr>
                <w:rFonts w:ascii="Arial" w:cs="Arial" w:eastAsia="Arial" w:hAnsi="Arial"/>
                <w:sz w:val="33"/>
                <w:szCs w:val="33"/>
                <w:color w:val="auto"/>
              </w:rPr>
              <w:t>Debt</w:t>
            </w:r>
          </w:p>
        </w:tc>
        <w:tc>
          <w:tcPr>
            <w:tcW w:w="2860" w:type="dxa"/>
            <w:vAlign w:val="bottom"/>
          </w:tcPr>
          <w:p>
            <w:pPr>
              <w:jc w:val="center"/>
              <w:spacing w:after="0"/>
              <w:rPr>
                <w:sz w:val="20"/>
                <w:szCs w:val="20"/>
                <w:color w:val="auto"/>
              </w:rPr>
            </w:pPr>
            <w:r>
              <w:rPr>
                <w:rFonts w:ascii="Arial" w:cs="Arial" w:eastAsia="Arial" w:hAnsi="Arial"/>
                <w:sz w:val="33"/>
                <w:szCs w:val="33"/>
                <w:color w:val="auto"/>
              </w:rPr>
              <w:t>15.8</w:t>
            </w:r>
          </w:p>
        </w:tc>
        <w:tc>
          <w:tcPr>
            <w:tcW w:w="1920" w:type="dxa"/>
            <w:vAlign w:val="bottom"/>
          </w:tcPr>
          <w:p>
            <w:pPr>
              <w:jc w:val="center"/>
              <w:ind w:left="314"/>
              <w:spacing w:after="0"/>
              <w:rPr>
                <w:sz w:val="20"/>
                <w:szCs w:val="20"/>
                <w:color w:val="auto"/>
              </w:rPr>
            </w:pPr>
            <w:r>
              <w:rPr>
                <w:rFonts w:ascii="Arial" w:cs="Arial" w:eastAsia="Arial" w:hAnsi="Arial"/>
                <w:sz w:val="33"/>
                <w:szCs w:val="33"/>
                <w:color w:val="auto"/>
                <w:w w:val="99"/>
              </w:rPr>
              <w:t>14.2</w:t>
            </w:r>
          </w:p>
        </w:tc>
      </w:tr>
      <w:tr>
        <w:trPr>
          <w:trHeight w:val="663"/>
        </w:trPr>
        <w:tc>
          <w:tcPr>
            <w:tcW w:w="5080" w:type="dxa"/>
            <w:vAlign w:val="bottom"/>
          </w:tcPr>
          <w:p>
            <w:pPr>
              <w:ind w:left="140"/>
              <w:spacing w:after="0"/>
              <w:rPr>
                <w:sz w:val="20"/>
                <w:szCs w:val="20"/>
                <w:color w:val="auto"/>
              </w:rPr>
            </w:pPr>
            <w:r>
              <w:rPr>
                <w:rFonts w:ascii="Arial" w:cs="Arial" w:eastAsia="Arial" w:hAnsi="Arial"/>
                <w:sz w:val="33"/>
                <w:szCs w:val="33"/>
                <w:color w:val="auto"/>
              </w:rPr>
              <w:t>Preferred Stock</w:t>
            </w:r>
          </w:p>
        </w:tc>
        <w:tc>
          <w:tcPr>
            <w:tcW w:w="2860" w:type="dxa"/>
            <w:vAlign w:val="bottom"/>
          </w:tcPr>
          <w:p>
            <w:pPr>
              <w:jc w:val="center"/>
              <w:spacing w:after="0"/>
              <w:rPr>
                <w:sz w:val="20"/>
                <w:szCs w:val="20"/>
                <w:color w:val="auto"/>
              </w:rPr>
            </w:pPr>
            <w:r>
              <w:rPr>
                <w:rFonts w:ascii="Arial" w:cs="Arial" w:eastAsia="Arial" w:hAnsi="Arial"/>
                <w:sz w:val="33"/>
                <w:szCs w:val="33"/>
                <w:color w:val="auto"/>
              </w:rPr>
              <w:t>7.0</w:t>
            </w:r>
          </w:p>
        </w:tc>
        <w:tc>
          <w:tcPr>
            <w:tcW w:w="1920" w:type="dxa"/>
            <w:vAlign w:val="bottom"/>
          </w:tcPr>
          <w:p>
            <w:pPr>
              <w:jc w:val="center"/>
              <w:ind w:left="294"/>
              <w:spacing w:after="0"/>
              <w:rPr>
                <w:sz w:val="20"/>
                <w:szCs w:val="20"/>
                <w:color w:val="auto"/>
              </w:rPr>
            </w:pPr>
            <w:r>
              <w:rPr>
                <w:rFonts w:ascii="Arial" w:cs="Arial" w:eastAsia="Arial" w:hAnsi="Arial"/>
                <w:sz w:val="33"/>
                <w:szCs w:val="33"/>
                <w:color w:val="auto"/>
              </w:rPr>
              <w:t>7.0</w:t>
            </w:r>
          </w:p>
        </w:tc>
      </w:tr>
      <w:tr>
        <w:trPr>
          <w:trHeight w:val="724"/>
        </w:trPr>
        <w:tc>
          <w:tcPr>
            <w:tcW w:w="5080" w:type="dxa"/>
            <w:vAlign w:val="bottom"/>
          </w:tcPr>
          <w:p>
            <w:pPr>
              <w:ind w:left="140"/>
              <w:spacing w:after="0"/>
              <w:rPr>
                <w:sz w:val="20"/>
                <w:szCs w:val="20"/>
                <w:color w:val="auto"/>
              </w:rPr>
            </w:pPr>
            <w:r>
              <w:rPr>
                <w:rFonts w:ascii="Arial" w:cs="Arial" w:eastAsia="Arial" w:hAnsi="Arial"/>
                <w:sz w:val="33"/>
                <w:szCs w:val="33"/>
                <w:color w:val="auto"/>
              </w:rPr>
              <w:t>Underfunded Pensions</w:t>
            </w:r>
          </w:p>
        </w:tc>
        <w:tc>
          <w:tcPr>
            <w:tcW w:w="2860" w:type="dxa"/>
            <w:vAlign w:val="bottom"/>
          </w:tcPr>
          <w:p>
            <w:pPr>
              <w:jc w:val="center"/>
              <w:spacing w:after="0"/>
              <w:rPr>
                <w:sz w:val="20"/>
                <w:szCs w:val="20"/>
                <w:color w:val="auto"/>
              </w:rPr>
            </w:pPr>
            <w:r>
              <w:rPr>
                <w:rFonts w:ascii="Arial" w:cs="Arial" w:eastAsia="Arial" w:hAnsi="Arial"/>
                <w:sz w:val="33"/>
                <w:szCs w:val="33"/>
                <w:color w:val="auto"/>
              </w:rPr>
              <w:t>27.5</w:t>
            </w:r>
          </w:p>
        </w:tc>
        <w:tc>
          <w:tcPr>
            <w:tcW w:w="1920" w:type="dxa"/>
            <w:vAlign w:val="bottom"/>
          </w:tcPr>
          <w:p>
            <w:pPr>
              <w:jc w:val="center"/>
              <w:ind w:left="314"/>
              <w:spacing w:after="0"/>
              <w:rPr>
                <w:sz w:val="20"/>
                <w:szCs w:val="20"/>
                <w:color w:val="auto"/>
              </w:rPr>
            </w:pPr>
            <w:r>
              <w:rPr>
                <w:rFonts w:ascii="Arial" w:cs="Arial" w:eastAsia="Arial" w:hAnsi="Arial"/>
                <w:sz w:val="33"/>
                <w:szCs w:val="33"/>
                <w:color w:val="auto"/>
                <w:w w:val="99"/>
              </w:rPr>
              <w:t>26.9</w:t>
            </w:r>
          </w:p>
        </w:tc>
      </w:tr>
      <w:tr>
        <w:trPr>
          <w:trHeight w:val="724"/>
        </w:trPr>
        <w:tc>
          <w:tcPr>
            <w:tcW w:w="5080" w:type="dxa"/>
            <w:vAlign w:val="bottom"/>
          </w:tcPr>
          <w:p>
            <w:pPr>
              <w:ind w:left="140"/>
              <w:spacing w:after="0"/>
              <w:rPr>
                <w:sz w:val="20"/>
                <w:szCs w:val="20"/>
                <w:color w:val="auto"/>
              </w:rPr>
            </w:pPr>
            <w:r>
              <w:rPr>
                <w:rFonts w:ascii="Arial" w:cs="Arial" w:eastAsia="Arial" w:hAnsi="Arial"/>
                <w:sz w:val="33"/>
                <w:szCs w:val="33"/>
                <w:color w:val="auto"/>
              </w:rPr>
              <w:t>Underfunded OPEB</w:t>
            </w:r>
          </w:p>
        </w:tc>
        <w:tc>
          <w:tcPr>
            <w:tcW w:w="2860" w:type="dxa"/>
            <w:vAlign w:val="bottom"/>
          </w:tcPr>
          <w:p>
            <w:pPr>
              <w:jc w:val="center"/>
              <w:spacing w:after="0"/>
              <w:rPr>
                <w:sz w:val="20"/>
                <w:szCs w:val="20"/>
                <w:color w:val="auto"/>
              </w:rPr>
            </w:pPr>
            <w:r>
              <w:rPr>
                <w:rFonts w:ascii="Arial" w:cs="Arial" w:eastAsia="Arial" w:hAnsi="Arial"/>
                <w:sz w:val="33"/>
                <w:szCs w:val="33"/>
                <w:color w:val="auto"/>
              </w:rPr>
              <w:t>9.6</w:t>
            </w:r>
          </w:p>
        </w:tc>
        <w:tc>
          <w:tcPr>
            <w:tcW w:w="1920" w:type="dxa"/>
            <w:vAlign w:val="bottom"/>
          </w:tcPr>
          <w:p>
            <w:pPr>
              <w:jc w:val="center"/>
              <w:ind w:left="294"/>
              <w:spacing w:after="0"/>
              <w:rPr>
                <w:sz w:val="20"/>
                <w:szCs w:val="20"/>
                <w:color w:val="auto"/>
              </w:rPr>
            </w:pPr>
            <w:r>
              <w:rPr>
                <w:rFonts w:ascii="Arial" w:cs="Arial" w:eastAsia="Arial" w:hAnsi="Arial"/>
                <w:sz w:val="33"/>
                <w:szCs w:val="33"/>
                <w:color w:val="auto"/>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7440" w:type="dxa"/>
            <w:vAlign w:val="bottom"/>
          </w:tcPr>
          <w:p>
            <w:pPr>
              <w:spacing w:after="0"/>
              <w:rPr>
                <w:sz w:val="20"/>
                <w:szCs w:val="20"/>
                <w:color w:val="auto"/>
              </w:rPr>
            </w:pPr>
            <w:r>
              <w:rPr>
                <w:rFonts w:ascii="Arial" w:cs="Arial" w:eastAsia="Arial" w:hAnsi="Arial"/>
                <w:sz w:val="20"/>
                <w:szCs w:val="20"/>
                <w:color w:val="auto"/>
              </w:rPr>
              <w:t>* Includes UST &amp; Canadian HC Trust Restricted Cash</w:t>
            </w:r>
          </w:p>
        </w:tc>
        <w:tc>
          <w:tcPr>
            <w:tcW w:w="3060" w:type="dxa"/>
            <w:vAlign w:val="bottom"/>
            <w:vMerge w:val="restart"/>
          </w:tcPr>
          <w:p>
            <w:pPr>
              <w:jc w:val="right"/>
              <w:spacing w:after="0"/>
              <w:rPr>
                <w:sz w:val="20"/>
                <w:szCs w:val="20"/>
                <w:color w:val="auto"/>
              </w:rPr>
            </w:pPr>
            <w:r>
              <w:rPr>
                <w:rFonts w:ascii="Arial" w:cs="Arial" w:eastAsia="Arial" w:hAnsi="Arial"/>
                <w:sz w:val="26"/>
                <w:szCs w:val="26"/>
                <w:b w:val="1"/>
                <w:bCs w:val="1"/>
                <w:color w:val="auto"/>
              </w:rPr>
              <w:t>18</w:t>
            </w:r>
          </w:p>
        </w:tc>
        <w:tc>
          <w:tcPr>
            <w:tcW w:w="0" w:type="dxa"/>
            <w:vAlign w:val="bottom"/>
          </w:tcPr>
          <w:p>
            <w:pPr>
              <w:spacing w:after="0"/>
              <w:rPr>
                <w:sz w:val="1"/>
                <w:szCs w:val="1"/>
                <w:color w:val="auto"/>
              </w:rPr>
            </w:pPr>
          </w:p>
        </w:tc>
      </w:tr>
      <w:tr>
        <w:trPr>
          <w:trHeight w:val="129"/>
        </w:trPr>
        <w:tc>
          <w:tcPr>
            <w:tcW w:w="744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600" w:top="542" w:right="699" w:bottom="1440" w:gutter="0" w:footer="0" w:header="0"/>
        </w:sectPr>
      </w:pPr>
    </w:p>
    <w:bookmarkStart w:id="32" w:name="page33"/>
    <w:bookmarkEnd w:id="32"/>
    <w:p>
      <w:pPr>
        <w:ind w:left="886"/>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Summary</w:t>
      </w:r>
    </w:p>
    <w:p>
      <w:pPr>
        <w:spacing w:after="0" w:line="200" w:lineRule="exact"/>
        <w:rPr>
          <w:sz w:val="20"/>
          <w:szCs w:val="20"/>
          <w:color w:val="auto"/>
        </w:rPr>
      </w:pPr>
    </w:p>
    <w:p>
      <w:pPr>
        <w:spacing w:after="0" w:line="256" w:lineRule="exact"/>
        <w:rPr>
          <w:sz w:val="20"/>
          <w:szCs w:val="20"/>
          <w:color w:val="auto"/>
        </w:rPr>
      </w:pPr>
    </w:p>
    <w:p>
      <w:pPr>
        <w:ind w:left="446" w:hanging="446"/>
        <w:spacing w:after="0"/>
        <w:tabs>
          <w:tab w:leader="none" w:pos="446" w:val="left"/>
        </w:tabs>
        <w:numPr>
          <w:ilvl w:val="0"/>
          <w:numId w:val="9"/>
        </w:numPr>
        <w:rPr>
          <w:rFonts w:ascii="Arial" w:cs="Arial" w:eastAsia="Arial" w:hAnsi="Arial"/>
          <w:sz w:val="39"/>
          <w:szCs w:val="39"/>
          <w:color w:val="auto"/>
        </w:rPr>
      </w:pPr>
      <w:r>
        <w:rPr>
          <w:rFonts w:ascii="Arial" w:cs="Arial" w:eastAsia="Arial" w:hAnsi="Arial"/>
          <w:sz w:val="39"/>
          <w:szCs w:val="39"/>
          <w:color w:val="auto"/>
        </w:rPr>
        <w:t>Profitable, and positive cash flow</w:t>
      </w:r>
    </w:p>
    <w:p>
      <w:pPr>
        <w:spacing w:after="0" w:line="200" w:lineRule="exact"/>
        <w:rPr>
          <w:rFonts w:ascii="Arial" w:cs="Arial" w:eastAsia="Arial" w:hAnsi="Arial"/>
          <w:sz w:val="39"/>
          <w:szCs w:val="39"/>
          <w:color w:val="auto"/>
        </w:rPr>
      </w:pPr>
    </w:p>
    <w:p>
      <w:pPr>
        <w:spacing w:after="0" w:line="321" w:lineRule="exact"/>
        <w:rPr>
          <w:rFonts w:ascii="Arial" w:cs="Arial" w:eastAsia="Arial" w:hAnsi="Arial"/>
          <w:sz w:val="39"/>
          <w:szCs w:val="39"/>
          <w:color w:val="auto"/>
        </w:rPr>
      </w:pPr>
    </w:p>
    <w:p>
      <w:pPr>
        <w:ind w:left="446" w:right="800" w:hanging="446"/>
        <w:spacing w:after="0" w:line="263" w:lineRule="auto"/>
        <w:tabs>
          <w:tab w:leader="none" w:pos="446" w:val="left"/>
        </w:tabs>
        <w:numPr>
          <w:ilvl w:val="0"/>
          <w:numId w:val="9"/>
        </w:numPr>
        <w:rPr>
          <w:rFonts w:ascii="Arial" w:cs="Arial" w:eastAsia="Arial" w:hAnsi="Arial"/>
          <w:sz w:val="39"/>
          <w:szCs w:val="39"/>
          <w:color w:val="auto"/>
        </w:rPr>
      </w:pPr>
      <w:r>
        <w:rPr>
          <w:rFonts w:ascii="Arial" w:cs="Arial" w:eastAsia="Arial" w:hAnsi="Arial"/>
          <w:sz w:val="39"/>
          <w:szCs w:val="39"/>
          <w:color w:val="auto"/>
        </w:rPr>
        <w:t>U.S. y-o-y 4-brand share up &amp; average retail incentive down, GMNA breakeven substantially lowered</w:t>
      </w:r>
    </w:p>
    <w:p>
      <w:pPr>
        <w:spacing w:after="0" w:line="200" w:lineRule="exact"/>
        <w:rPr>
          <w:rFonts w:ascii="Arial" w:cs="Arial" w:eastAsia="Arial" w:hAnsi="Arial"/>
          <w:sz w:val="39"/>
          <w:szCs w:val="39"/>
          <w:color w:val="auto"/>
        </w:rPr>
      </w:pPr>
    </w:p>
    <w:p>
      <w:pPr>
        <w:spacing w:after="0" w:line="241" w:lineRule="exact"/>
        <w:rPr>
          <w:rFonts w:ascii="Arial" w:cs="Arial" w:eastAsia="Arial" w:hAnsi="Arial"/>
          <w:sz w:val="39"/>
          <w:szCs w:val="39"/>
          <w:color w:val="auto"/>
        </w:rPr>
      </w:pPr>
    </w:p>
    <w:p>
      <w:pPr>
        <w:ind w:left="446" w:hanging="446"/>
        <w:spacing w:after="0"/>
        <w:tabs>
          <w:tab w:leader="none" w:pos="446" w:val="left"/>
        </w:tabs>
        <w:numPr>
          <w:ilvl w:val="0"/>
          <w:numId w:val="9"/>
        </w:numPr>
        <w:rPr>
          <w:rFonts w:ascii="Arial" w:cs="Arial" w:eastAsia="Arial" w:hAnsi="Arial"/>
          <w:sz w:val="39"/>
          <w:szCs w:val="39"/>
          <w:color w:val="auto"/>
        </w:rPr>
      </w:pPr>
      <w:r>
        <w:rPr>
          <w:rFonts w:ascii="Arial" w:cs="Arial" w:eastAsia="Arial" w:hAnsi="Arial"/>
          <w:sz w:val="39"/>
          <w:szCs w:val="39"/>
          <w:color w:val="auto"/>
        </w:rPr>
        <w:t>Well positioned to grow profitably in GMIO</w:t>
      </w:r>
    </w:p>
    <w:p>
      <w:pPr>
        <w:spacing w:after="0" w:line="200" w:lineRule="exact"/>
        <w:rPr>
          <w:rFonts w:ascii="Arial" w:cs="Arial" w:eastAsia="Arial" w:hAnsi="Arial"/>
          <w:sz w:val="39"/>
          <w:szCs w:val="39"/>
          <w:color w:val="auto"/>
        </w:rPr>
      </w:pPr>
    </w:p>
    <w:p>
      <w:pPr>
        <w:spacing w:after="0" w:line="321" w:lineRule="exact"/>
        <w:rPr>
          <w:rFonts w:ascii="Arial" w:cs="Arial" w:eastAsia="Arial" w:hAnsi="Arial"/>
          <w:sz w:val="39"/>
          <w:szCs w:val="39"/>
          <w:color w:val="auto"/>
        </w:rPr>
      </w:pPr>
    </w:p>
    <w:p>
      <w:pPr>
        <w:ind w:left="446" w:hanging="446"/>
        <w:spacing w:after="0"/>
        <w:tabs>
          <w:tab w:leader="none" w:pos="446" w:val="left"/>
        </w:tabs>
        <w:numPr>
          <w:ilvl w:val="0"/>
          <w:numId w:val="9"/>
        </w:numPr>
        <w:rPr>
          <w:rFonts w:ascii="Arial" w:cs="Arial" w:eastAsia="Arial" w:hAnsi="Arial"/>
          <w:sz w:val="39"/>
          <w:szCs w:val="39"/>
          <w:color w:val="auto"/>
        </w:rPr>
      </w:pPr>
      <w:r>
        <w:rPr>
          <w:rFonts w:ascii="Arial" w:cs="Arial" w:eastAsia="Arial" w:hAnsi="Arial"/>
          <w:sz w:val="39"/>
          <w:szCs w:val="39"/>
          <w:color w:val="auto"/>
        </w:rPr>
        <w:t>More work to do in GME</w:t>
      </w:r>
    </w:p>
    <w:p>
      <w:pPr>
        <w:spacing w:after="0" w:line="200" w:lineRule="exact"/>
        <w:rPr>
          <w:rFonts w:ascii="Arial" w:cs="Arial" w:eastAsia="Arial" w:hAnsi="Arial"/>
          <w:sz w:val="39"/>
          <w:szCs w:val="39"/>
          <w:color w:val="auto"/>
        </w:rPr>
      </w:pPr>
    </w:p>
    <w:p>
      <w:pPr>
        <w:spacing w:after="0" w:line="309" w:lineRule="exact"/>
        <w:rPr>
          <w:rFonts w:ascii="Arial" w:cs="Arial" w:eastAsia="Arial" w:hAnsi="Arial"/>
          <w:sz w:val="39"/>
          <w:szCs w:val="39"/>
          <w:color w:val="auto"/>
        </w:rPr>
      </w:pPr>
    </w:p>
    <w:p>
      <w:pPr>
        <w:ind w:left="446" w:right="700" w:hanging="446"/>
        <w:spacing w:after="0" w:line="263" w:lineRule="auto"/>
        <w:tabs>
          <w:tab w:leader="none" w:pos="446" w:val="left"/>
        </w:tabs>
        <w:numPr>
          <w:ilvl w:val="0"/>
          <w:numId w:val="9"/>
        </w:numPr>
        <w:rPr>
          <w:rFonts w:ascii="Arial" w:cs="Arial" w:eastAsia="Arial" w:hAnsi="Arial"/>
          <w:sz w:val="39"/>
          <w:szCs w:val="39"/>
          <w:color w:val="auto"/>
        </w:rPr>
      </w:pPr>
      <w:r>
        <w:rPr>
          <w:rFonts w:ascii="Arial" w:cs="Arial" w:eastAsia="Arial" w:hAnsi="Arial"/>
          <w:sz w:val="39"/>
          <w:szCs w:val="39"/>
          <w:color w:val="auto"/>
        </w:rPr>
        <w:t>Making progress on designing, building and selling the world's best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19</w:t>
      </w:r>
    </w:p>
    <w:p>
      <w:pPr>
        <w:sectPr>
          <w:pgSz w:w="11900" w:h="16838" w:orient="portrait"/>
          <w:cols w:equalWidth="0" w:num="1">
            <w:col w:w="10606"/>
          </w:cols>
          <w:pgMar w:left="594" w:top="542" w:right="6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355"/>
        </w:trPr>
        <w:tc>
          <w:tcPr>
            <w:tcW w:w="920" w:type="dxa"/>
            <w:vAlign w:val="bottom"/>
            <w:vMerge w:val="restart"/>
          </w:tcPr>
          <w:p>
            <w:pPr>
              <w:spacing w:after="0"/>
              <w:rPr>
                <w:sz w:val="20"/>
                <w:szCs w:val="20"/>
                <w:color w:val="auto"/>
              </w:rPr>
            </w:pPr>
            <w:r>
              <w:rPr>
                <w:rFonts w:ascii="Arial" w:cs="Arial" w:eastAsia="Arial" w:hAnsi="Arial"/>
                <w:sz w:val="29"/>
                <w:szCs w:val="29"/>
                <w:color w:val="FEFEFE"/>
              </w:rPr>
              <w:t>******</w:t>
            </w:r>
          </w:p>
        </w:tc>
        <w:tc>
          <w:tcPr>
            <w:tcW w:w="9400" w:type="dxa"/>
            <w:vAlign w:val="bottom"/>
          </w:tcPr>
          <w:p>
            <w:pPr>
              <w:jc w:val="center"/>
              <w:ind w:left="170"/>
              <w:spacing w:after="0"/>
              <w:rPr>
                <w:sz w:val="20"/>
                <w:szCs w:val="20"/>
                <w:color w:val="auto"/>
              </w:rPr>
            </w:pPr>
            <w:r>
              <w:rPr>
                <w:rFonts w:ascii="Arial" w:cs="Arial" w:eastAsia="Arial" w:hAnsi="Arial"/>
                <w:sz w:val="29"/>
                <w:szCs w:val="29"/>
                <w:color w:val="FEFEFE"/>
              </w:rPr>
              <w:t>*****************************</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9400" w:type="dxa"/>
            <w:vAlign w:val="bottom"/>
            <w:vMerge w:val="restart"/>
          </w:tcPr>
          <w:p>
            <w:pPr>
              <w:jc w:val="center"/>
              <w:ind w:left="170"/>
              <w:spacing w:after="0"/>
              <w:rPr>
                <w:sz w:val="20"/>
                <w:szCs w:val="20"/>
                <w:color w:val="auto"/>
              </w:rPr>
            </w:pPr>
            <w:r>
              <w:rPr>
                <w:rFonts w:ascii="Arial" w:cs="Arial" w:eastAsia="Arial" w:hAnsi="Arial"/>
                <w:sz w:val="29"/>
                <w:szCs w:val="29"/>
                <w:color w:val="FEFEFE"/>
              </w:rPr>
              <w:t>*****************************</w:t>
            </w:r>
          </w:p>
        </w:tc>
        <w:tc>
          <w:tcPr>
            <w:tcW w:w="0" w:type="dxa"/>
            <w:vAlign w:val="bottom"/>
          </w:tcPr>
          <w:p>
            <w:pPr>
              <w:spacing w:after="0"/>
              <w:rPr>
                <w:sz w:val="1"/>
                <w:szCs w:val="1"/>
                <w:color w:val="auto"/>
              </w:rPr>
            </w:pPr>
          </w:p>
        </w:tc>
      </w:tr>
      <w:tr>
        <w:trPr>
          <w:trHeight w:val="258"/>
        </w:trPr>
        <w:tc>
          <w:tcPr>
            <w:tcW w:w="920" w:type="dxa"/>
            <w:vAlign w:val="bottom"/>
            <w:vMerge w:val="restart"/>
          </w:tcPr>
          <w:p>
            <w:pPr>
              <w:spacing w:after="0"/>
              <w:rPr>
                <w:sz w:val="20"/>
                <w:szCs w:val="20"/>
                <w:color w:val="auto"/>
              </w:rPr>
            </w:pPr>
            <w:r>
              <w:rPr>
                <w:rFonts w:ascii="Arial" w:cs="Arial" w:eastAsia="Arial" w:hAnsi="Arial"/>
                <w:sz w:val="29"/>
                <w:szCs w:val="29"/>
                <w:color w:val="FEFEFE"/>
              </w:rPr>
              <w:t>******</w:t>
            </w:r>
          </w:p>
        </w:tc>
        <w:tc>
          <w:tcPr>
            <w:tcW w:w="9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9400" w:type="dxa"/>
            <w:vAlign w:val="bottom"/>
            <w:vMerge w:val="restart"/>
          </w:tcPr>
          <w:p>
            <w:pPr>
              <w:jc w:val="center"/>
              <w:ind w:left="170"/>
              <w:spacing w:after="0"/>
              <w:rPr>
                <w:sz w:val="20"/>
                <w:szCs w:val="20"/>
                <w:color w:val="auto"/>
              </w:rPr>
            </w:pPr>
            <w:r>
              <w:rPr>
                <w:rFonts w:ascii="Arial" w:cs="Arial" w:eastAsia="Arial" w:hAnsi="Arial"/>
                <w:sz w:val="29"/>
                <w:szCs w:val="29"/>
                <w:color w:val="FEFEFE"/>
              </w:rPr>
              <w:t>*****************************</w:t>
            </w:r>
          </w:p>
        </w:tc>
        <w:tc>
          <w:tcPr>
            <w:tcW w:w="0" w:type="dxa"/>
            <w:vAlign w:val="bottom"/>
          </w:tcPr>
          <w:p>
            <w:pPr>
              <w:spacing w:after="0"/>
              <w:rPr>
                <w:sz w:val="1"/>
                <w:szCs w:val="1"/>
                <w:color w:val="auto"/>
              </w:rPr>
            </w:pPr>
          </w:p>
        </w:tc>
      </w:tr>
      <w:tr>
        <w:trPr>
          <w:trHeight w:val="247"/>
        </w:trPr>
        <w:tc>
          <w:tcPr>
            <w:tcW w:w="920" w:type="dxa"/>
            <w:vAlign w:val="bottom"/>
            <w:vMerge w:val="restart"/>
          </w:tcPr>
          <w:p>
            <w:pPr>
              <w:spacing w:after="0"/>
              <w:rPr>
                <w:sz w:val="20"/>
                <w:szCs w:val="20"/>
                <w:color w:val="auto"/>
              </w:rPr>
            </w:pPr>
            <w:r>
              <w:rPr>
                <w:rFonts w:ascii="Arial" w:cs="Arial" w:eastAsia="Arial" w:hAnsi="Arial"/>
                <w:sz w:val="29"/>
                <w:szCs w:val="29"/>
                <w:color w:val="FEFEFE"/>
              </w:rPr>
              <w:t>******</w:t>
            </w:r>
          </w:p>
        </w:tc>
        <w:tc>
          <w:tcPr>
            <w:tcW w:w="9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9400" w:type="dxa"/>
            <w:vAlign w:val="bottom"/>
            <w:vMerge w:val="restart"/>
          </w:tcPr>
          <w:p>
            <w:pPr>
              <w:jc w:val="center"/>
              <w:ind w:left="170"/>
              <w:spacing w:after="0"/>
              <w:rPr>
                <w:sz w:val="20"/>
                <w:szCs w:val="20"/>
                <w:color w:val="auto"/>
              </w:rPr>
            </w:pPr>
            <w:r>
              <w:rPr>
                <w:rFonts w:ascii="Arial" w:cs="Arial" w:eastAsia="Arial" w:hAnsi="Arial"/>
                <w:sz w:val="29"/>
                <w:szCs w:val="29"/>
                <w:color w:val="FEFEFE"/>
              </w:rPr>
              <w:t>*****************************</w:t>
            </w:r>
          </w:p>
        </w:tc>
        <w:tc>
          <w:tcPr>
            <w:tcW w:w="0" w:type="dxa"/>
            <w:vAlign w:val="bottom"/>
          </w:tcPr>
          <w:p>
            <w:pPr>
              <w:spacing w:after="0"/>
              <w:rPr>
                <w:sz w:val="1"/>
                <w:szCs w:val="1"/>
                <w:color w:val="auto"/>
              </w:rPr>
            </w:pPr>
          </w:p>
        </w:tc>
      </w:tr>
      <w:tr>
        <w:trPr>
          <w:trHeight w:val="256"/>
        </w:trPr>
        <w:tc>
          <w:tcPr>
            <w:tcW w:w="920" w:type="dxa"/>
            <w:vAlign w:val="bottom"/>
            <w:vMerge w:val="restart"/>
          </w:tcPr>
          <w:p>
            <w:pPr>
              <w:spacing w:after="0"/>
              <w:rPr>
                <w:sz w:val="20"/>
                <w:szCs w:val="20"/>
                <w:color w:val="auto"/>
              </w:rPr>
            </w:pPr>
            <w:r>
              <w:rPr>
                <w:rFonts w:ascii="Arial" w:cs="Arial" w:eastAsia="Arial" w:hAnsi="Arial"/>
                <w:sz w:val="29"/>
                <w:szCs w:val="29"/>
                <w:color w:val="FEFEFE"/>
              </w:rPr>
              <w:t>******</w:t>
            </w:r>
          </w:p>
        </w:tc>
        <w:tc>
          <w:tcPr>
            <w:tcW w:w="9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9400" w:type="dxa"/>
            <w:vAlign w:val="bottom"/>
            <w:vMerge w:val="restart"/>
          </w:tcPr>
          <w:p>
            <w:pPr>
              <w:jc w:val="center"/>
              <w:ind w:left="170"/>
              <w:spacing w:after="0"/>
              <w:rPr>
                <w:sz w:val="20"/>
                <w:szCs w:val="20"/>
                <w:color w:val="auto"/>
              </w:rPr>
            </w:pPr>
            <w:r>
              <w:rPr>
                <w:rFonts w:ascii="Arial" w:cs="Arial" w:eastAsia="Arial" w:hAnsi="Arial"/>
                <w:sz w:val="29"/>
                <w:szCs w:val="29"/>
                <w:color w:val="FEFEFE"/>
              </w:rPr>
              <w:t>*****************************</w:t>
            </w:r>
          </w:p>
        </w:tc>
        <w:tc>
          <w:tcPr>
            <w:tcW w:w="0" w:type="dxa"/>
            <w:vAlign w:val="bottom"/>
          </w:tcPr>
          <w:p>
            <w:pPr>
              <w:spacing w:after="0"/>
              <w:rPr>
                <w:sz w:val="1"/>
                <w:szCs w:val="1"/>
                <w:color w:val="auto"/>
              </w:rPr>
            </w:pPr>
          </w:p>
        </w:tc>
      </w:tr>
      <w:tr>
        <w:trPr>
          <w:trHeight w:val="258"/>
        </w:trPr>
        <w:tc>
          <w:tcPr>
            <w:tcW w:w="920" w:type="dxa"/>
            <w:vAlign w:val="bottom"/>
            <w:vMerge w:val="restart"/>
          </w:tcPr>
          <w:p>
            <w:pPr>
              <w:spacing w:after="0"/>
              <w:rPr>
                <w:sz w:val="20"/>
                <w:szCs w:val="20"/>
                <w:color w:val="auto"/>
              </w:rPr>
            </w:pPr>
            <w:r>
              <w:rPr>
                <w:rFonts w:ascii="Arial" w:cs="Arial" w:eastAsia="Arial" w:hAnsi="Arial"/>
                <w:sz w:val="29"/>
                <w:szCs w:val="29"/>
                <w:color w:val="FEFEFE"/>
              </w:rPr>
              <w:t>******</w:t>
            </w:r>
          </w:p>
        </w:tc>
        <w:tc>
          <w:tcPr>
            <w:tcW w:w="9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vMerge w:val="restart"/>
          </w:tcPr>
          <w:p>
            <w:pPr>
              <w:jc w:val="center"/>
              <w:ind w:left="90"/>
              <w:spacing w:after="0"/>
              <w:rPr>
                <w:sz w:val="20"/>
                <w:szCs w:val="20"/>
                <w:color w:val="auto"/>
              </w:rPr>
            </w:pPr>
            <w:r>
              <w:rPr>
                <w:rFonts w:ascii="Arial" w:cs="Arial" w:eastAsia="Arial" w:hAnsi="Arial"/>
                <w:sz w:val="45"/>
                <w:szCs w:val="45"/>
                <w:b w:val="1"/>
                <w:bCs w:val="1"/>
                <w:color w:val="auto"/>
              </w:rPr>
              <w:t>General Motors Company</w:t>
            </w:r>
          </w:p>
        </w:tc>
        <w:tc>
          <w:tcPr>
            <w:tcW w:w="0" w:type="dxa"/>
            <w:vAlign w:val="bottom"/>
          </w:tcPr>
          <w:p>
            <w:pPr>
              <w:spacing w:after="0"/>
              <w:rPr>
                <w:sz w:val="1"/>
                <w:szCs w:val="1"/>
                <w:color w:val="auto"/>
              </w:rPr>
            </w:pPr>
          </w:p>
        </w:tc>
      </w:tr>
      <w:tr>
        <w:trPr>
          <w:trHeight w:val="357"/>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vMerge w:val="restart"/>
          </w:tcPr>
          <w:p>
            <w:pPr>
              <w:jc w:val="center"/>
              <w:ind w:left="70"/>
              <w:spacing w:after="0"/>
              <w:rPr>
                <w:sz w:val="20"/>
                <w:szCs w:val="20"/>
                <w:color w:val="auto"/>
              </w:rPr>
            </w:pPr>
            <w:r>
              <w:rPr>
                <w:rFonts w:ascii="Arial" w:cs="Arial" w:eastAsia="Arial" w:hAnsi="Arial"/>
                <w:sz w:val="45"/>
                <w:szCs w:val="45"/>
                <w:b w:val="1"/>
                <w:bCs w:val="1"/>
                <w:color w:val="auto"/>
              </w:rPr>
              <w:t>Select Supplemental Financial Information</w:t>
            </w: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29"/>
                <w:szCs w:val="29"/>
                <w:color w:val="FEFEFE"/>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960" cy="36195"/>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-3914775</wp:posOffset>
            </wp:positionV>
            <wp:extent cx="1317625" cy="1317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17625" cy="1317625"/>
                    </a:xfrm>
                    <a:prstGeom prst="rect">
                      <a:avLst/>
                    </a:prstGeom>
                    <a:noFill/>
                  </pic:spPr>
                </pic:pic>
              </a:graphicData>
            </a:graphic>
          </wp:anchor>
        </w:drawing>
      </w:r>
    </w:p>
    <w:p>
      <w:pPr>
        <w:sectPr>
          <w:pgSz w:w="11900" w:h="16838" w:orient="portrait"/>
          <w:cols w:equalWidth="0" w:num="1">
            <w:col w:w="10320"/>
          </w:cols>
          <w:pgMar w:left="360" w:top="364" w:right="1219" w:bottom="1440" w:gutter="0" w:footer="0" w:header="0"/>
        </w:sectPr>
      </w:pPr>
    </w:p>
    <w:bookmarkStart w:id="34" w:name="page35"/>
    <w:bookmarkEnd w:id="34"/>
    <w:p>
      <w:pPr>
        <w:ind w:left="9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Operating Income Walk to EBIT- Adj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820" w:type="dxa"/>
            <w:vAlign w:val="bottom"/>
          </w:tcPr>
          <w:p>
            <w:pPr>
              <w:spacing w:after="0"/>
              <w:rPr>
                <w:sz w:val="24"/>
                <w:szCs w:val="24"/>
                <w:color w:val="auto"/>
              </w:rPr>
            </w:pPr>
          </w:p>
        </w:tc>
        <w:tc>
          <w:tcPr>
            <w:tcW w:w="2500" w:type="dxa"/>
            <w:vAlign w:val="bottom"/>
          </w:tcPr>
          <w:p>
            <w:pPr>
              <w:jc w:val="center"/>
              <w:ind w:right="61"/>
              <w:spacing w:after="0"/>
              <w:rPr>
                <w:sz w:val="20"/>
                <w:szCs w:val="20"/>
                <w:color w:val="auto"/>
              </w:rPr>
            </w:pPr>
            <w:r>
              <w:rPr>
                <w:rFonts w:ascii="Arial" w:cs="Arial" w:eastAsia="Arial" w:hAnsi="Arial"/>
                <w:sz w:val="26"/>
                <w:szCs w:val="26"/>
                <w:b w:val="1"/>
                <w:bCs w:val="1"/>
                <w:color w:val="auto"/>
                <w:w w:val="99"/>
              </w:rPr>
              <w:t>Jul 10 – Sep 30</w:t>
            </w:r>
          </w:p>
        </w:tc>
        <w:tc>
          <w:tcPr>
            <w:tcW w:w="1740" w:type="dxa"/>
            <w:vAlign w:val="bottom"/>
          </w:tcPr>
          <w:p>
            <w:pPr>
              <w:jc w:val="right"/>
              <w:ind w:right="681"/>
              <w:spacing w:after="0"/>
              <w:rPr>
                <w:sz w:val="20"/>
                <w:szCs w:val="20"/>
                <w:color w:val="auto"/>
              </w:rPr>
            </w:pPr>
            <w:r>
              <w:rPr>
                <w:rFonts w:ascii="Arial" w:cs="Arial" w:eastAsia="Arial" w:hAnsi="Arial"/>
                <w:sz w:val="26"/>
                <w:szCs w:val="26"/>
                <w:b w:val="1"/>
                <w:bCs w:val="1"/>
                <w:color w:val="auto"/>
              </w:rPr>
              <w:t>Q4</w:t>
            </w:r>
          </w:p>
        </w:tc>
        <w:tc>
          <w:tcPr>
            <w:tcW w:w="1300" w:type="dxa"/>
            <w:vAlign w:val="bottom"/>
          </w:tcPr>
          <w:p>
            <w:pPr>
              <w:jc w:val="right"/>
              <w:ind w:right="61"/>
              <w:spacing w:after="0"/>
              <w:rPr>
                <w:sz w:val="20"/>
                <w:szCs w:val="20"/>
                <w:color w:val="auto"/>
              </w:rPr>
            </w:pPr>
            <w:r>
              <w:rPr>
                <w:rFonts w:ascii="Arial" w:cs="Arial" w:eastAsia="Arial" w:hAnsi="Arial"/>
                <w:sz w:val="26"/>
                <w:szCs w:val="26"/>
                <w:b w:val="1"/>
                <w:bCs w:val="1"/>
                <w:color w:val="auto"/>
              </w:rPr>
              <w:t>Q1</w:t>
            </w:r>
          </w:p>
        </w:tc>
      </w:tr>
      <w:tr>
        <w:trPr>
          <w:trHeight w:val="443"/>
        </w:trPr>
        <w:tc>
          <w:tcPr>
            <w:tcW w:w="4820" w:type="dxa"/>
            <w:vAlign w:val="bottom"/>
          </w:tcPr>
          <w:p>
            <w:pPr>
              <w:spacing w:after="0"/>
              <w:rPr>
                <w:sz w:val="20"/>
                <w:szCs w:val="20"/>
                <w:color w:val="auto"/>
              </w:rPr>
            </w:pPr>
            <w:r>
              <w:rPr>
                <w:rFonts w:ascii="Arial" w:cs="Arial" w:eastAsia="Arial" w:hAnsi="Arial"/>
                <w:sz w:val="26"/>
                <w:szCs w:val="26"/>
                <w:b w:val="1"/>
                <w:bCs w:val="1"/>
                <w:color w:val="auto"/>
              </w:rPr>
              <w:t>($ Billions)</w:t>
            </w:r>
          </w:p>
        </w:tc>
        <w:tc>
          <w:tcPr>
            <w:tcW w:w="2500" w:type="dxa"/>
            <w:vAlign w:val="bottom"/>
          </w:tcPr>
          <w:p>
            <w:pPr>
              <w:jc w:val="center"/>
              <w:ind w:right="61"/>
              <w:spacing w:after="0"/>
              <w:rPr>
                <w:sz w:val="20"/>
                <w:szCs w:val="20"/>
                <w:color w:val="auto"/>
              </w:rPr>
            </w:pPr>
            <w:r>
              <w:rPr>
                <w:rFonts w:ascii="Arial" w:cs="Arial" w:eastAsia="Arial" w:hAnsi="Arial"/>
                <w:sz w:val="33"/>
                <w:szCs w:val="33"/>
                <w:b w:val="1"/>
                <w:bCs w:val="1"/>
                <w:color w:val="auto"/>
              </w:rPr>
              <w:t>2009</w:t>
            </w:r>
          </w:p>
        </w:tc>
        <w:tc>
          <w:tcPr>
            <w:tcW w:w="1740" w:type="dxa"/>
            <w:vAlign w:val="bottom"/>
          </w:tcPr>
          <w:p>
            <w:pPr>
              <w:jc w:val="right"/>
              <w:ind w:right="421"/>
              <w:spacing w:after="0"/>
              <w:rPr>
                <w:sz w:val="20"/>
                <w:szCs w:val="20"/>
                <w:color w:val="auto"/>
              </w:rPr>
            </w:pPr>
            <w:r>
              <w:rPr>
                <w:rFonts w:ascii="Arial" w:cs="Arial" w:eastAsia="Arial" w:hAnsi="Arial"/>
                <w:sz w:val="33"/>
                <w:szCs w:val="33"/>
                <w:b w:val="1"/>
                <w:bCs w:val="1"/>
                <w:color w:val="auto"/>
              </w:rPr>
              <w:t>2009</w:t>
            </w:r>
          </w:p>
        </w:tc>
        <w:tc>
          <w:tcPr>
            <w:tcW w:w="1300" w:type="dxa"/>
            <w:vAlign w:val="bottom"/>
          </w:tcPr>
          <w:p>
            <w:pPr>
              <w:jc w:val="right"/>
              <w:spacing w:after="0"/>
              <w:rPr>
                <w:sz w:val="20"/>
                <w:szCs w:val="20"/>
                <w:color w:val="auto"/>
              </w:rPr>
            </w:pPr>
            <w:r>
              <w:rPr>
                <w:rFonts w:ascii="Arial" w:cs="Arial" w:eastAsia="Arial" w:hAnsi="Arial"/>
                <w:sz w:val="33"/>
                <w:szCs w:val="33"/>
                <w:b w:val="1"/>
                <w:bCs w:val="1"/>
                <w:color w:val="auto"/>
              </w:rPr>
              <w:t>2010</w:t>
            </w:r>
          </w:p>
        </w:tc>
      </w:tr>
      <w:tr>
        <w:trPr>
          <w:trHeight w:val="601"/>
        </w:trPr>
        <w:tc>
          <w:tcPr>
            <w:tcW w:w="4820" w:type="dxa"/>
            <w:vAlign w:val="bottom"/>
          </w:tcPr>
          <w:p>
            <w:pPr>
              <w:spacing w:after="0"/>
              <w:rPr>
                <w:sz w:val="20"/>
                <w:szCs w:val="20"/>
                <w:color w:val="auto"/>
              </w:rPr>
            </w:pPr>
            <w:r>
              <w:rPr>
                <w:rFonts w:ascii="Arial" w:cs="Arial" w:eastAsia="Arial" w:hAnsi="Arial"/>
                <w:sz w:val="29"/>
                <w:szCs w:val="29"/>
                <w:b w:val="1"/>
                <w:bCs w:val="1"/>
                <w:color w:val="auto"/>
              </w:rPr>
              <w:t>Operating Income</w:t>
            </w:r>
          </w:p>
        </w:tc>
        <w:tc>
          <w:tcPr>
            <w:tcW w:w="2500" w:type="dxa"/>
            <w:vAlign w:val="bottom"/>
          </w:tcPr>
          <w:p>
            <w:pPr>
              <w:jc w:val="center"/>
              <w:ind w:right="61"/>
              <w:spacing w:after="0"/>
              <w:rPr>
                <w:sz w:val="20"/>
                <w:szCs w:val="20"/>
                <w:color w:val="auto"/>
              </w:rPr>
            </w:pPr>
            <w:r>
              <w:rPr>
                <w:rFonts w:ascii="Arial" w:cs="Arial" w:eastAsia="Arial" w:hAnsi="Arial"/>
                <w:sz w:val="29"/>
                <w:szCs w:val="29"/>
                <w:b w:val="1"/>
                <w:bCs w:val="1"/>
                <w:color w:val="auto"/>
              </w:rPr>
              <w:t>(1.0)</w:t>
            </w:r>
          </w:p>
        </w:tc>
        <w:tc>
          <w:tcPr>
            <w:tcW w:w="1740" w:type="dxa"/>
            <w:vAlign w:val="bottom"/>
          </w:tcPr>
          <w:p>
            <w:pPr>
              <w:jc w:val="right"/>
              <w:ind w:right="541"/>
              <w:spacing w:after="0"/>
              <w:rPr>
                <w:sz w:val="20"/>
                <w:szCs w:val="20"/>
                <w:color w:val="auto"/>
              </w:rPr>
            </w:pPr>
            <w:r>
              <w:rPr>
                <w:rFonts w:ascii="Arial" w:cs="Arial" w:eastAsia="Arial" w:hAnsi="Arial"/>
                <w:sz w:val="29"/>
                <w:szCs w:val="29"/>
                <w:b w:val="1"/>
                <w:bCs w:val="1"/>
                <w:color w:val="auto"/>
              </w:rPr>
              <w:t>(3.9)</w:t>
            </w:r>
          </w:p>
        </w:tc>
        <w:tc>
          <w:tcPr>
            <w:tcW w:w="1300" w:type="dxa"/>
            <w:vAlign w:val="bottom"/>
          </w:tcPr>
          <w:p>
            <w:pPr>
              <w:jc w:val="right"/>
              <w:ind w:right="21"/>
              <w:spacing w:after="0"/>
              <w:rPr>
                <w:sz w:val="20"/>
                <w:szCs w:val="20"/>
                <w:color w:val="auto"/>
              </w:rPr>
            </w:pPr>
            <w:r>
              <w:rPr>
                <w:rFonts w:ascii="Arial" w:cs="Arial" w:eastAsia="Arial" w:hAnsi="Arial"/>
                <w:sz w:val="29"/>
                <w:szCs w:val="29"/>
                <w:b w:val="1"/>
                <w:bCs w:val="1"/>
                <w:color w:val="auto"/>
              </w:rPr>
              <w:t>1.2</w:t>
            </w:r>
          </w:p>
        </w:tc>
      </w:tr>
      <w:tr>
        <w:trPr>
          <w:trHeight w:val="712"/>
        </w:trPr>
        <w:tc>
          <w:tcPr>
            <w:tcW w:w="4820" w:type="dxa"/>
            <w:vAlign w:val="bottom"/>
          </w:tcPr>
          <w:p>
            <w:pPr>
              <w:ind w:left="140"/>
              <w:spacing w:after="0"/>
              <w:rPr>
                <w:sz w:val="20"/>
                <w:szCs w:val="20"/>
                <w:color w:val="auto"/>
              </w:rPr>
            </w:pPr>
            <w:r>
              <w:rPr>
                <w:rFonts w:ascii="Arial" w:cs="Arial" w:eastAsia="Arial" w:hAnsi="Arial"/>
                <w:sz w:val="26"/>
                <w:szCs w:val="26"/>
                <w:color w:val="auto"/>
              </w:rPr>
              <w:t>Equity Income</w:t>
            </w:r>
          </w:p>
        </w:tc>
        <w:tc>
          <w:tcPr>
            <w:tcW w:w="2500" w:type="dxa"/>
            <w:vAlign w:val="bottom"/>
          </w:tcPr>
          <w:p>
            <w:pPr>
              <w:jc w:val="right"/>
              <w:ind w:right="1041"/>
              <w:spacing w:after="0"/>
              <w:rPr>
                <w:sz w:val="20"/>
                <w:szCs w:val="20"/>
                <w:color w:val="auto"/>
              </w:rPr>
            </w:pPr>
            <w:r>
              <w:rPr>
                <w:rFonts w:ascii="Arial" w:cs="Arial" w:eastAsia="Arial" w:hAnsi="Arial"/>
                <w:sz w:val="26"/>
                <w:szCs w:val="26"/>
                <w:color w:val="auto"/>
              </w:rPr>
              <w:t>0.2</w:t>
            </w:r>
          </w:p>
        </w:tc>
        <w:tc>
          <w:tcPr>
            <w:tcW w:w="1740" w:type="dxa"/>
            <w:vAlign w:val="bottom"/>
          </w:tcPr>
          <w:p>
            <w:pPr>
              <w:jc w:val="right"/>
              <w:ind w:right="681"/>
              <w:spacing w:after="0"/>
              <w:rPr>
                <w:sz w:val="20"/>
                <w:szCs w:val="20"/>
                <w:color w:val="auto"/>
              </w:rPr>
            </w:pPr>
            <w:r>
              <w:rPr>
                <w:rFonts w:ascii="Arial" w:cs="Arial" w:eastAsia="Arial" w:hAnsi="Arial"/>
                <w:sz w:val="26"/>
                <w:szCs w:val="26"/>
                <w:color w:val="auto"/>
              </w:rPr>
              <w:t>0.3</w:t>
            </w:r>
          </w:p>
        </w:tc>
        <w:tc>
          <w:tcPr>
            <w:tcW w:w="1300" w:type="dxa"/>
            <w:vAlign w:val="bottom"/>
          </w:tcPr>
          <w:p>
            <w:pPr>
              <w:jc w:val="right"/>
              <w:ind w:right="61"/>
              <w:spacing w:after="0"/>
              <w:rPr>
                <w:sz w:val="20"/>
                <w:szCs w:val="20"/>
                <w:color w:val="auto"/>
              </w:rPr>
            </w:pPr>
            <w:r>
              <w:rPr>
                <w:rFonts w:ascii="Arial" w:cs="Arial" w:eastAsia="Arial" w:hAnsi="Arial"/>
                <w:sz w:val="26"/>
                <w:szCs w:val="26"/>
                <w:color w:val="auto"/>
              </w:rPr>
              <w:t>0.4</w:t>
            </w:r>
          </w:p>
        </w:tc>
      </w:tr>
      <w:tr>
        <w:trPr>
          <w:trHeight w:val="700"/>
        </w:trPr>
        <w:tc>
          <w:tcPr>
            <w:tcW w:w="4820" w:type="dxa"/>
            <w:vAlign w:val="bottom"/>
          </w:tcPr>
          <w:p>
            <w:pPr>
              <w:ind w:left="140"/>
              <w:spacing w:after="0"/>
              <w:rPr>
                <w:sz w:val="20"/>
                <w:szCs w:val="20"/>
                <w:color w:val="auto"/>
              </w:rPr>
            </w:pPr>
            <w:r>
              <w:rPr>
                <w:rFonts w:ascii="Arial" w:cs="Arial" w:eastAsia="Arial" w:hAnsi="Arial"/>
                <w:sz w:val="26"/>
                <w:szCs w:val="26"/>
                <w:color w:val="auto"/>
              </w:rPr>
              <w:t>Non-Controlling Interests</w:t>
            </w:r>
          </w:p>
        </w:tc>
        <w:tc>
          <w:tcPr>
            <w:tcW w:w="2500" w:type="dxa"/>
            <w:vAlign w:val="bottom"/>
          </w:tcPr>
          <w:p>
            <w:pPr>
              <w:jc w:val="right"/>
              <w:ind w:right="961"/>
              <w:spacing w:after="0"/>
              <w:rPr>
                <w:sz w:val="20"/>
                <w:szCs w:val="20"/>
                <w:color w:val="auto"/>
              </w:rPr>
            </w:pPr>
            <w:r>
              <w:rPr>
                <w:rFonts w:ascii="Arial" w:cs="Arial" w:eastAsia="Arial" w:hAnsi="Arial"/>
                <w:sz w:val="26"/>
                <w:szCs w:val="26"/>
                <w:color w:val="auto"/>
              </w:rPr>
              <w:t>(0.3)</w:t>
            </w:r>
          </w:p>
        </w:tc>
        <w:tc>
          <w:tcPr>
            <w:tcW w:w="1740" w:type="dxa"/>
            <w:vAlign w:val="bottom"/>
          </w:tcPr>
          <w:p>
            <w:pPr>
              <w:jc w:val="right"/>
              <w:ind w:right="581"/>
              <w:spacing w:after="0"/>
              <w:rPr>
                <w:sz w:val="20"/>
                <w:szCs w:val="20"/>
                <w:color w:val="auto"/>
              </w:rPr>
            </w:pPr>
            <w:r>
              <w:rPr>
                <w:rFonts w:ascii="Arial" w:cs="Arial" w:eastAsia="Arial" w:hAnsi="Arial"/>
                <w:sz w:val="26"/>
                <w:szCs w:val="26"/>
                <w:color w:val="auto"/>
              </w:rPr>
              <w:t>(0.2)</w:t>
            </w:r>
          </w:p>
        </w:tc>
        <w:tc>
          <w:tcPr>
            <w:tcW w:w="1300" w:type="dxa"/>
            <w:vAlign w:val="bottom"/>
          </w:tcPr>
          <w:p>
            <w:pPr>
              <w:jc w:val="right"/>
              <w:spacing w:after="0"/>
              <w:rPr>
                <w:sz w:val="20"/>
                <w:szCs w:val="20"/>
                <w:color w:val="auto"/>
              </w:rPr>
            </w:pPr>
            <w:r>
              <w:rPr>
                <w:rFonts w:ascii="Arial" w:cs="Arial" w:eastAsia="Arial" w:hAnsi="Arial"/>
                <w:sz w:val="26"/>
                <w:szCs w:val="26"/>
                <w:color w:val="auto"/>
              </w:rPr>
              <w:t>(0.1)</w:t>
            </w:r>
          </w:p>
        </w:tc>
      </w:tr>
      <w:tr>
        <w:trPr>
          <w:trHeight w:val="724"/>
        </w:trPr>
        <w:tc>
          <w:tcPr>
            <w:tcW w:w="4820" w:type="dxa"/>
            <w:vAlign w:val="bottom"/>
          </w:tcPr>
          <w:p>
            <w:pPr>
              <w:ind w:left="140"/>
              <w:spacing w:after="0"/>
              <w:rPr>
                <w:sz w:val="20"/>
                <w:szCs w:val="20"/>
                <w:color w:val="auto"/>
              </w:rPr>
            </w:pPr>
            <w:r>
              <w:rPr>
                <w:rFonts w:ascii="Arial" w:cs="Arial" w:eastAsia="Arial" w:hAnsi="Arial"/>
                <w:sz w:val="26"/>
                <w:szCs w:val="26"/>
                <w:color w:val="auto"/>
              </w:rPr>
              <w:t>Non-Operating Income/(Expense)</w:t>
            </w:r>
          </w:p>
        </w:tc>
        <w:tc>
          <w:tcPr>
            <w:tcW w:w="2500" w:type="dxa"/>
            <w:vAlign w:val="bottom"/>
          </w:tcPr>
          <w:p>
            <w:pPr>
              <w:jc w:val="right"/>
              <w:ind w:right="1041"/>
              <w:spacing w:after="0"/>
              <w:rPr>
                <w:sz w:val="20"/>
                <w:szCs w:val="20"/>
                <w:color w:val="auto"/>
              </w:rPr>
            </w:pPr>
            <w:r>
              <w:rPr>
                <w:rFonts w:ascii="Arial" w:cs="Arial" w:eastAsia="Arial" w:hAnsi="Arial"/>
                <w:sz w:val="26"/>
                <w:szCs w:val="26"/>
                <w:color w:val="auto"/>
              </w:rPr>
              <w:t>0.4</w:t>
            </w:r>
          </w:p>
        </w:tc>
        <w:tc>
          <w:tcPr>
            <w:tcW w:w="1740" w:type="dxa"/>
            <w:vAlign w:val="bottom"/>
          </w:tcPr>
          <w:p>
            <w:pPr>
              <w:jc w:val="right"/>
              <w:ind w:right="581"/>
              <w:spacing w:after="0"/>
              <w:rPr>
                <w:sz w:val="20"/>
                <w:szCs w:val="20"/>
                <w:color w:val="auto"/>
              </w:rPr>
            </w:pPr>
            <w:r>
              <w:rPr>
                <w:rFonts w:ascii="Arial" w:cs="Arial" w:eastAsia="Arial" w:hAnsi="Arial"/>
                <w:sz w:val="26"/>
                <w:szCs w:val="26"/>
                <w:color w:val="auto"/>
              </w:rPr>
              <w:t>(0.2)</w:t>
            </w:r>
          </w:p>
        </w:tc>
        <w:tc>
          <w:tcPr>
            <w:tcW w:w="1300" w:type="dxa"/>
            <w:vAlign w:val="bottom"/>
          </w:tcPr>
          <w:p>
            <w:pPr>
              <w:jc w:val="right"/>
              <w:ind w:right="61"/>
              <w:spacing w:after="0"/>
              <w:rPr>
                <w:sz w:val="20"/>
                <w:szCs w:val="20"/>
                <w:color w:val="auto"/>
              </w:rPr>
            </w:pPr>
            <w:r>
              <w:rPr>
                <w:rFonts w:ascii="Arial" w:cs="Arial" w:eastAsia="Arial" w:hAnsi="Arial"/>
                <w:sz w:val="26"/>
                <w:szCs w:val="26"/>
                <w:color w:val="auto"/>
              </w:rPr>
              <w:t>0.3</w:t>
            </w:r>
          </w:p>
        </w:tc>
      </w:tr>
      <w:tr>
        <w:trPr>
          <w:trHeight w:val="761"/>
        </w:trPr>
        <w:tc>
          <w:tcPr>
            <w:tcW w:w="4820" w:type="dxa"/>
            <w:vAlign w:val="bottom"/>
          </w:tcPr>
          <w:p>
            <w:pPr>
              <w:spacing w:after="0"/>
              <w:rPr>
                <w:sz w:val="20"/>
                <w:szCs w:val="20"/>
                <w:color w:val="auto"/>
              </w:rPr>
            </w:pPr>
            <w:r>
              <w:rPr>
                <w:rFonts w:ascii="Arial" w:cs="Arial" w:eastAsia="Arial" w:hAnsi="Arial"/>
                <w:sz w:val="29"/>
                <w:szCs w:val="29"/>
                <w:b w:val="1"/>
                <w:bCs w:val="1"/>
                <w:color w:val="auto"/>
              </w:rPr>
              <w:t>Earnings Before Interest &amp; Taxes</w:t>
            </w:r>
          </w:p>
        </w:tc>
        <w:tc>
          <w:tcPr>
            <w:tcW w:w="2500" w:type="dxa"/>
            <w:vAlign w:val="bottom"/>
          </w:tcPr>
          <w:p>
            <w:pPr>
              <w:jc w:val="center"/>
              <w:ind w:right="61"/>
              <w:spacing w:after="0"/>
              <w:rPr>
                <w:sz w:val="20"/>
                <w:szCs w:val="20"/>
                <w:color w:val="auto"/>
              </w:rPr>
            </w:pPr>
            <w:r>
              <w:rPr>
                <w:rFonts w:ascii="Arial" w:cs="Arial" w:eastAsia="Arial" w:hAnsi="Arial"/>
                <w:sz w:val="29"/>
                <w:szCs w:val="29"/>
                <w:b w:val="1"/>
                <w:bCs w:val="1"/>
                <w:color w:val="auto"/>
              </w:rPr>
              <w:t>(0.7)</w:t>
            </w:r>
          </w:p>
        </w:tc>
        <w:tc>
          <w:tcPr>
            <w:tcW w:w="1740" w:type="dxa"/>
            <w:vAlign w:val="bottom"/>
          </w:tcPr>
          <w:p>
            <w:pPr>
              <w:jc w:val="right"/>
              <w:ind w:right="541"/>
              <w:spacing w:after="0"/>
              <w:rPr>
                <w:sz w:val="20"/>
                <w:szCs w:val="20"/>
                <w:color w:val="auto"/>
              </w:rPr>
            </w:pPr>
            <w:r>
              <w:rPr>
                <w:rFonts w:ascii="Arial" w:cs="Arial" w:eastAsia="Arial" w:hAnsi="Arial"/>
                <w:sz w:val="29"/>
                <w:szCs w:val="29"/>
                <w:b w:val="1"/>
                <w:bCs w:val="1"/>
                <w:color w:val="auto"/>
              </w:rPr>
              <w:t>(4.0)</w:t>
            </w:r>
          </w:p>
        </w:tc>
        <w:tc>
          <w:tcPr>
            <w:tcW w:w="1300" w:type="dxa"/>
            <w:vAlign w:val="bottom"/>
          </w:tcPr>
          <w:p>
            <w:pPr>
              <w:jc w:val="right"/>
              <w:ind w:right="21"/>
              <w:spacing w:after="0"/>
              <w:rPr>
                <w:sz w:val="20"/>
                <w:szCs w:val="20"/>
                <w:color w:val="auto"/>
              </w:rPr>
            </w:pPr>
            <w:r>
              <w:rPr>
                <w:rFonts w:ascii="Arial" w:cs="Arial" w:eastAsia="Arial" w:hAnsi="Arial"/>
                <w:sz w:val="29"/>
                <w:szCs w:val="29"/>
                <w:b w:val="1"/>
                <w:bCs w:val="1"/>
                <w:color w:val="auto"/>
              </w:rPr>
              <w:t>1.8</w:t>
            </w:r>
          </w:p>
        </w:tc>
      </w:tr>
      <w:tr>
        <w:trPr>
          <w:trHeight w:val="725"/>
        </w:trPr>
        <w:tc>
          <w:tcPr>
            <w:tcW w:w="4820" w:type="dxa"/>
            <w:vAlign w:val="bottom"/>
          </w:tcPr>
          <w:p>
            <w:pPr>
              <w:ind w:left="220"/>
              <w:spacing w:after="0"/>
              <w:rPr>
                <w:sz w:val="20"/>
                <w:szCs w:val="20"/>
                <w:color w:val="auto"/>
              </w:rPr>
            </w:pPr>
            <w:r>
              <w:rPr>
                <w:rFonts w:ascii="Arial" w:cs="Arial" w:eastAsia="Arial" w:hAnsi="Arial"/>
                <w:sz w:val="26"/>
                <w:szCs w:val="26"/>
                <w:color w:val="auto"/>
              </w:rPr>
              <w:t>Less Adjustments</w:t>
            </w:r>
          </w:p>
        </w:tc>
        <w:tc>
          <w:tcPr>
            <w:tcW w:w="2500" w:type="dxa"/>
            <w:vAlign w:val="bottom"/>
          </w:tcPr>
          <w:p>
            <w:pPr>
              <w:jc w:val="right"/>
              <w:ind w:right="961"/>
              <w:spacing w:after="0"/>
              <w:rPr>
                <w:sz w:val="20"/>
                <w:szCs w:val="20"/>
                <w:color w:val="auto"/>
              </w:rPr>
            </w:pPr>
            <w:r>
              <w:rPr>
                <w:rFonts w:ascii="Arial" w:cs="Arial" w:eastAsia="Arial" w:hAnsi="Arial"/>
                <w:sz w:val="26"/>
                <w:szCs w:val="26"/>
                <w:color w:val="auto"/>
              </w:rPr>
              <w:t>(0.1)</w:t>
            </w:r>
          </w:p>
        </w:tc>
        <w:tc>
          <w:tcPr>
            <w:tcW w:w="1740" w:type="dxa"/>
            <w:vAlign w:val="bottom"/>
          </w:tcPr>
          <w:p>
            <w:pPr>
              <w:jc w:val="right"/>
              <w:ind w:right="581"/>
              <w:spacing w:after="0"/>
              <w:rPr>
                <w:sz w:val="20"/>
                <w:szCs w:val="20"/>
                <w:color w:val="auto"/>
              </w:rPr>
            </w:pPr>
            <w:r>
              <w:rPr>
                <w:rFonts w:ascii="Arial" w:cs="Arial" w:eastAsia="Arial" w:hAnsi="Arial"/>
                <w:sz w:val="26"/>
                <w:szCs w:val="26"/>
                <w:color w:val="auto"/>
              </w:rPr>
              <w:t>(3.0)</w:t>
            </w:r>
          </w:p>
        </w:tc>
        <w:tc>
          <w:tcPr>
            <w:tcW w:w="1300" w:type="dxa"/>
            <w:vAlign w:val="bottom"/>
          </w:tcPr>
          <w:p>
            <w:pPr>
              <w:jc w:val="right"/>
              <w:ind w:right="61"/>
              <w:spacing w:after="0"/>
              <w:rPr>
                <w:sz w:val="20"/>
                <w:szCs w:val="20"/>
                <w:color w:val="auto"/>
              </w:rPr>
            </w:pPr>
            <w:r>
              <w:rPr>
                <w:rFonts w:ascii="Arial" w:cs="Arial" w:eastAsia="Arial" w:hAnsi="Arial"/>
                <w:sz w:val="26"/>
                <w:szCs w:val="26"/>
                <w:color w:val="auto"/>
              </w:rPr>
              <w:t>0.1</w:t>
            </w:r>
          </w:p>
        </w:tc>
      </w:tr>
      <w:tr>
        <w:trPr>
          <w:trHeight w:val="736"/>
        </w:trPr>
        <w:tc>
          <w:tcPr>
            <w:tcW w:w="4820" w:type="dxa"/>
            <w:vAlign w:val="bottom"/>
          </w:tcPr>
          <w:p>
            <w:pPr>
              <w:spacing w:after="0"/>
              <w:rPr>
                <w:sz w:val="20"/>
                <w:szCs w:val="20"/>
                <w:color w:val="auto"/>
              </w:rPr>
            </w:pPr>
            <w:r>
              <w:rPr>
                <w:rFonts w:ascii="Arial" w:cs="Arial" w:eastAsia="Arial" w:hAnsi="Arial"/>
                <w:sz w:val="29"/>
                <w:szCs w:val="29"/>
                <w:b w:val="1"/>
                <w:bCs w:val="1"/>
                <w:color w:val="auto"/>
              </w:rPr>
              <w:t>EBIT- Adj.</w:t>
            </w:r>
          </w:p>
        </w:tc>
        <w:tc>
          <w:tcPr>
            <w:tcW w:w="2500" w:type="dxa"/>
            <w:vAlign w:val="bottom"/>
          </w:tcPr>
          <w:p>
            <w:pPr>
              <w:jc w:val="center"/>
              <w:ind w:right="61"/>
              <w:spacing w:after="0"/>
              <w:rPr>
                <w:sz w:val="20"/>
                <w:szCs w:val="20"/>
                <w:color w:val="auto"/>
              </w:rPr>
            </w:pPr>
            <w:r>
              <w:rPr>
                <w:rFonts w:ascii="Arial" w:cs="Arial" w:eastAsia="Arial" w:hAnsi="Arial"/>
                <w:sz w:val="29"/>
                <w:szCs w:val="29"/>
                <w:b w:val="1"/>
                <w:bCs w:val="1"/>
                <w:color w:val="auto"/>
              </w:rPr>
              <w:t>(0.6)</w:t>
            </w:r>
          </w:p>
        </w:tc>
        <w:tc>
          <w:tcPr>
            <w:tcW w:w="1740" w:type="dxa"/>
            <w:vAlign w:val="bottom"/>
          </w:tcPr>
          <w:p>
            <w:pPr>
              <w:jc w:val="right"/>
              <w:ind w:right="541"/>
              <w:spacing w:after="0"/>
              <w:rPr>
                <w:sz w:val="20"/>
                <w:szCs w:val="20"/>
                <w:color w:val="auto"/>
              </w:rPr>
            </w:pPr>
            <w:r>
              <w:rPr>
                <w:rFonts w:ascii="Arial" w:cs="Arial" w:eastAsia="Arial" w:hAnsi="Arial"/>
                <w:sz w:val="29"/>
                <w:szCs w:val="29"/>
                <w:b w:val="1"/>
                <w:bCs w:val="1"/>
                <w:color w:val="auto"/>
              </w:rPr>
              <w:t>(1.0)</w:t>
            </w:r>
          </w:p>
        </w:tc>
        <w:tc>
          <w:tcPr>
            <w:tcW w:w="1300" w:type="dxa"/>
            <w:vAlign w:val="bottom"/>
          </w:tcPr>
          <w:p>
            <w:pPr>
              <w:jc w:val="right"/>
              <w:ind w:right="21"/>
              <w:spacing w:after="0"/>
              <w:rPr>
                <w:sz w:val="20"/>
                <w:szCs w:val="20"/>
                <w:color w:val="auto"/>
              </w:rPr>
            </w:pPr>
            <w:r>
              <w:rPr>
                <w:rFonts w:ascii="Arial" w:cs="Arial" w:eastAsia="Arial" w:hAnsi="Arial"/>
                <w:sz w:val="29"/>
                <w:szCs w:val="29"/>
                <w:b w:val="1"/>
                <w:bCs w:val="1"/>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S1</w:t>
      </w:r>
    </w:p>
    <w:p>
      <w:pPr>
        <w:sectPr>
          <w:pgSz w:w="11900" w:h="16838" w:orient="portrait"/>
          <w:cols w:equalWidth="0" w:num="1">
            <w:col w:w="10680"/>
          </w:cols>
          <w:pgMar w:left="500" w:top="579" w:right="719" w:bottom="1440" w:gutter="0" w:footer="0" w:header="0"/>
        </w:sectPr>
      </w:pPr>
    </w:p>
    <w:bookmarkStart w:id="35" w:name="page36"/>
    <w:bookmarkEnd w:id="35"/>
    <w:p>
      <w:pPr>
        <w:ind w:left="8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Detail of Adjustments</w:t>
      </w:r>
    </w:p>
    <w:p>
      <w:pPr>
        <w:sectPr>
          <w:pgSz w:w="11900" w:h="16838" w:orient="portrait"/>
          <w:cols w:equalWidth="0" w:num="1">
            <w:col w:w="10580"/>
          </w:cols>
          <w:pgMar w:left="600" w:top="542"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($M)</w:t>
      </w:r>
    </w:p>
    <w:p>
      <w:pPr>
        <w:spacing w:after="0" w:line="136"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Earnings Before Interest</w:t>
      </w:r>
    </w:p>
    <w:p>
      <w:pPr>
        <w:spacing w:after="0" w:line="55"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&amp; Taxes (EBIT)</w:t>
      </w:r>
    </w:p>
    <w:p>
      <w:pPr>
        <w:spacing w:after="0" w:line="352"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Less Adjustments</w:t>
      </w:r>
    </w:p>
    <w:p>
      <w:pPr>
        <w:spacing w:after="0" w:line="212" w:lineRule="exact"/>
        <w:rPr>
          <w:sz w:val="20"/>
          <w:szCs w:val="20"/>
          <w:color w:val="auto"/>
        </w:rPr>
      </w:pPr>
    </w:p>
    <w:p>
      <w:pPr>
        <w:ind w:left="360" w:hanging="194"/>
        <w:spacing w:after="0"/>
        <w:tabs>
          <w:tab w:leader="none" w:pos="360" w:val="left"/>
        </w:tabs>
        <w:numPr>
          <w:ilvl w:val="0"/>
          <w:numId w:val="10"/>
        </w:numPr>
        <w:rPr>
          <w:rFonts w:ascii="Arial" w:cs="Arial" w:eastAsia="Arial" w:hAnsi="Arial"/>
          <w:sz w:val="29"/>
          <w:szCs w:val="29"/>
          <w:color w:val="auto"/>
        </w:rPr>
      </w:pPr>
      <w:r>
        <w:rPr>
          <w:rFonts w:ascii="Arial" w:cs="Arial" w:eastAsia="Arial" w:hAnsi="Arial"/>
          <w:sz w:val="29"/>
          <w:szCs w:val="29"/>
          <w:color w:val="auto"/>
        </w:rPr>
        <w:t>Gain on Saab Sale</w:t>
      </w:r>
    </w:p>
    <w:p>
      <w:pPr>
        <w:spacing w:after="0" w:line="169" w:lineRule="exact"/>
        <w:rPr>
          <w:rFonts w:ascii="Arial" w:cs="Arial" w:eastAsia="Arial" w:hAnsi="Arial"/>
          <w:sz w:val="29"/>
          <w:szCs w:val="29"/>
          <w:color w:val="auto"/>
        </w:rPr>
      </w:pPr>
    </w:p>
    <w:p>
      <w:pPr>
        <w:ind w:left="360" w:hanging="194"/>
        <w:spacing w:after="0"/>
        <w:tabs>
          <w:tab w:leader="none" w:pos="360" w:val="left"/>
        </w:tabs>
        <w:numPr>
          <w:ilvl w:val="0"/>
          <w:numId w:val="10"/>
        </w:numPr>
        <w:rPr>
          <w:rFonts w:ascii="Arial" w:cs="Arial" w:eastAsia="Arial" w:hAnsi="Arial"/>
          <w:sz w:val="29"/>
          <w:szCs w:val="29"/>
          <w:color w:val="auto"/>
        </w:rPr>
      </w:pPr>
      <w:r>
        <w:rPr>
          <w:rFonts w:ascii="Arial" w:cs="Arial" w:eastAsia="Arial" w:hAnsi="Arial"/>
          <w:sz w:val="29"/>
          <w:szCs w:val="29"/>
          <w:color w:val="auto"/>
        </w:rPr>
        <w:t>VEBA Settlement</w:t>
      </w:r>
    </w:p>
    <w:p>
      <w:pPr>
        <w:spacing w:after="0" w:line="169" w:lineRule="exact"/>
        <w:rPr>
          <w:rFonts w:ascii="Arial" w:cs="Arial" w:eastAsia="Arial" w:hAnsi="Arial"/>
          <w:sz w:val="29"/>
          <w:szCs w:val="29"/>
          <w:color w:val="auto"/>
        </w:rPr>
      </w:pPr>
    </w:p>
    <w:p>
      <w:pPr>
        <w:ind w:left="360" w:hanging="194"/>
        <w:spacing w:after="0"/>
        <w:tabs>
          <w:tab w:leader="none" w:pos="360" w:val="left"/>
        </w:tabs>
        <w:numPr>
          <w:ilvl w:val="0"/>
          <w:numId w:val="10"/>
        </w:numPr>
        <w:rPr>
          <w:rFonts w:ascii="Arial" w:cs="Arial" w:eastAsia="Arial" w:hAnsi="Arial"/>
          <w:sz w:val="29"/>
          <w:szCs w:val="29"/>
          <w:color w:val="auto"/>
        </w:rPr>
      </w:pPr>
      <w:r>
        <w:rPr>
          <w:rFonts w:ascii="Arial" w:cs="Arial" w:eastAsia="Arial" w:hAnsi="Arial"/>
          <w:sz w:val="29"/>
          <w:szCs w:val="29"/>
          <w:color w:val="auto"/>
        </w:rPr>
        <w:t>GMAC Investment Impairment</w:t>
      </w:r>
    </w:p>
    <w:p>
      <w:pPr>
        <w:spacing w:after="0" w:line="169" w:lineRule="exact"/>
        <w:rPr>
          <w:rFonts w:ascii="Arial" w:cs="Arial" w:eastAsia="Arial" w:hAnsi="Arial"/>
          <w:sz w:val="29"/>
          <w:szCs w:val="29"/>
          <w:color w:val="auto"/>
        </w:rPr>
      </w:pPr>
    </w:p>
    <w:p>
      <w:pPr>
        <w:ind w:left="360" w:hanging="194"/>
        <w:spacing w:after="0"/>
        <w:tabs>
          <w:tab w:leader="none" w:pos="360" w:val="left"/>
        </w:tabs>
        <w:numPr>
          <w:ilvl w:val="0"/>
          <w:numId w:val="10"/>
        </w:numPr>
        <w:rPr>
          <w:rFonts w:ascii="Arial" w:cs="Arial" w:eastAsia="Arial" w:hAnsi="Arial"/>
          <w:sz w:val="29"/>
          <w:szCs w:val="29"/>
          <w:color w:val="auto"/>
        </w:rPr>
      </w:pPr>
      <w:r>
        <w:rPr>
          <w:rFonts w:ascii="Arial" w:cs="Arial" w:eastAsia="Arial" w:hAnsi="Arial"/>
          <w:sz w:val="29"/>
          <w:szCs w:val="29"/>
          <w:color w:val="auto"/>
        </w:rPr>
        <w:t>Delphi Related</w:t>
      </w:r>
    </w:p>
    <w:p>
      <w:pPr>
        <w:spacing w:after="0" w:line="169" w:lineRule="exact"/>
        <w:rPr>
          <w:rFonts w:ascii="Arial" w:cs="Arial" w:eastAsia="Arial" w:hAnsi="Arial"/>
          <w:sz w:val="29"/>
          <w:szCs w:val="29"/>
          <w:color w:val="auto"/>
        </w:rPr>
      </w:pPr>
    </w:p>
    <w:p>
      <w:pPr>
        <w:ind w:left="360" w:hanging="194"/>
        <w:spacing w:after="0"/>
        <w:tabs>
          <w:tab w:leader="none" w:pos="360" w:val="left"/>
        </w:tabs>
        <w:numPr>
          <w:ilvl w:val="0"/>
          <w:numId w:val="10"/>
        </w:numPr>
        <w:rPr>
          <w:rFonts w:ascii="Arial" w:cs="Arial" w:eastAsia="Arial" w:hAnsi="Arial"/>
          <w:sz w:val="29"/>
          <w:szCs w:val="29"/>
          <w:color w:val="auto"/>
        </w:rPr>
      </w:pPr>
      <w:r>
        <w:rPr>
          <w:rFonts w:ascii="Arial" w:cs="Arial" w:eastAsia="Arial" w:hAnsi="Arial"/>
          <w:sz w:val="29"/>
          <w:szCs w:val="29"/>
          <w:color w:val="auto"/>
        </w:rPr>
        <w:t>CAMI Debt Ext.</w:t>
      </w:r>
    </w:p>
    <w:p>
      <w:pPr>
        <w:spacing w:after="0" w:line="242"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Total Adjustments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EBIT – Adj.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2300" w:type="dxa"/>
            <w:vAlign w:val="bottom"/>
          </w:tcPr>
          <w:p>
            <w:pPr>
              <w:jc w:val="center"/>
              <w:ind w:right="47"/>
              <w:spacing w:after="0"/>
              <w:rPr>
                <w:sz w:val="20"/>
                <w:szCs w:val="20"/>
                <w:color w:val="auto"/>
              </w:rPr>
            </w:pPr>
            <w:r>
              <w:rPr>
                <w:rFonts w:ascii="Arial" w:cs="Arial" w:eastAsia="Arial" w:hAnsi="Arial"/>
                <w:sz w:val="26"/>
                <w:szCs w:val="26"/>
                <w:b w:val="1"/>
                <w:bCs w:val="1"/>
                <w:color w:val="auto"/>
              </w:rPr>
              <w:t>July 10 – Sept 30</w:t>
            </w:r>
          </w:p>
        </w:tc>
        <w:tc>
          <w:tcPr>
            <w:tcW w:w="1640" w:type="dxa"/>
            <w:vAlign w:val="bottom"/>
          </w:tcPr>
          <w:p>
            <w:pPr>
              <w:jc w:val="center"/>
              <w:ind w:right="47"/>
              <w:spacing w:after="0"/>
              <w:rPr>
                <w:sz w:val="20"/>
                <w:szCs w:val="20"/>
                <w:color w:val="auto"/>
              </w:rPr>
            </w:pPr>
            <w:r>
              <w:rPr>
                <w:rFonts w:ascii="Arial" w:cs="Arial" w:eastAsia="Arial" w:hAnsi="Arial"/>
                <w:sz w:val="26"/>
                <w:szCs w:val="26"/>
                <w:b w:val="1"/>
                <w:bCs w:val="1"/>
                <w:color w:val="auto"/>
              </w:rPr>
              <w:t>Q4</w:t>
            </w:r>
          </w:p>
        </w:tc>
        <w:tc>
          <w:tcPr>
            <w:tcW w:w="1220" w:type="dxa"/>
            <w:vAlign w:val="bottom"/>
          </w:tcPr>
          <w:p>
            <w:pPr>
              <w:jc w:val="center"/>
              <w:ind w:left="227"/>
              <w:spacing w:after="0"/>
              <w:rPr>
                <w:sz w:val="20"/>
                <w:szCs w:val="20"/>
                <w:color w:val="auto"/>
              </w:rPr>
            </w:pPr>
            <w:r>
              <w:rPr>
                <w:rFonts w:ascii="Arial" w:cs="Arial" w:eastAsia="Arial" w:hAnsi="Arial"/>
                <w:sz w:val="26"/>
                <w:szCs w:val="26"/>
                <w:b w:val="1"/>
                <w:bCs w:val="1"/>
                <w:color w:val="auto"/>
              </w:rPr>
              <w:t>Q1</w:t>
            </w:r>
          </w:p>
        </w:tc>
      </w:tr>
      <w:tr>
        <w:trPr>
          <w:trHeight w:val="442"/>
        </w:trPr>
        <w:tc>
          <w:tcPr>
            <w:tcW w:w="2300" w:type="dxa"/>
            <w:vAlign w:val="bottom"/>
          </w:tcPr>
          <w:p>
            <w:pPr>
              <w:jc w:val="center"/>
              <w:ind w:right="47"/>
              <w:spacing w:after="0"/>
              <w:rPr>
                <w:sz w:val="20"/>
                <w:szCs w:val="20"/>
                <w:color w:val="auto"/>
              </w:rPr>
            </w:pPr>
            <w:r>
              <w:rPr>
                <w:rFonts w:ascii="Arial" w:cs="Arial" w:eastAsia="Arial" w:hAnsi="Arial"/>
                <w:sz w:val="33"/>
                <w:szCs w:val="33"/>
                <w:b w:val="1"/>
                <w:bCs w:val="1"/>
                <w:color w:val="auto"/>
              </w:rPr>
              <w:t>2009</w:t>
            </w:r>
          </w:p>
        </w:tc>
        <w:tc>
          <w:tcPr>
            <w:tcW w:w="1640" w:type="dxa"/>
            <w:vAlign w:val="bottom"/>
          </w:tcPr>
          <w:p>
            <w:pPr>
              <w:jc w:val="right"/>
              <w:ind w:right="407"/>
              <w:spacing w:after="0"/>
              <w:rPr>
                <w:sz w:val="20"/>
                <w:szCs w:val="20"/>
                <w:color w:val="auto"/>
              </w:rPr>
            </w:pPr>
            <w:r>
              <w:rPr>
                <w:rFonts w:ascii="Arial" w:cs="Arial" w:eastAsia="Arial" w:hAnsi="Arial"/>
                <w:sz w:val="33"/>
                <w:szCs w:val="33"/>
                <w:b w:val="1"/>
                <w:bCs w:val="1"/>
                <w:color w:val="auto"/>
              </w:rPr>
              <w:t>2009</w:t>
            </w:r>
          </w:p>
        </w:tc>
        <w:tc>
          <w:tcPr>
            <w:tcW w:w="1220" w:type="dxa"/>
            <w:vAlign w:val="bottom"/>
          </w:tcPr>
          <w:p>
            <w:pPr>
              <w:jc w:val="center"/>
              <w:ind w:left="207"/>
              <w:spacing w:after="0"/>
              <w:rPr>
                <w:sz w:val="20"/>
                <w:szCs w:val="20"/>
                <w:color w:val="auto"/>
              </w:rPr>
            </w:pPr>
            <w:r>
              <w:rPr>
                <w:rFonts w:ascii="Arial" w:cs="Arial" w:eastAsia="Arial" w:hAnsi="Arial"/>
                <w:sz w:val="33"/>
                <w:szCs w:val="33"/>
                <w:b w:val="1"/>
                <w:bCs w:val="1"/>
                <w:color w:val="auto"/>
              </w:rPr>
              <w:t>2010</w:t>
            </w:r>
          </w:p>
        </w:tc>
      </w:tr>
      <w:tr>
        <w:trPr>
          <w:trHeight w:val="700"/>
        </w:trPr>
        <w:tc>
          <w:tcPr>
            <w:tcW w:w="2300" w:type="dxa"/>
            <w:vAlign w:val="bottom"/>
          </w:tcPr>
          <w:p>
            <w:pPr>
              <w:jc w:val="center"/>
              <w:ind w:right="27"/>
              <w:spacing w:after="0"/>
              <w:rPr>
                <w:sz w:val="20"/>
                <w:szCs w:val="20"/>
                <w:color w:val="auto"/>
              </w:rPr>
            </w:pPr>
            <w:r>
              <w:rPr>
                <w:rFonts w:ascii="Arial" w:cs="Arial" w:eastAsia="Arial" w:hAnsi="Arial"/>
                <w:sz w:val="33"/>
                <w:szCs w:val="33"/>
                <w:b w:val="1"/>
                <w:bCs w:val="1"/>
                <w:color w:val="auto"/>
                <w:w w:val="98"/>
              </w:rPr>
              <w:t>(741)</w:t>
            </w:r>
          </w:p>
        </w:tc>
        <w:tc>
          <w:tcPr>
            <w:tcW w:w="1640" w:type="dxa"/>
            <w:vAlign w:val="bottom"/>
          </w:tcPr>
          <w:p>
            <w:pPr>
              <w:jc w:val="right"/>
              <w:ind w:right="227"/>
              <w:spacing w:after="0"/>
              <w:rPr>
                <w:sz w:val="20"/>
                <w:szCs w:val="20"/>
                <w:color w:val="auto"/>
              </w:rPr>
            </w:pPr>
            <w:r>
              <w:rPr>
                <w:rFonts w:ascii="Arial" w:cs="Arial" w:eastAsia="Arial" w:hAnsi="Arial"/>
                <w:sz w:val="33"/>
                <w:szCs w:val="33"/>
                <w:b w:val="1"/>
                <w:bCs w:val="1"/>
                <w:color w:val="auto"/>
              </w:rPr>
              <w:t>(4,046)</w:t>
            </w:r>
          </w:p>
        </w:tc>
        <w:tc>
          <w:tcPr>
            <w:tcW w:w="1220" w:type="dxa"/>
            <w:vAlign w:val="bottom"/>
          </w:tcPr>
          <w:p>
            <w:pPr>
              <w:jc w:val="center"/>
              <w:ind w:left="227"/>
              <w:spacing w:after="0"/>
              <w:rPr>
                <w:sz w:val="20"/>
                <w:szCs w:val="20"/>
                <w:color w:val="auto"/>
              </w:rPr>
            </w:pPr>
            <w:r>
              <w:rPr>
                <w:rFonts w:ascii="Arial" w:cs="Arial" w:eastAsia="Arial" w:hAnsi="Arial"/>
                <w:sz w:val="33"/>
                <w:szCs w:val="33"/>
                <w:b w:val="1"/>
                <w:bCs w:val="1"/>
                <w:color w:val="auto"/>
              </w:rPr>
              <w:t>1,824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680" w:type="dxa"/>
        <w:tblCellMar>
          <w:top w:w="0" w:type="dxa"/>
          <w:left w:w="0" w:type="dxa"/>
          <w:bottom w:w="0" w:type="dxa"/>
          <w:right w:w="0" w:type="dxa"/>
        </w:tblCellMar>
      </w:tblPr>
      <w:tr>
        <w:trPr>
          <w:trHeight w:val="355"/>
        </w:trPr>
        <w:tc>
          <w:tcPr>
            <w:tcW w:w="1300" w:type="dxa"/>
            <w:vAlign w:val="bottom"/>
          </w:tcPr>
          <w:p>
            <w:pPr>
              <w:jc w:val="right"/>
              <w:ind w:right="727"/>
              <w:spacing w:after="0"/>
              <w:rPr>
                <w:sz w:val="20"/>
                <w:szCs w:val="20"/>
                <w:color w:val="auto"/>
              </w:rPr>
            </w:pPr>
            <w:r>
              <w:rPr>
                <w:rFonts w:ascii="Arial" w:cs="Arial" w:eastAsia="Arial" w:hAnsi="Arial"/>
                <w:sz w:val="29"/>
                <w:szCs w:val="29"/>
                <w:color w:val="auto"/>
              </w:rPr>
              <w:t>-</w:t>
            </w:r>
          </w:p>
        </w:tc>
        <w:tc>
          <w:tcPr>
            <w:tcW w:w="1960" w:type="dxa"/>
            <w:vAlign w:val="bottom"/>
          </w:tcPr>
          <w:p>
            <w:pPr>
              <w:jc w:val="right"/>
              <w:ind w:right="727"/>
              <w:spacing w:after="0"/>
              <w:rPr>
                <w:sz w:val="20"/>
                <w:szCs w:val="20"/>
                <w:color w:val="auto"/>
              </w:rPr>
            </w:pPr>
            <w:r>
              <w:rPr>
                <w:rFonts w:ascii="Arial" w:cs="Arial" w:eastAsia="Arial" w:hAnsi="Arial"/>
                <w:sz w:val="29"/>
                <w:szCs w:val="29"/>
                <w:color w:val="auto"/>
              </w:rPr>
              <w:t>-</w:t>
            </w:r>
          </w:p>
        </w:tc>
        <w:tc>
          <w:tcPr>
            <w:tcW w:w="1220" w:type="dxa"/>
            <w:vAlign w:val="bottom"/>
          </w:tcPr>
          <w:p>
            <w:pPr>
              <w:jc w:val="right"/>
              <w:ind w:right="7"/>
              <w:spacing w:after="0"/>
              <w:rPr>
                <w:sz w:val="20"/>
                <w:szCs w:val="20"/>
                <w:color w:val="auto"/>
              </w:rPr>
            </w:pPr>
            <w:r>
              <w:rPr>
                <w:rFonts w:ascii="Arial" w:cs="Arial" w:eastAsia="Arial" w:hAnsi="Arial"/>
                <w:sz w:val="29"/>
                <w:szCs w:val="29"/>
                <w:color w:val="auto"/>
              </w:rPr>
              <w:t>123</w:t>
            </w:r>
          </w:p>
        </w:tc>
      </w:tr>
      <w:tr>
        <w:trPr>
          <w:trHeight w:val="503"/>
        </w:trPr>
        <w:tc>
          <w:tcPr>
            <w:tcW w:w="1300" w:type="dxa"/>
            <w:vAlign w:val="bottom"/>
          </w:tcPr>
          <w:p>
            <w:pPr>
              <w:jc w:val="right"/>
              <w:ind w:right="667"/>
              <w:spacing w:after="0"/>
              <w:rPr>
                <w:sz w:val="20"/>
                <w:szCs w:val="20"/>
                <w:color w:val="auto"/>
              </w:rPr>
            </w:pPr>
            <w:r>
              <w:rPr>
                <w:rFonts w:ascii="Arial" w:cs="Arial" w:eastAsia="Arial" w:hAnsi="Arial"/>
                <w:sz w:val="29"/>
                <w:szCs w:val="29"/>
                <w:color w:val="auto"/>
              </w:rPr>
              <w:t>-</w:t>
            </w:r>
          </w:p>
        </w:tc>
        <w:tc>
          <w:tcPr>
            <w:tcW w:w="1960" w:type="dxa"/>
            <w:vAlign w:val="bottom"/>
          </w:tcPr>
          <w:p>
            <w:pPr>
              <w:jc w:val="center"/>
              <w:spacing w:after="0"/>
              <w:rPr>
                <w:sz w:val="20"/>
                <w:szCs w:val="20"/>
                <w:color w:val="auto"/>
              </w:rPr>
            </w:pPr>
            <w:r>
              <w:rPr>
                <w:rFonts w:ascii="Arial" w:cs="Arial" w:eastAsia="Arial" w:hAnsi="Arial"/>
                <w:sz w:val="29"/>
                <w:szCs w:val="29"/>
                <w:color w:val="auto"/>
              </w:rPr>
              <w:t>(2,571)</w:t>
            </w:r>
          </w:p>
        </w:tc>
        <w:tc>
          <w:tcPr>
            <w:tcW w:w="1220" w:type="dxa"/>
            <w:vAlign w:val="bottom"/>
          </w:tcPr>
          <w:p>
            <w:pPr>
              <w:jc w:val="center"/>
              <w:ind w:left="207"/>
              <w:spacing w:after="0"/>
              <w:rPr>
                <w:sz w:val="20"/>
                <w:szCs w:val="20"/>
                <w:color w:val="auto"/>
              </w:rPr>
            </w:pPr>
            <w:r>
              <w:rPr>
                <w:rFonts w:ascii="Arial" w:cs="Arial" w:eastAsia="Arial" w:hAnsi="Arial"/>
                <w:sz w:val="29"/>
                <w:szCs w:val="29"/>
                <w:color w:val="auto"/>
              </w:rPr>
              <w:t>-</w:t>
            </w:r>
          </w:p>
        </w:tc>
      </w:tr>
      <w:tr>
        <w:trPr>
          <w:trHeight w:val="503"/>
        </w:trPr>
        <w:tc>
          <w:tcPr>
            <w:tcW w:w="1300" w:type="dxa"/>
            <w:vAlign w:val="bottom"/>
          </w:tcPr>
          <w:p>
            <w:pPr>
              <w:jc w:val="right"/>
              <w:ind w:right="727"/>
              <w:spacing w:after="0"/>
              <w:rPr>
                <w:sz w:val="20"/>
                <w:szCs w:val="20"/>
                <w:color w:val="auto"/>
              </w:rPr>
            </w:pPr>
            <w:r>
              <w:rPr>
                <w:rFonts w:ascii="Arial" w:cs="Arial" w:eastAsia="Arial" w:hAnsi="Arial"/>
                <w:sz w:val="29"/>
                <w:szCs w:val="29"/>
                <w:color w:val="auto"/>
              </w:rPr>
              <w:t>-</w:t>
            </w:r>
          </w:p>
        </w:tc>
        <w:tc>
          <w:tcPr>
            <w:tcW w:w="1960" w:type="dxa"/>
            <w:vAlign w:val="bottom"/>
          </w:tcPr>
          <w:p>
            <w:pPr>
              <w:jc w:val="center"/>
              <w:spacing w:after="0"/>
              <w:rPr>
                <w:sz w:val="20"/>
                <w:szCs w:val="20"/>
                <w:color w:val="auto"/>
              </w:rPr>
            </w:pPr>
            <w:r>
              <w:rPr>
                <w:rFonts w:ascii="Arial" w:cs="Arial" w:eastAsia="Arial" w:hAnsi="Arial"/>
                <w:sz w:val="29"/>
                <w:szCs w:val="29"/>
                <w:color w:val="auto"/>
              </w:rPr>
              <w:t>(270)</w:t>
            </w:r>
          </w:p>
        </w:tc>
        <w:tc>
          <w:tcPr>
            <w:tcW w:w="1220" w:type="dxa"/>
            <w:vAlign w:val="bottom"/>
          </w:tcPr>
          <w:p>
            <w:pPr>
              <w:jc w:val="center"/>
              <w:ind w:left="207"/>
              <w:spacing w:after="0"/>
              <w:rPr>
                <w:sz w:val="20"/>
                <w:szCs w:val="20"/>
                <w:color w:val="auto"/>
              </w:rPr>
            </w:pPr>
            <w:r>
              <w:rPr>
                <w:rFonts w:ascii="Arial" w:cs="Arial" w:eastAsia="Arial" w:hAnsi="Arial"/>
                <w:sz w:val="29"/>
                <w:szCs w:val="29"/>
                <w:color w:val="auto"/>
              </w:rPr>
              <w:t>-</w:t>
            </w:r>
          </w:p>
        </w:tc>
      </w:tr>
      <w:tr>
        <w:trPr>
          <w:trHeight w:val="503"/>
        </w:trPr>
        <w:tc>
          <w:tcPr>
            <w:tcW w:w="1300" w:type="dxa"/>
            <w:vAlign w:val="bottom"/>
          </w:tcPr>
          <w:p>
            <w:pPr>
              <w:jc w:val="center"/>
              <w:ind w:right="367"/>
              <w:spacing w:after="0"/>
              <w:rPr>
                <w:sz w:val="20"/>
                <w:szCs w:val="20"/>
                <w:color w:val="auto"/>
              </w:rPr>
            </w:pPr>
            <w:r>
              <w:rPr>
                <w:rFonts w:ascii="Arial" w:cs="Arial" w:eastAsia="Arial" w:hAnsi="Arial"/>
                <w:sz w:val="29"/>
                <w:szCs w:val="29"/>
                <w:color w:val="auto"/>
              </w:rPr>
              <w:t>(110)</w:t>
            </w:r>
          </w:p>
        </w:tc>
        <w:tc>
          <w:tcPr>
            <w:tcW w:w="1960" w:type="dxa"/>
            <w:vAlign w:val="bottom"/>
          </w:tcPr>
          <w:p>
            <w:pPr>
              <w:jc w:val="center"/>
              <w:spacing w:after="0"/>
              <w:rPr>
                <w:sz w:val="20"/>
                <w:szCs w:val="20"/>
                <w:color w:val="auto"/>
              </w:rPr>
            </w:pPr>
            <w:r>
              <w:rPr>
                <w:rFonts w:ascii="Arial" w:cs="Arial" w:eastAsia="Arial" w:hAnsi="Arial"/>
                <w:sz w:val="29"/>
                <w:szCs w:val="29"/>
                <w:color w:val="auto"/>
              </w:rPr>
              <w:t>(150)</w:t>
            </w:r>
          </w:p>
        </w:tc>
        <w:tc>
          <w:tcPr>
            <w:tcW w:w="1220" w:type="dxa"/>
            <w:vAlign w:val="bottom"/>
          </w:tcPr>
          <w:p>
            <w:pPr>
              <w:jc w:val="center"/>
              <w:ind w:left="207"/>
              <w:spacing w:after="0"/>
              <w:rPr>
                <w:sz w:val="20"/>
                <w:szCs w:val="20"/>
                <w:color w:val="auto"/>
              </w:rPr>
            </w:pPr>
            <w:r>
              <w:rPr>
                <w:rFonts w:ascii="Arial" w:cs="Arial" w:eastAsia="Arial" w:hAnsi="Arial"/>
                <w:sz w:val="29"/>
                <w:szCs w:val="29"/>
                <w:color w:val="auto"/>
              </w:rPr>
              <w:t>-</w:t>
            </w:r>
          </w:p>
        </w:tc>
      </w:tr>
      <w:tr>
        <w:trPr>
          <w:trHeight w:val="503"/>
        </w:trPr>
        <w:tc>
          <w:tcPr>
            <w:tcW w:w="1300" w:type="dxa"/>
            <w:vAlign w:val="bottom"/>
          </w:tcPr>
          <w:p>
            <w:pPr>
              <w:jc w:val="right"/>
              <w:ind w:right="667"/>
              <w:spacing w:after="0"/>
              <w:rPr>
                <w:sz w:val="20"/>
                <w:szCs w:val="20"/>
                <w:color w:val="auto"/>
              </w:rPr>
            </w:pPr>
            <w:r>
              <w:rPr>
                <w:rFonts w:ascii="Arial" w:cs="Arial" w:eastAsia="Arial" w:hAnsi="Arial"/>
                <w:sz w:val="29"/>
                <w:szCs w:val="29"/>
                <w:color w:val="auto"/>
              </w:rPr>
              <w:t>-</w:t>
            </w:r>
          </w:p>
        </w:tc>
        <w:tc>
          <w:tcPr>
            <w:tcW w:w="1960" w:type="dxa"/>
            <w:vAlign w:val="bottom"/>
          </w:tcPr>
          <w:p>
            <w:pPr>
              <w:jc w:val="center"/>
              <w:spacing w:after="0"/>
              <w:rPr>
                <w:sz w:val="20"/>
                <w:szCs w:val="20"/>
                <w:color w:val="auto"/>
              </w:rPr>
            </w:pPr>
            <w:r>
              <w:rPr>
                <w:rFonts w:ascii="Arial" w:cs="Arial" w:eastAsia="Arial" w:hAnsi="Arial"/>
                <w:sz w:val="29"/>
                <w:szCs w:val="29"/>
                <w:color w:val="auto"/>
              </w:rPr>
              <w:t>(101)</w:t>
            </w:r>
          </w:p>
        </w:tc>
        <w:tc>
          <w:tcPr>
            <w:tcW w:w="1220" w:type="dxa"/>
            <w:vAlign w:val="bottom"/>
          </w:tcPr>
          <w:p>
            <w:pPr>
              <w:jc w:val="center"/>
              <w:ind w:left="207"/>
              <w:spacing w:after="0"/>
              <w:rPr>
                <w:sz w:val="20"/>
                <w:szCs w:val="20"/>
                <w:color w:val="auto"/>
              </w:rPr>
            </w:pPr>
            <w:r>
              <w:rPr>
                <w:rFonts w:ascii="Arial" w:cs="Arial" w:eastAsia="Arial" w:hAnsi="Arial"/>
                <w:sz w:val="29"/>
                <w:szCs w:val="29"/>
                <w:color w:val="auto"/>
              </w:rPr>
              <w:t>-</w:t>
            </w:r>
          </w:p>
        </w:tc>
      </w:tr>
      <w:tr>
        <w:trPr>
          <w:trHeight w:val="663"/>
        </w:trPr>
        <w:tc>
          <w:tcPr>
            <w:tcW w:w="1300" w:type="dxa"/>
            <w:vAlign w:val="bottom"/>
          </w:tcPr>
          <w:p>
            <w:pPr>
              <w:jc w:val="center"/>
              <w:ind w:right="387"/>
              <w:spacing w:after="0"/>
              <w:rPr>
                <w:sz w:val="20"/>
                <w:szCs w:val="20"/>
                <w:color w:val="auto"/>
              </w:rPr>
            </w:pPr>
            <w:r>
              <w:rPr>
                <w:rFonts w:ascii="Arial" w:cs="Arial" w:eastAsia="Arial" w:hAnsi="Arial"/>
                <w:sz w:val="33"/>
                <w:szCs w:val="33"/>
                <w:b w:val="1"/>
                <w:bCs w:val="1"/>
                <w:color w:val="auto"/>
                <w:w w:val="98"/>
              </w:rPr>
              <w:t>(110)</w:t>
            </w:r>
          </w:p>
        </w:tc>
        <w:tc>
          <w:tcPr>
            <w:tcW w:w="1960" w:type="dxa"/>
            <w:vAlign w:val="bottom"/>
          </w:tcPr>
          <w:p>
            <w:pPr>
              <w:jc w:val="center"/>
              <w:spacing w:after="0"/>
              <w:rPr>
                <w:sz w:val="20"/>
                <w:szCs w:val="20"/>
                <w:color w:val="auto"/>
              </w:rPr>
            </w:pPr>
            <w:r>
              <w:rPr>
                <w:rFonts w:ascii="Arial" w:cs="Arial" w:eastAsia="Arial" w:hAnsi="Arial"/>
                <w:sz w:val="33"/>
                <w:szCs w:val="33"/>
                <w:b w:val="1"/>
                <w:bCs w:val="1"/>
                <w:color w:val="auto"/>
              </w:rPr>
              <w:t>(3,092)</w:t>
            </w:r>
          </w:p>
        </w:tc>
        <w:tc>
          <w:tcPr>
            <w:tcW w:w="1220" w:type="dxa"/>
            <w:vAlign w:val="bottom"/>
          </w:tcPr>
          <w:p>
            <w:pPr>
              <w:jc w:val="center"/>
              <w:ind w:left="227"/>
              <w:spacing w:after="0"/>
              <w:rPr>
                <w:sz w:val="20"/>
                <w:szCs w:val="20"/>
                <w:color w:val="auto"/>
              </w:rPr>
            </w:pPr>
            <w:r>
              <w:rPr>
                <w:rFonts w:ascii="Arial" w:cs="Arial" w:eastAsia="Arial" w:hAnsi="Arial"/>
                <w:sz w:val="33"/>
                <w:szCs w:val="33"/>
                <w:b w:val="1"/>
                <w:bCs w:val="1"/>
                <w:color w:val="auto"/>
              </w:rPr>
              <w:t>123</w:t>
            </w:r>
          </w:p>
        </w:tc>
      </w:tr>
      <w:tr>
        <w:trPr>
          <w:trHeight w:val="786"/>
        </w:trPr>
        <w:tc>
          <w:tcPr>
            <w:tcW w:w="1300" w:type="dxa"/>
            <w:vAlign w:val="bottom"/>
          </w:tcPr>
          <w:p>
            <w:pPr>
              <w:jc w:val="center"/>
              <w:ind w:right="387"/>
              <w:spacing w:after="0"/>
              <w:rPr>
                <w:sz w:val="20"/>
                <w:szCs w:val="20"/>
                <w:color w:val="auto"/>
              </w:rPr>
            </w:pPr>
            <w:r>
              <w:rPr>
                <w:rFonts w:ascii="Arial" w:cs="Arial" w:eastAsia="Arial" w:hAnsi="Arial"/>
                <w:sz w:val="33"/>
                <w:szCs w:val="33"/>
                <w:b w:val="1"/>
                <w:bCs w:val="1"/>
                <w:color w:val="auto"/>
                <w:w w:val="98"/>
              </w:rPr>
              <w:t>(631)</w:t>
            </w:r>
          </w:p>
        </w:tc>
        <w:tc>
          <w:tcPr>
            <w:tcW w:w="1960" w:type="dxa"/>
            <w:vAlign w:val="bottom"/>
          </w:tcPr>
          <w:p>
            <w:pPr>
              <w:jc w:val="center"/>
              <w:spacing w:after="0"/>
              <w:rPr>
                <w:sz w:val="20"/>
                <w:szCs w:val="20"/>
                <w:color w:val="auto"/>
              </w:rPr>
            </w:pPr>
            <w:r>
              <w:rPr>
                <w:rFonts w:ascii="Arial" w:cs="Arial" w:eastAsia="Arial" w:hAnsi="Arial"/>
                <w:sz w:val="33"/>
                <w:szCs w:val="33"/>
                <w:b w:val="1"/>
                <w:bCs w:val="1"/>
                <w:color w:val="auto"/>
              </w:rPr>
              <w:t>(954)</w:t>
            </w:r>
          </w:p>
        </w:tc>
        <w:tc>
          <w:tcPr>
            <w:tcW w:w="1220" w:type="dxa"/>
            <w:vAlign w:val="bottom"/>
          </w:tcPr>
          <w:p>
            <w:pPr>
              <w:jc w:val="center"/>
              <w:ind w:left="227"/>
              <w:spacing w:after="0"/>
              <w:rPr>
                <w:sz w:val="20"/>
                <w:szCs w:val="20"/>
                <w:color w:val="auto"/>
              </w:rPr>
            </w:pPr>
            <w:r>
              <w:rPr>
                <w:rFonts w:ascii="Arial" w:cs="Arial" w:eastAsia="Arial" w:hAnsi="Arial"/>
                <w:sz w:val="33"/>
                <w:szCs w:val="33"/>
                <w:b w:val="1"/>
                <w:bCs w:val="1"/>
                <w:color w:val="auto"/>
              </w:rPr>
              <w:t>1,701</w:t>
            </w:r>
          </w:p>
        </w:tc>
      </w:tr>
    </w:tbl>
    <w:p>
      <w:pPr>
        <w:spacing w:after="0" w:line="200" w:lineRule="exact"/>
        <w:rPr>
          <w:sz w:val="20"/>
          <w:szCs w:val="20"/>
          <w:color w:val="auto"/>
        </w:rPr>
      </w:pPr>
    </w:p>
    <w:p>
      <w:pPr>
        <w:sectPr>
          <w:pgSz w:w="11900" w:h="16838" w:orient="portrait"/>
          <w:cols w:equalWidth="0" w:num="2">
            <w:col w:w="4320" w:space="440"/>
            <w:col w:w="5820"/>
          </w:cols>
          <w:pgMar w:left="600" w:top="542" w:right="71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10260"/>
        <w:spacing w:after="0"/>
        <w:rPr>
          <w:sz w:val="20"/>
          <w:szCs w:val="20"/>
          <w:color w:val="auto"/>
        </w:rPr>
      </w:pPr>
      <w:r>
        <w:rPr>
          <w:rFonts w:ascii="Arial" w:cs="Arial" w:eastAsia="Arial" w:hAnsi="Arial"/>
          <w:sz w:val="26"/>
          <w:szCs w:val="26"/>
          <w:b w:val="1"/>
          <w:bCs w:val="1"/>
          <w:color w:val="auto"/>
        </w:rPr>
        <w:t>S2</w:t>
      </w:r>
    </w:p>
    <w:p>
      <w:pPr>
        <w:sectPr>
          <w:pgSz w:w="11900" w:h="16838" w:orient="portrait"/>
          <w:cols w:equalWidth="0" w:num="1">
            <w:col w:w="10580"/>
          </w:cols>
          <w:pgMar w:left="600" w:top="542" w:right="719" w:bottom="1440" w:gutter="0" w:footer="0" w:header="0"/>
          <w:type w:val="continuous"/>
        </w:sectPr>
      </w:pPr>
    </w:p>
    <w:bookmarkStart w:id="36" w:name="page37"/>
    <w:bookmarkEnd w:id="36"/>
    <w:p>
      <w:pPr>
        <w:ind w:left="8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Restructuring Excluded From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280" w:type="dxa"/>
            <w:vAlign w:val="bottom"/>
          </w:tcPr>
          <w:p>
            <w:pPr>
              <w:spacing w:after="0"/>
              <w:rPr>
                <w:sz w:val="24"/>
                <w:szCs w:val="24"/>
                <w:color w:val="auto"/>
              </w:rPr>
            </w:pPr>
          </w:p>
        </w:tc>
        <w:tc>
          <w:tcPr>
            <w:tcW w:w="2840" w:type="dxa"/>
            <w:vAlign w:val="bottom"/>
          </w:tcPr>
          <w:p>
            <w:pPr>
              <w:jc w:val="right"/>
              <w:ind w:right="106"/>
              <w:spacing w:after="0"/>
              <w:rPr>
                <w:sz w:val="20"/>
                <w:szCs w:val="20"/>
                <w:color w:val="auto"/>
              </w:rPr>
            </w:pPr>
            <w:r>
              <w:rPr>
                <w:rFonts w:ascii="Arial" w:cs="Arial" w:eastAsia="Arial" w:hAnsi="Arial"/>
                <w:sz w:val="26"/>
                <w:szCs w:val="26"/>
                <w:b w:val="1"/>
                <w:bCs w:val="1"/>
                <w:color w:val="auto"/>
              </w:rPr>
              <w:t>July 10 – Sept 30</w:t>
            </w:r>
          </w:p>
        </w:tc>
        <w:tc>
          <w:tcPr>
            <w:tcW w:w="1520" w:type="dxa"/>
            <w:vAlign w:val="bottom"/>
          </w:tcPr>
          <w:p>
            <w:pPr>
              <w:jc w:val="center"/>
              <w:ind w:right="46"/>
              <w:spacing w:after="0"/>
              <w:rPr>
                <w:sz w:val="20"/>
                <w:szCs w:val="20"/>
                <w:color w:val="auto"/>
              </w:rPr>
            </w:pPr>
            <w:r>
              <w:rPr>
                <w:rFonts w:ascii="Arial" w:cs="Arial" w:eastAsia="Arial" w:hAnsi="Arial"/>
                <w:sz w:val="26"/>
                <w:szCs w:val="26"/>
                <w:b w:val="1"/>
                <w:bCs w:val="1"/>
                <w:color w:val="auto"/>
              </w:rPr>
              <w:t>Q4</w:t>
            </w:r>
          </w:p>
        </w:tc>
        <w:tc>
          <w:tcPr>
            <w:tcW w:w="1260" w:type="dxa"/>
            <w:vAlign w:val="bottom"/>
          </w:tcPr>
          <w:p>
            <w:pPr>
              <w:jc w:val="center"/>
              <w:ind w:left="306"/>
              <w:spacing w:after="0"/>
              <w:rPr>
                <w:sz w:val="20"/>
                <w:szCs w:val="20"/>
                <w:color w:val="auto"/>
              </w:rPr>
            </w:pPr>
            <w:r>
              <w:rPr>
                <w:rFonts w:ascii="Arial" w:cs="Arial" w:eastAsia="Arial" w:hAnsi="Arial"/>
                <w:sz w:val="26"/>
                <w:szCs w:val="26"/>
                <w:b w:val="1"/>
                <w:bCs w:val="1"/>
                <w:color w:val="auto"/>
              </w:rPr>
              <w:t>Q1</w:t>
            </w:r>
          </w:p>
        </w:tc>
      </w:tr>
      <w:tr>
        <w:trPr>
          <w:trHeight w:val="442"/>
        </w:trPr>
        <w:tc>
          <w:tcPr>
            <w:tcW w:w="4280" w:type="dxa"/>
            <w:vAlign w:val="bottom"/>
          </w:tcPr>
          <w:p>
            <w:pPr>
              <w:spacing w:after="0"/>
              <w:rPr>
                <w:sz w:val="20"/>
                <w:szCs w:val="20"/>
                <w:color w:val="auto"/>
              </w:rPr>
            </w:pPr>
            <w:r>
              <w:rPr>
                <w:rFonts w:ascii="Arial" w:cs="Arial" w:eastAsia="Arial" w:hAnsi="Arial"/>
                <w:sz w:val="33"/>
                <w:szCs w:val="33"/>
                <w:b w:val="1"/>
                <w:bCs w:val="1"/>
                <w:color w:val="auto"/>
              </w:rPr>
              <w:t>($M)</w:t>
            </w:r>
          </w:p>
        </w:tc>
        <w:tc>
          <w:tcPr>
            <w:tcW w:w="2840" w:type="dxa"/>
            <w:vAlign w:val="bottom"/>
          </w:tcPr>
          <w:p>
            <w:pPr>
              <w:jc w:val="center"/>
              <w:ind w:left="66"/>
              <w:spacing w:after="0"/>
              <w:rPr>
                <w:sz w:val="20"/>
                <w:szCs w:val="20"/>
                <w:color w:val="auto"/>
              </w:rPr>
            </w:pPr>
            <w:r>
              <w:rPr>
                <w:rFonts w:ascii="Arial" w:cs="Arial" w:eastAsia="Arial" w:hAnsi="Arial"/>
                <w:sz w:val="33"/>
                <w:szCs w:val="33"/>
                <w:b w:val="1"/>
                <w:bCs w:val="1"/>
                <w:color w:val="auto"/>
              </w:rPr>
              <w:t>2009</w:t>
            </w:r>
          </w:p>
        </w:tc>
        <w:tc>
          <w:tcPr>
            <w:tcW w:w="1520" w:type="dxa"/>
            <w:vAlign w:val="bottom"/>
          </w:tcPr>
          <w:p>
            <w:pPr>
              <w:jc w:val="center"/>
              <w:ind w:right="46"/>
              <w:spacing w:after="0"/>
              <w:rPr>
                <w:sz w:val="20"/>
                <w:szCs w:val="20"/>
                <w:color w:val="auto"/>
              </w:rPr>
            </w:pPr>
            <w:r>
              <w:rPr>
                <w:rFonts w:ascii="Arial" w:cs="Arial" w:eastAsia="Arial" w:hAnsi="Arial"/>
                <w:sz w:val="33"/>
                <w:szCs w:val="33"/>
                <w:b w:val="1"/>
                <w:bCs w:val="1"/>
                <w:color w:val="auto"/>
                <w:w w:val="98"/>
              </w:rPr>
              <w:t>2009</w:t>
            </w:r>
          </w:p>
        </w:tc>
        <w:tc>
          <w:tcPr>
            <w:tcW w:w="1260" w:type="dxa"/>
            <w:vAlign w:val="bottom"/>
          </w:tcPr>
          <w:p>
            <w:pPr>
              <w:jc w:val="center"/>
              <w:ind w:left="286"/>
              <w:spacing w:after="0"/>
              <w:rPr>
                <w:sz w:val="20"/>
                <w:szCs w:val="20"/>
                <w:color w:val="auto"/>
              </w:rPr>
            </w:pPr>
            <w:r>
              <w:rPr>
                <w:rFonts w:ascii="Arial" w:cs="Arial" w:eastAsia="Arial" w:hAnsi="Arial"/>
                <w:sz w:val="33"/>
                <w:szCs w:val="33"/>
                <w:b w:val="1"/>
                <w:bCs w:val="1"/>
                <w:color w:val="auto"/>
              </w:rPr>
              <w:t>2010</w:t>
            </w:r>
          </w:p>
        </w:tc>
      </w:tr>
      <w:tr>
        <w:trPr>
          <w:trHeight w:val="491"/>
        </w:trPr>
        <w:tc>
          <w:tcPr>
            <w:tcW w:w="4280" w:type="dxa"/>
            <w:vAlign w:val="bottom"/>
          </w:tcPr>
          <w:p>
            <w:pPr>
              <w:spacing w:after="0"/>
              <w:rPr>
                <w:sz w:val="20"/>
                <w:szCs w:val="20"/>
                <w:color w:val="auto"/>
              </w:rPr>
            </w:pPr>
            <w:r>
              <w:rPr>
                <w:rFonts w:ascii="Arial" w:cs="Arial" w:eastAsia="Arial" w:hAnsi="Arial"/>
                <w:sz w:val="29"/>
                <w:szCs w:val="29"/>
                <w:color w:val="auto"/>
              </w:rPr>
              <w:t>GMNA – Dealer Related</w:t>
            </w:r>
          </w:p>
        </w:tc>
        <w:tc>
          <w:tcPr>
            <w:tcW w:w="2840" w:type="dxa"/>
            <w:vAlign w:val="bottom"/>
          </w:tcPr>
          <w:p>
            <w:pPr>
              <w:jc w:val="right"/>
              <w:ind w:right="786"/>
              <w:spacing w:after="0"/>
              <w:rPr>
                <w:sz w:val="20"/>
                <w:szCs w:val="20"/>
                <w:color w:val="auto"/>
              </w:rPr>
            </w:pPr>
            <w:r>
              <w:rPr>
                <w:rFonts w:ascii="Arial" w:cs="Arial" w:eastAsia="Arial" w:hAnsi="Arial"/>
                <w:sz w:val="29"/>
                <w:szCs w:val="29"/>
                <w:color w:val="auto"/>
              </w:rPr>
              <w:t>(187)</w:t>
            </w:r>
          </w:p>
        </w:tc>
        <w:tc>
          <w:tcPr>
            <w:tcW w:w="1520" w:type="dxa"/>
            <w:vAlign w:val="bottom"/>
          </w:tcPr>
          <w:p>
            <w:pPr>
              <w:jc w:val="center"/>
              <w:ind w:right="46"/>
              <w:spacing w:after="0"/>
              <w:rPr>
                <w:sz w:val="20"/>
                <w:szCs w:val="20"/>
                <w:color w:val="auto"/>
              </w:rPr>
            </w:pPr>
            <w:r>
              <w:rPr>
                <w:rFonts w:ascii="Arial" w:cs="Arial" w:eastAsia="Arial" w:hAnsi="Arial"/>
                <w:sz w:val="29"/>
                <w:szCs w:val="29"/>
                <w:color w:val="auto"/>
              </w:rPr>
              <w:t>(88)</w:t>
            </w:r>
          </w:p>
        </w:tc>
        <w:tc>
          <w:tcPr>
            <w:tcW w:w="1260" w:type="dxa"/>
            <w:vAlign w:val="bottom"/>
          </w:tcPr>
          <w:p>
            <w:pPr>
              <w:jc w:val="center"/>
              <w:ind w:left="306"/>
              <w:spacing w:after="0"/>
              <w:rPr>
                <w:sz w:val="20"/>
                <w:szCs w:val="20"/>
                <w:color w:val="auto"/>
              </w:rPr>
            </w:pPr>
            <w:r>
              <w:rPr>
                <w:rFonts w:ascii="Arial" w:cs="Arial" w:eastAsia="Arial" w:hAnsi="Arial"/>
                <w:sz w:val="29"/>
                <w:szCs w:val="29"/>
                <w:color w:val="auto"/>
              </w:rPr>
              <w:t>(18)</w:t>
            </w:r>
          </w:p>
        </w:tc>
      </w:tr>
      <w:tr>
        <w:trPr>
          <w:trHeight w:val="503"/>
        </w:trPr>
        <w:tc>
          <w:tcPr>
            <w:tcW w:w="4280" w:type="dxa"/>
            <w:vAlign w:val="bottom"/>
          </w:tcPr>
          <w:p>
            <w:pPr>
              <w:spacing w:after="0"/>
              <w:rPr>
                <w:sz w:val="20"/>
                <w:szCs w:val="20"/>
                <w:color w:val="auto"/>
              </w:rPr>
            </w:pPr>
            <w:r>
              <w:rPr>
                <w:rFonts w:ascii="Arial" w:cs="Arial" w:eastAsia="Arial" w:hAnsi="Arial"/>
                <w:sz w:val="29"/>
                <w:szCs w:val="29"/>
                <w:color w:val="auto"/>
              </w:rPr>
              <w:t>GMNA – Non-Dealer Related</w:t>
            </w:r>
          </w:p>
        </w:tc>
        <w:tc>
          <w:tcPr>
            <w:tcW w:w="2840" w:type="dxa"/>
            <w:vAlign w:val="bottom"/>
          </w:tcPr>
          <w:p>
            <w:pPr>
              <w:jc w:val="right"/>
              <w:ind w:right="886"/>
              <w:spacing w:after="0"/>
              <w:rPr>
                <w:sz w:val="20"/>
                <w:szCs w:val="20"/>
                <w:color w:val="auto"/>
              </w:rPr>
            </w:pPr>
            <w:r>
              <w:rPr>
                <w:rFonts w:ascii="Arial" w:cs="Arial" w:eastAsia="Arial" w:hAnsi="Arial"/>
                <w:sz w:val="29"/>
                <w:szCs w:val="29"/>
                <w:color w:val="auto"/>
              </w:rPr>
              <w:t>134</w:t>
            </w:r>
          </w:p>
        </w:tc>
        <w:tc>
          <w:tcPr>
            <w:tcW w:w="1520" w:type="dxa"/>
            <w:vAlign w:val="bottom"/>
          </w:tcPr>
          <w:p>
            <w:pPr>
              <w:jc w:val="right"/>
              <w:ind w:right="346"/>
              <w:spacing w:after="0"/>
              <w:rPr>
                <w:sz w:val="20"/>
                <w:szCs w:val="20"/>
                <w:color w:val="auto"/>
              </w:rPr>
            </w:pPr>
            <w:r>
              <w:rPr>
                <w:rFonts w:ascii="Arial" w:cs="Arial" w:eastAsia="Arial" w:hAnsi="Arial"/>
                <w:sz w:val="29"/>
                <w:szCs w:val="29"/>
                <w:color w:val="auto"/>
              </w:rPr>
              <w:t>(208)</w:t>
            </w:r>
          </w:p>
        </w:tc>
        <w:tc>
          <w:tcPr>
            <w:tcW w:w="1260" w:type="dxa"/>
            <w:vAlign w:val="bottom"/>
          </w:tcPr>
          <w:p>
            <w:pPr>
              <w:jc w:val="center"/>
              <w:ind w:left="306"/>
              <w:spacing w:after="0"/>
              <w:rPr>
                <w:sz w:val="20"/>
                <w:szCs w:val="20"/>
                <w:color w:val="auto"/>
              </w:rPr>
            </w:pPr>
            <w:r>
              <w:rPr>
                <w:rFonts w:ascii="Arial" w:cs="Arial" w:eastAsia="Arial" w:hAnsi="Arial"/>
                <w:sz w:val="29"/>
                <w:szCs w:val="29"/>
                <w:color w:val="auto"/>
                <w:w w:val="99"/>
              </w:rPr>
              <w:t>97</w:t>
            </w:r>
          </w:p>
        </w:tc>
      </w:tr>
      <w:tr>
        <w:trPr>
          <w:trHeight w:val="540"/>
        </w:trPr>
        <w:tc>
          <w:tcPr>
            <w:tcW w:w="4280" w:type="dxa"/>
            <w:vAlign w:val="bottom"/>
          </w:tcPr>
          <w:p>
            <w:pPr>
              <w:ind w:left="260"/>
              <w:spacing w:after="0"/>
              <w:rPr>
                <w:sz w:val="20"/>
                <w:szCs w:val="20"/>
                <w:color w:val="auto"/>
              </w:rPr>
            </w:pPr>
            <w:r>
              <w:rPr>
                <w:rFonts w:ascii="Arial" w:cs="Arial" w:eastAsia="Arial" w:hAnsi="Arial"/>
                <w:sz w:val="33"/>
                <w:szCs w:val="33"/>
                <w:b w:val="1"/>
                <w:bCs w:val="1"/>
                <w:color w:val="auto"/>
              </w:rPr>
              <w:t>Total GMNA</w:t>
            </w:r>
          </w:p>
        </w:tc>
        <w:tc>
          <w:tcPr>
            <w:tcW w:w="2840" w:type="dxa"/>
            <w:vAlign w:val="bottom"/>
          </w:tcPr>
          <w:p>
            <w:pPr>
              <w:jc w:val="center"/>
              <w:ind w:left="66"/>
              <w:spacing w:after="0"/>
              <w:rPr>
                <w:sz w:val="20"/>
                <w:szCs w:val="20"/>
                <w:color w:val="auto"/>
              </w:rPr>
            </w:pPr>
            <w:r>
              <w:rPr>
                <w:rFonts w:ascii="Arial" w:cs="Arial" w:eastAsia="Arial" w:hAnsi="Arial"/>
                <w:sz w:val="33"/>
                <w:szCs w:val="33"/>
                <w:b w:val="1"/>
                <w:bCs w:val="1"/>
                <w:color w:val="auto"/>
                <w:w w:val="98"/>
              </w:rPr>
              <w:t>(53)</w:t>
            </w:r>
          </w:p>
        </w:tc>
        <w:tc>
          <w:tcPr>
            <w:tcW w:w="1520" w:type="dxa"/>
            <w:vAlign w:val="bottom"/>
          </w:tcPr>
          <w:p>
            <w:pPr>
              <w:jc w:val="center"/>
              <w:ind w:right="26"/>
              <w:spacing w:after="0"/>
              <w:rPr>
                <w:sz w:val="20"/>
                <w:szCs w:val="20"/>
                <w:color w:val="auto"/>
              </w:rPr>
            </w:pPr>
            <w:r>
              <w:rPr>
                <w:rFonts w:ascii="Arial" w:cs="Arial" w:eastAsia="Arial" w:hAnsi="Arial"/>
                <w:sz w:val="33"/>
                <w:szCs w:val="33"/>
                <w:b w:val="1"/>
                <w:bCs w:val="1"/>
                <w:color w:val="auto"/>
              </w:rPr>
              <w:t>(296)</w:t>
            </w:r>
          </w:p>
        </w:tc>
        <w:tc>
          <w:tcPr>
            <w:tcW w:w="1260" w:type="dxa"/>
            <w:vAlign w:val="bottom"/>
          </w:tcPr>
          <w:p>
            <w:pPr>
              <w:jc w:val="center"/>
              <w:ind w:left="306"/>
              <w:spacing w:after="0"/>
              <w:rPr>
                <w:sz w:val="20"/>
                <w:szCs w:val="20"/>
                <w:color w:val="auto"/>
              </w:rPr>
            </w:pPr>
            <w:r>
              <w:rPr>
                <w:rFonts w:ascii="Arial" w:cs="Arial" w:eastAsia="Arial" w:hAnsi="Arial"/>
                <w:sz w:val="33"/>
                <w:szCs w:val="33"/>
                <w:b w:val="1"/>
                <w:bCs w:val="1"/>
                <w:color w:val="auto"/>
                <w:w w:val="97"/>
              </w:rPr>
              <w:t>79</w:t>
            </w:r>
          </w:p>
        </w:tc>
      </w:tr>
      <w:tr>
        <w:trPr>
          <w:trHeight w:val="958"/>
        </w:trPr>
        <w:tc>
          <w:tcPr>
            <w:tcW w:w="4280" w:type="dxa"/>
            <w:vAlign w:val="bottom"/>
          </w:tcPr>
          <w:p>
            <w:pPr>
              <w:ind w:left="260"/>
              <w:spacing w:after="0"/>
              <w:rPr>
                <w:sz w:val="20"/>
                <w:szCs w:val="20"/>
                <w:color w:val="auto"/>
              </w:rPr>
            </w:pPr>
            <w:r>
              <w:rPr>
                <w:rFonts w:ascii="Arial" w:cs="Arial" w:eastAsia="Arial" w:hAnsi="Arial"/>
                <w:sz w:val="33"/>
                <w:szCs w:val="33"/>
                <w:b w:val="1"/>
                <w:bCs w:val="1"/>
                <w:color w:val="auto"/>
              </w:rPr>
              <w:t>Total GME</w:t>
            </w:r>
          </w:p>
        </w:tc>
        <w:tc>
          <w:tcPr>
            <w:tcW w:w="2840" w:type="dxa"/>
            <w:vAlign w:val="bottom"/>
          </w:tcPr>
          <w:p>
            <w:pPr>
              <w:jc w:val="right"/>
              <w:ind w:right="966"/>
              <w:spacing w:after="0"/>
              <w:rPr>
                <w:sz w:val="20"/>
                <w:szCs w:val="20"/>
                <w:color w:val="auto"/>
              </w:rPr>
            </w:pPr>
            <w:r>
              <w:rPr>
                <w:rFonts w:ascii="Arial" w:cs="Arial" w:eastAsia="Arial" w:hAnsi="Arial"/>
                <w:sz w:val="29"/>
                <w:szCs w:val="29"/>
                <w:b w:val="1"/>
                <w:bCs w:val="1"/>
                <w:color w:val="auto"/>
              </w:rPr>
              <w:t>(9)</w:t>
            </w:r>
          </w:p>
        </w:tc>
        <w:tc>
          <w:tcPr>
            <w:tcW w:w="1520" w:type="dxa"/>
            <w:vAlign w:val="bottom"/>
          </w:tcPr>
          <w:p>
            <w:pPr>
              <w:jc w:val="center"/>
              <w:ind w:right="46"/>
              <w:spacing w:after="0"/>
              <w:rPr>
                <w:sz w:val="20"/>
                <w:szCs w:val="20"/>
                <w:color w:val="auto"/>
              </w:rPr>
            </w:pPr>
            <w:r>
              <w:rPr>
                <w:rFonts w:ascii="Arial" w:cs="Arial" w:eastAsia="Arial" w:hAnsi="Arial"/>
                <w:sz w:val="29"/>
                <w:szCs w:val="29"/>
                <w:b w:val="1"/>
                <w:bCs w:val="1"/>
                <w:color w:val="auto"/>
              </w:rPr>
              <w:t>(28)</w:t>
            </w:r>
          </w:p>
        </w:tc>
        <w:tc>
          <w:tcPr>
            <w:tcW w:w="1260" w:type="dxa"/>
            <w:vAlign w:val="bottom"/>
          </w:tcPr>
          <w:p>
            <w:pPr>
              <w:jc w:val="right"/>
              <w:spacing w:after="0"/>
              <w:rPr>
                <w:sz w:val="20"/>
                <w:szCs w:val="20"/>
                <w:color w:val="auto"/>
              </w:rPr>
            </w:pPr>
            <w:r>
              <w:rPr>
                <w:rFonts w:ascii="Arial" w:cs="Arial" w:eastAsia="Arial" w:hAnsi="Arial"/>
                <w:sz w:val="29"/>
                <w:szCs w:val="29"/>
                <w:b w:val="1"/>
                <w:bCs w:val="1"/>
                <w:color w:val="auto"/>
              </w:rPr>
              <w:t>(273)</w:t>
            </w:r>
          </w:p>
        </w:tc>
      </w:tr>
      <w:tr>
        <w:trPr>
          <w:trHeight w:val="1031"/>
        </w:trPr>
        <w:tc>
          <w:tcPr>
            <w:tcW w:w="4280" w:type="dxa"/>
            <w:vAlign w:val="bottom"/>
          </w:tcPr>
          <w:p>
            <w:pPr>
              <w:ind w:left="260"/>
              <w:spacing w:after="0"/>
              <w:rPr>
                <w:sz w:val="20"/>
                <w:szCs w:val="20"/>
                <w:color w:val="auto"/>
              </w:rPr>
            </w:pPr>
            <w:r>
              <w:rPr>
                <w:rFonts w:ascii="Arial" w:cs="Arial" w:eastAsia="Arial" w:hAnsi="Arial"/>
                <w:sz w:val="33"/>
                <w:szCs w:val="33"/>
                <w:b w:val="1"/>
                <w:bCs w:val="1"/>
                <w:color w:val="auto"/>
              </w:rPr>
              <w:t>Total GMIO</w:t>
            </w:r>
          </w:p>
        </w:tc>
        <w:tc>
          <w:tcPr>
            <w:tcW w:w="2840" w:type="dxa"/>
            <w:vAlign w:val="bottom"/>
          </w:tcPr>
          <w:p>
            <w:pPr>
              <w:jc w:val="center"/>
              <w:ind w:left="66"/>
              <w:spacing w:after="0"/>
              <w:rPr>
                <w:sz w:val="20"/>
                <w:szCs w:val="20"/>
                <w:color w:val="auto"/>
              </w:rPr>
            </w:pPr>
            <w:r>
              <w:rPr>
                <w:rFonts w:ascii="Arial" w:cs="Arial" w:eastAsia="Arial" w:hAnsi="Arial"/>
                <w:sz w:val="33"/>
                <w:szCs w:val="33"/>
                <w:b w:val="1"/>
                <w:bCs w:val="1"/>
                <w:color w:val="auto"/>
                <w:w w:val="98"/>
              </w:rPr>
              <w:t>(27)</w:t>
            </w:r>
          </w:p>
        </w:tc>
        <w:tc>
          <w:tcPr>
            <w:tcW w:w="1520" w:type="dxa"/>
            <w:vAlign w:val="bottom"/>
          </w:tcPr>
          <w:p>
            <w:pPr>
              <w:jc w:val="center"/>
              <w:ind w:right="46"/>
              <w:spacing w:after="0"/>
              <w:rPr>
                <w:sz w:val="20"/>
                <w:szCs w:val="20"/>
                <w:color w:val="auto"/>
              </w:rPr>
            </w:pPr>
            <w:r>
              <w:rPr>
                <w:rFonts w:ascii="Arial" w:cs="Arial" w:eastAsia="Arial" w:hAnsi="Arial"/>
                <w:sz w:val="33"/>
                <w:szCs w:val="33"/>
                <w:b w:val="1"/>
                <w:bCs w:val="1"/>
                <w:color w:val="auto"/>
              </w:rPr>
              <w:t>(56)</w:t>
            </w:r>
          </w:p>
        </w:tc>
        <w:tc>
          <w:tcPr>
            <w:tcW w:w="1260" w:type="dxa"/>
            <w:vAlign w:val="bottom"/>
          </w:tcPr>
          <w:p>
            <w:pPr>
              <w:jc w:val="center"/>
              <w:ind w:left="306"/>
              <w:spacing w:after="0"/>
              <w:rPr>
                <w:sz w:val="20"/>
                <w:szCs w:val="20"/>
                <w:color w:val="auto"/>
              </w:rPr>
            </w:pPr>
            <w:r>
              <w:rPr>
                <w:rFonts w:ascii="Arial" w:cs="Arial" w:eastAsia="Arial" w:hAnsi="Arial"/>
                <w:sz w:val="33"/>
                <w:szCs w:val="33"/>
                <w:b w:val="1"/>
                <w:bCs w:val="1"/>
                <w:color w:val="auto"/>
              </w:rPr>
              <w:t>-</w:t>
            </w:r>
          </w:p>
        </w:tc>
      </w:tr>
      <w:tr>
        <w:trPr>
          <w:trHeight w:val="995"/>
        </w:trPr>
        <w:tc>
          <w:tcPr>
            <w:tcW w:w="4280" w:type="dxa"/>
            <w:vAlign w:val="bottom"/>
          </w:tcPr>
          <w:p>
            <w:pPr>
              <w:spacing w:after="0"/>
              <w:rPr>
                <w:sz w:val="20"/>
                <w:szCs w:val="20"/>
                <w:color w:val="auto"/>
              </w:rPr>
            </w:pPr>
            <w:r>
              <w:rPr>
                <w:rFonts w:ascii="Arial" w:cs="Arial" w:eastAsia="Arial" w:hAnsi="Arial"/>
                <w:sz w:val="33"/>
                <w:szCs w:val="33"/>
                <w:b w:val="1"/>
                <w:bCs w:val="1"/>
                <w:color w:val="auto"/>
              </w:rPr>
              <w:t>Total</w:t>
            </w:r>
          </w:p>
        </w:tc>
        <w:tc>
          <w:tcPr>
            <w:tcW w:w="2840" w:type="dxa"/>
            <w:vAlign w:val="bottom"/>
          </w:tcPr>
          <w:p>
            <w:pPr>
              <w:jc w:val="center"/>
              <w:ind w:left="66"/>
              <w:spacing w:after="0"/>
              <w:rPr>
                <w:sz w:val="20"/>
                <w:szCs w:val="20"/>
                <w:color w:val="auto"/>
              </w:rPr>
            </w:pPr>
            <w:r>
              <w:rPr>
                <w:rFonts w:ascii="Arial" w:cs="Arial" w:eastAsia="Arial" w:hAnsi="Arial"/>
                <w:sz w:val="33"/>
                <w:szCs w:val="33"/>
                <w:b w:val="1"/>
                <w:bCs w:val="1"/>
                <w:color w:val="auto"/>
                <w:w w:val="98"/>
              </w:rPr>
              <w:t>(89)</w:t>
            </w:r>
          </w:p>
        </w:tc>
        <w:tc>
          <w:tcPr>
            <w:tcW w:w="1520" w:type="dxa"/>
            <w:vAlign w:val="bottom"/>
          </w:tcPr>
          <w:p>
            <w:pPr>
              <w:jc w:val="center"/>
              <w:ind w:right="26"/>
              <w:spacing w:after="0"/>
              <w:rPr>
                <w:sz w:val="20"/>
                <w:szCs w:val="20"/>
                <w:color w:val="auto"/>
              </w:rPr>
            </w:pPr>
            <w:r>
              <w:rPr>
                <w:rFonts w:ascii="Arial" w:cs="Arial" w:eastAsia="Arial" w:hAnsi="Arial"/>
                <w:sz w:val="33"/>
                <w:szCs w:val="33"/>
                <w:b w:val="1"/>
                <w:bCs w:val="1"/>
                <w:color w:val="auto"/>
              </w:rPr>
              <w:t>(380)</w:t>
            </w:r>
          </w:p>
        </w:tc>
        <w:tc>
          <w:tcPr>
            <w:tcW w:w="1260" w:type="dxa"/>
            <w:vAlign w:val="bottom"/>
          </w:tcPr>
          <w:p>
            <w:pPr>
              <w:jc w:val="center"/>
              <w:ind w:left="326"/>
              <w:spacing w:after="0"/>
              <w:rPr>
                <w:sz w:val="20"/>
                <w:szCs w:val="20"/>
                <w:color w:val="auto"/>
              </w:rPr>
            </w:pPr>
            <w:r>
              <w:rPr>
                <w:rFonts w:ascii="Arial" w:cs="Arial" w:eastAsia="Arial" w:hAnsi="Arial"/>
                <w:sz w:val="33"/>
                <w:szCs w:val="33"/>
                <w:b w:val="1"/>
                <w:bCs w:val="1"/>
                <w:color w:val="auto"/>
              </w:rPr>
              <w:t>(194)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S3</w:t>
      </w:r>
    </w:p>
    <w:p>
      <w:pPr>
        <w:sectPr>
          <w:pgSz w:w="11900" w:h="16838" w:orient="portrait"/>
          <w:cols w:equalWidth="0" w:num="1">
            <w:col w:w="10580"/>
          </w:cols>
          <w:pgMar w:left="600" w:top="542" w:right="719" w:bottom="1440" w:gutter="0" w:footer="0" w:header="0"/>
        </w:sectPr>
      </w:pPr>
    </w:p>
    <w:bookmarkStart w:id="37" w:name="page38"/>
    <w:bookmarkEnd w:id="37"/>
    <w:p>
      <w:pPr>
        <w:ind w:left="1180"/>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9960" cy="5340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960" cy="5340985"/>
                    </a:xfrm>
                    <a:prstGeom prst="rect">
                      <a:avLst/>
                    </a:prstGeom>
                    <a:noFill/>
                  </pic:spPr>
                </pic:pic>
              </a:graphicData>
            </a:graphic>
          </wp:anchor>
        </w:drawing>
        <w:t>GMIO Joint Ventures</w:t>
      </w:r>
    </w:p>
    <w:p>
      <w:pPr>
        <w:sectPr>
          <w:pgSz w:w="11900" w:h="16838" w:orient="portrait"/>
          <w:cols w:equalWidth="0" w:num="1">
            <w:col w:w="10880"/>
          </w:cols>
          <w:pgMar w:left="500" w:top="54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GM</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Ownership</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6"/>
          <w:szCs w:val="26"/>
          <w:color w:val="auto"/>
        </w:rPr>
        <w:t>Deliveries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6"/>
          <w:szCs w:val="26"/>
          <w:color w:val="auto"/>
        </w:rPr>
        <w:t>Market</w:t>
      </w:r>
    </w:p>
    <w:p>
      <w:pPr>
        <w:spacing w:after="0" w:line="20" w:lineRule="exact"/>
        <w:rPr>
          <w:sz w:val="20"/>
          <w:szCs w:val="20"/>
          <w:color w:val="auto"/>
        </w:rPr>
      </w:pPr>
    </w:p>
    <w:p>
      <w:pPr>
        <w:spacing w:after="0"/>
        <w:rPr>
          <w:sz w:val="20"/>
          <w:szCs w:val="20"/>
          <w:color w:val="auto"/>
        </w:rPr>
      </w:pPr>
      <w:r>
        <w:rPr>
          <w:rFonts w:ascii="Arial" w:cs="Arial" w:eastAsia="Arial" w:hAnsi="Arial"/>
          <w:sz w:val="26"/>
          <w:szCs w:val="26"/>
          <w:color w:val="auto"/>
        </w:rPr>
        <w:t>Share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6"/>
          <w:szCs w:val="26"/>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auto"/>
        </w:rPr>
        <w:t>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3"/>
        </w:trPr>
        <w:tc>
          <w:tcPr>
            <w:tcW w:w="4100" w:type="dxa"/>
            <w:vAlign w:val="bottom"/>
            <w:gridSpan w:val="2"/>
          </w:tcPr>
          <w:p>
            <w:pPr>
              <w:spacing w:after="0"/>
              <w:rPr>
                <w:sz w:val="20"/>
                <w:szCs w:val="20"/>
                <w:color w:val="auto"/>
              </w:rPr>
            </w:pPr>
            <w:r>
              <w:rPr>
                <w:rFonts w:ascii="Arial" w:cs="Arial" w:eastAsia="Arial" w:hAnsi="Arial"/>
                <w:sz w:val="33"/>
                <w:szCs w:val="33"/>
                <w:b w:val="1"/>
                <w:bCs w:val="1"/>
                <w:color w:val="auto"/>
              </w:rPr>
              <w:t>Shanghai -   SAIC - GM</w:t>
            </w:r>
          </w:p>
        </w:tc>
        <w:tc>
          <w:tcPr>
            <w:tcW w:w="1800" w:type="dxa"/>
            <w:vAlign w:val="bottom"/>
          </w:tcPr>
          <w:p>
            <w:pPr>
              <w:spacing w:after="0"/>
              <w:rPr>
                <w:sz w:val="24"/>
                <w:szCs w:val="24"/>
                <w:color w:val="auto"/>
              </w:rPr>
            </w:pPr>
          </w:p>
        </w:tc>
      </w:tr>
      <w:tr>
        <w:trPr>
          <w:trHeight w:val="442"/>
        </w:trPr>
        <w:tc>
          <w:tcPr>
            <w:tcW w:w="1940" w:type="dxa"/>
            <w:vAlign w:val="bottom"/>
          </w:tcPr>
          <w:p>
            <w:pPr>
              <w:jc w:val="center"/>
              <w:ind w:right="103"/>
              <w:spacing w:after="0"/>
              <w:rPr>
                <w:sz w:val="20"/>
                <w:szCs w:val="20"/>
                <w:color w:val="auto"/>
              </w:rPr>
            </w:pPr>
            <w:r>
              <w:rPr>
                <w:rFonts w:ascii="Arial" w:cs="Arial" w:eastAsia="Arial" w:hAnsi="Arial"/>
                <w:sz w:val="33"/>
                <w:szCs w:val="33"/>
                <w:b w:val="1"/>
                <w:bCs w:val="1"/>
                <w:color w:val="auto"/>
              </w:rPr>
              <w:t>GM</w:t>
            </w:r>
          </w:p>
        </w:tc>
        <w:tc>
          <w:tcPr>
            <w:tcW w:w="2160" w:type="dxa"/>
            <w:vAlign w:val="bottom"/>
          </w:tcPr>
          <w:p>
            <w:pPr>
              <w:jc w:val="center"/>
              <w:spacing w:after="0"/>
              <w:rPr>
                <w:sz w:val="20"/>
                <w:szCs w:val="20"/>
                <w:color w:val="auto"/>
              </w:rPr>
            </w:pPr>
            <w:r>
              <w:rPr>
                <w:rFonts w:ascii="Arial" w:cs="Arial" w:eastAsia="Arial" w:hAnsi="Arial"/>
                <w:sz w:val="33"/>
                <w:szCs w:val="33"/>
                <w:b w:val="1"/>
                <w:bCs w:val="1"/>
                <w:color w:val="auto"/>
                <w:w w:val="99"/>
              </w:rPr>
              <w:t>Wuling</w:t>
            </w:r>
          </w:p>
        </w:tc>
        <w:tc>
          <w:tcPr>
            <w:tcW w:w="1800" w:type="dxa"/>
            <w:vAlign w:val="bottom"/>
          </w:tcPr>
          <w:p>
            <w:pPr>
              <w:jc w:val="center"/>
              <w:ind w:left="88"/>
              <w:spacing w:after="0"/>
              <w:rPr>
                <w:sz w:val="20"/>
                <w:szCs w:val="20"/>
                <w:color w:val="auto"/>
              </w:rPr>
            </w:pPr>
            <w:r>
              <w:rPr>
                <w:rFonts w:ascii="Arial" w:cs="Arial" w:eastAsia="Arial" w:hAnsi="Arial"/>
                <w:sz w:val="33"/>
                <w:szCs w:val="33"/>
                <w:b w:val="1"/>
                <w:bCs w:val="1"/>
                <w:color w:val="auto"/>
              </w:rPr>
              <w:t>FAW - GM</w:t>
            </w:r>
          </w:p>
        </w:tc>
      </w:tr>
      <w:tr>
        <w:trPr>
          <w:trHeight w:val="762"/>
        </w:trPr>
        <w:tc>
          <w:tcPr>
            <w:tcW w:w="1940" w:type="dxa"/>
            <w:vAlign w:val="bottom"/>
          </w:tcPr>
          <w:p>
            <w:pPr>
              <w:jc w:val="center"/>
              <w:ind w:right="123"/>
              <w:spacing w:after="0"/>
              <w:rPr>
                <w:sz w:val="20"/>
                <w:szCs w:val="20"/>
                <w:color w:val="auto"/>
              </w:rPr>
            </w:pPr>
            <w:r>
              <w:rPr>
                <w:rFonts w:ascii="Arial" w:cs="Arial" w:eastAsia="Arial" w:hAnsi="Arial"/>
                <w:sz w:val="26"/>
                <w:szCs w:val="26"/>
                <w:b w:val="1"/>
                <w:bCs w:val="1"/>
                <w:color w:val="auto"/>
                <w:w w:val="99"/>
              </w:rPr>
              <w:t>49%</w:t>
            </w:r>
          </w:p>
        </w:tc>
        <w:tc>
          <w:tcPr>
            <w:tcW w:w="2160" w:type="dxa"/>
            <w:vAlign w:val="bottom"/>
          </w:tcPr>
          <w:p>
            <w:pPr>
              <w:jc w:val="center"/>
              <w:spacing w:after="0"/>
              <w:rPr>
                <w:sz w:val="20"/>
                <w:szCs w:val="20"/>
                <w:color w:val="auto"/>
              </w:rPr>
            </w:pPr>
            <w:r>
              <w:rPr>
                <w:rFonts w:ascii="Arial" w:cs="Arial" w:eastAsia="Arial" w:hAnsi="Arial"/>
                <w:sz w:val="26"/>
                <w:szCs w:val="26"/>
                <w:b w:val="1"/>
                <w:bCs w:val="1"/>
                <w:color w:val="auto"/>
                <w:w w:val="96"/>
              </w:rPr>
              <w:t>34%</w:t>
            </w:r>
          </w:p>
        </w:tc>
        <w:tc>
          <w:tcPr>
            <w:tcW w:w="1800" w:type="dxa"/>
            <w:vAlign w:val="bottom"/>
          </w:tcPr>
          <w:p>
            <w:pPr>
              <w:jc w:val="center"/>
              <w:ind w:left="108"/>
              <w:spacing w:after="0"/>
              <w:rPr>
                <w:sz w:val="20"/>
                <w:szCs w:val="20"/>
                <w:color w:val="auto"/>
              </w:rPr>
            </w:pPr>
            <w:r>
              <w:rPr>
                <w:rFonts w:ascii="Arial" w:cs="Arial" w:eastAsia="Arial" w:hAnsi="Arial"/>
                <w:sz w:val="26"/>
                <w:szCs w:val="26"/>
                <w:b w:val="1"/>
                <w:bCs w:val="1"/>
                <w:color w:val="auto"/>
                <w:w w:val="99"/>
              </w:rPr>
              <w:t>50%</w:t>
            </w:r>
          </w:p>
        </w:tc>
      </w:tr>
      <w:tr>
        <w:trPr>
          <w:trHeight w:val="1007"/>
        </w:trPr>
        <w:tc>
          <w:tcPr>
            <w:tcW w:w="1940" w:type="dxa"/>
            <w:vAlign w:val="bottom"/>
          </w:tcPr>
          <w:p>
            <w:pPr>
              <w:jc w:val="center"/>
              <w:ind w:right="143"/>
              <w:spacing w:after="0"/>
              <w:rPr>
                <w:sz w:val="20"/>
                <w:szCs w:val="20"/>
                <w:color w:val="auto"/>
              </w:rPr>
            </w:pPr>
            <w:r>
              <w:rPr>
                <w:rFonts w:ascii="Arial" w:cs="Arial" w:eastAsia="Arial" w:hAnsi="Arial"/>
                <w:sz w:val="26"/>
                <w:szCs w:val="26"/>
                <w:color w:val="auto"/>
                <w:w w:val="99"/>
              </w:rPr>
              <w:t>100%</w:t>
            </w:r>
          </w:p>
        </w:tc>
        <w:tc>
          <w:tcPr>
            <w:tcW w:w="2160" w:type="dxa"/>
            <w:vAlign w:val="bottom"/>
          </w:tcPr>
          <w:p>
            <w:pPr>
              <w:jc w:val="center"/>
              <w:spacing w:after="0"/>
              <w:rPr>
                <w:sz w:val="20"/>
                <w:szCs w:val="20"/>
                <w:color w:val="auto"/>
              </w:rPr>
            </w:pPr>
            <w:r>
              <w:rPr>
                <w:rFonts w:ascii="Arial" w:cs="Arial" w:eastAsia="Arial" w:hAnsi="Arial"/>
                <w:sz w:val="26"/>
                <w:szCs w:val="26"/>
                <w:color w:val="auto"/>
                <w:w w:val="99"/>
              </w:rPr>
              <w:t>100%</w:t>
            </w:r>
          </w:p>
        </w:tc>
        <w:tc>
          <w:tcPr>
            <w:tcW w:w="1800" w:type="dxa"/>
            <w:vAlign w:val="bottom"/>
          </w:tcPr>
          <w:p>
            <w:pPr>
              <w:jc w:val="center"/>
              <w:ind w:left="48"/>
              <w:spacing w:after="0"/>
              <w:rPr>
                <w:sz w:val="20"/>
                <w:szCs w:val="20"/>
                <w:color w:val="auto"/>
              </w:rPr>
            </w:pPr>
            <w:r>
              <w:rPr>
                <w:rFonts w:ascii="Arial" w:cs="Arial" w:eastAsia="Arial" w:hAnsi="Arial"/>
                <w:sz w:val="26"/>
                <w:szCs w:val="26"/>
                <w:color w:val="auto"/>
                <w:w w:val="99"/>
              </w:rPr>
              <w:t>100%</w:t>
            </w:r>
          </w:p>
        </w:tc>
      </w:tr>
      <w:tr>
        <w:trPr>
          <w:trHeight w:val="958"/>
        </w:trPr>
        <w:tc>
          <w:tcPr>
            <w:tcW w:w="1940" w:type="dxa"/>
            <w:vAlign w:val="bottom"/>
          </w:tcPr>
          <w:p>
            <w:pPr>
              <w:jc w:val="center"/>
              <w:ind w:right="143"/>
              <w:spacing w:after="0"/>
              <w:rPr>
                <w:sz w:val="20"/>
                <w:szCs w:val="20"/>
                <w:color w:val="auto"/>
              </w:rPr>
            </w:pPr>
            <w:r>
              <w:rPr>
                <w:rFonts w:ascii="Arial" w:cs="Arial" w:eastAsia="Arial" w:hAnsi="Arial"/>
                <w:sz w:val="26"/>
                <w:szCs w:val="26"/>
                <w:color w:val="auto"/>
                <w:w w:val="99"/>
              </w:rPr>
              <w:t>100%</w:t>
            </w:r>
          </w:p>
        </w:tc>
        <w:tc>
          <w:tcPr>
            <w:tcW w:w="2160" w:type="dxa"/>
            <w:vAlign w:val="bottom"/>
          </w:tcPr>
          <w:p>
            <w:pPr>
              <w:jc w:val="center"/>
              <w:spacing w:after="0"/>
              <w:rPr>
                <w:sz w:val="20"/>
                <w:szCs w:val="20"/>
                <w:color w:val="auto"/>
              </w:rPr>
            </w:pPr>
            <w:r>
              <w:rPr>
                <w:rFonts w:ascii="Arial" w:cs="Arial" w:eastAsia="Arial" w:hAnsi="Arial"/>
                <w:sz w:val="26"/>
                <w:szCs w:val="26"/>
                <w:color w:val="auto"/>
                <w:w w:val="99"/>
              </w:rPr>
              <w:t>100%</w:t>
            </w:r>
          </w:p>
        </w:tc>
        <w:tc>
          <w:tcPr>
            <w:tcW w:w="1800" w:type="dxa"/>
            <w:vAlign w:val="bottom"/>
          </w:tcPr>
          <w:p>
            <w:pPr>
              <w:jc w:val="center"/>
              <w:ind w:left="48"/>
              <w:spacing w:after="0"/>
              <w:rPr>
                <w:sz w:val="20"/>
                <w:szCs w:val="20"/>
                <w:color w:val="auto"/>
              </w:rPr>
            </w:pPr>
            <w:r>
              <w:rPr>
                <w:rFonts w:ascii="Arial" w:cs="Arial" w:eastAsia="Arial" w:hAnsi="Arial"/>
                <w:sz w:val="26"/>
                <w:szCs w:val="26"/>
                <w:color w:val="auto"/>
                <w:w w:val="99"/>
              </w:rPr>
              <w:t>100%</w:t>
            </w:r>
          </w:p>
        </w:tc>
      </w:tr>
      <w:tr>
        <w:trPr>
          <w:trHeight w:val="958"/>
        </w:trPr>
        <w:tc>
          <w:tcPr>
            <w:tcW w:w="1940" w:type="dxa"/>
            <w:vAlign w:val="bottom"/>
          </w:tcPr>
          <w:p>
            <w:pPr>
              <w:jc w:val="center"/>
              <w:ind w:right="143"/>
              <w:spacing w:after="0"/>
              <w:rPr>
                <w:sz w:val="20"/>
                <w:szCs w:val="20"/>
                <w:color w:val="auto"/>
              </w:rPr>
            </w:pPr>
            <w:r>
              <w:rPr>
                <w:rFonts w:ascii="Arial" w:cs="Arial" w:eastAsia="Arial" w:hAnsi="Arial"/>
                <w:sz w:val="26"/>
                <w:szCs w:val="26"/>
                <w:color w:val="auto"/>
              </w:rPr>
              <w:t>0%</w:t>
            </w:r>
          </w:p>
        </w:tc>
        <w:tc>
          <w:tcPr>
            <w:tcW w:w="2160" w:type="dxa"/>
            <w:vAlign w:val="bottom"/>
          </w:tcPr>
          <w:p>
            <w:pPr>
              <w:jc w:val="center"/>
              <w:spacing w:after="0"/>
              <w:rPr>
                <w:sz w:val="20"/>
                <w:szCs w:val="20"/>
                <w:color w:val="auto"/>
              </w:rPr>
            </w:pPr>
            <w:r>
              <w:rPr>
                <w:rFonts w:ascii="Arial" w:cs="Arial" w:eastAsia="Arial" w:hAnsi="Arial"/>
                <w:sz w:val="26"/>
                <w:szCs w:val="26"/>
                <w:color w:val="auto"/>
                <w:w w:val="95"/>
              </w:rPr>
              <w:t>0%</w:t>
            </w:r>
          </w:p>
        </w:tc>
        <w:tc>
          <w:tcPr>
            <w:tcW w:w="1800" w:type="dxa"/>
            <w:vAlign w:val="bottom"/>
          </w:tcPr>
          <w:p>
            <w:pPr>
              <w:jc w:val="center"/>
              <w:ind w:left="68"/>
              <w:spacing w:after="0"/>
              <w:rPr>
                <w:sz w:val="20"/>
                <w:szCs w:val="20"/>
                <w:color w:val="auto"/>
              </w:rPr>
            </w:pPr>
            <w:r>
              <w:rPr>
                <w:rFonts w:ascii="Arial" w:cs="Arial" w:eastAsia="Arial" w:hAnsi="Arial"/>
                <w:sz w:val="26"/>
                <w:szCs w:val="26"/>
                <w:color w:val="auto"/>
                <w:w w:val="95"/>
              </w:rPr>
              <w:t>0%</w:t>
            </w:r>
          </w:p>
        </w:tc>
      </w:tr>
      <w:tr>
        <w:trPr>
          <w:trHeight w:val="818"/>
        </w:trPr>
        <w:tc>
          <w:tcPr>
            <w:tcW w:w="1940" w:type="dxa"/>
            <w:vAlign w:val="bottom"/>
          </w:tcPr>
          <w:p>
            <w:pPr>
              <w:jc w:val="center"/>
              <w:ind w:right="143"/>
              <w:spacing w:after="0"/>
              <w:rPr>
                <w:sz w:val="20"/>
                <w:szCs w:val="20"/>
                <w:color w:val="auto"/>
              </w:rPr>
            </w:pPr>
            <w:r>
              <w:rPr>
                <w:rFonts w:ascii="Arial" w:cs="Arial" w:eastAsia="Arial" w:hAnsi="Arial"/>
                <w:sz w:val="26"/>
                <w:szCs w:val="26"/>
                <w:color w:val="auto"/>
                <w:w w:val="96"/>
              </w:rPr>
              <w:t>49%</w:t>
            </w:r>
          </w:p>
        </w:tc>
        <w:tc>
          <w:tcPr>
            <w:tcW w:w="2160" w:type="dxa"/>
            <w:vAlign w:val="bottom"/>
          </w:tcPr>
          <w:p>
            <w:pPr>
              <w:jc w:val="center"/>
              <w:spacing w:after="0"/>
              <w:rPr>
                <w:sz w:val="20"/>
                <w:szCs w:val="20"/>
                <w:color w:val="auto"/>
              </w:rPr>
            </w:pPr>
            <w:r>
              <w:rPr>
                <w:rFonts w:ascii="Arial" w:cs="Arial" w:eastAsia="Arial" w:hAnsi="Arial"/>
                <w:sz w:val="26"/>
                <w:szCs w:val="26"/>
                <w:color w:val="auto"/>
                <w:w w:val="99"/>
              </w:rPr>
              <w:t>34%</w:t>
            </w:r>
          </w:p>
        </w:tc>
        <w:tc>
          <w:tcPr>
            <w:tcW w:w="1800" w:type="dxa"/>
            <w:vAlign w:val="bottom"/>
          </w:tcPr>
          <w:p>
            <w:pPr>
              <w:jc w:val="center"/>
              <w:ind w:left="68"/>
              <w:spacing w:after="0"/>
              <w:rPr>
                <w:sz w:val="20"/>
                <w:szCs w:val="20"/>
                <w:color w:val="auto"/>
              </w:rPr>
            </w:pPr>
            <w:r>
              <w:rPr>
                <w:rFonts w:ascii="Arial" w:cs="Arial" w:eastAsia="Arial" w:hAnsi="Arial"/>
                <w:sz w:val="26"/>
                <w:szCs w:val="26"/>
                <w:color w:val="auto"/>
                <w:w w:val="99"/>
              </w:rPr>
              <w:t>50%</w:t>
            </w:r>
          </w:p>
        </w:tc>
      </w:tr>
      <w:tr>
        <w:trPr>
          <w:trHeight w:val="281"/>
        </w:trPr>
        <w:tc>
          <w:tcPr>
            <w:tcW w:w="1940" w:type="dxa"/>
            <w:vAlign w:val="bottom"/>
          </w:tcPr>
          <w:p>
            <w:pPr>
              <w:jc w:val="center"/>
              <w:ind w:right="123"/>
              <w:spacing w:after="0"/>
              <w:rPr>
                <w:sz w:val="20"/>
                <w:szCs w:val="20"/>
                <w:color w:val="auto"/>
              </w:rPr>
            </w:pPr>
            <w:r>
              <w:rPr>
                <w:rFonts w:ascii="Arial" w:cs="Arial" w:eastAsia="Arial" w:hAnsi="Arial"/>
                <w:sz w:val="23"/>
                <w:szCs w:val="23"/>
                <w:color w:val="auto"/>
              </w:rPr>
              <w:t>Equity Income</w:t>
            </w:r>
          </w:p>
        </w:tc>
        <w:tc>
          <w:tcPr>
            <w:tcW w:w="2160" w:type="dxa"/>
            <w:vAlign w:val="bottom"/>
          </w:tcPr>
          <w:p>
            <w:pPr>
              <w:jc w:val="center"/>
              <w:spacing w:after="0"/>
              <w:rPr>
                <w:sz w:val="20"/>
                <w:szCs w:val="20"/>
                <w:color w:val="auto"/>
              </w:rPr>
            </w:pPr>
            <w:r>
              <w:rPr>
                <w:rFonts w:ascii="Arial" w:cs="Arial" w:eastAsia="Arial" w:hAnsi="Arial"/>
                <w:sz w:val="23"/>
                <w:szCs w:val="23"/>
                <w:color w:val="auto"/>
              </w:rPr>
              <w:t>Equity Income</w:t>
            </w:r>
          </w:p>
        </w:tc>
        <w:tc>
          <w:tcPr>
            <w:tcW w:w="1800" w:type="dxa"/>
            <w:vAlign w:val="bottom"/>
          </w:tcPr>
          <w:p>
            <w:pPr>
              <w:jc w:val="center"/>
              <w:ind w:left="108"/>
              <w:spacing w:after="0"/>
              <w:rPr>
                <w:sz w:val="20"/>
                <w:szCs w:val="20"/>
                <w:color w:val="auto"/>
              </w:rPr>
            </w:pPr>
            <w:r>
              <w:rPr>
                <w:rFonts w:ascii="Arial" w:cs="Arial" w:eastAsia="Arial" w:hAnsi="Arial"/>
                <w:sz w:val="23"/>
                <w:szCs w:val="23"/>
                <w:color w:val="auto"/>
              </w:rPr>
              <w:t>Equity Income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GM - Daewoo</w:t>
      </w:r>
    </w:p>
    <w:p>
      <w:pPr>
        <w:spacing w:after="0" w:line="200" w:lineRule="exact"/>
        <w:rPr>
          <w:sz w:val="20"/>
          <w:szCs w:val="20"/>
          <w:color w:val="auto"/>
        </w:rPr>
      </w:pPr>
    </w:p>
    <w:p>
      <w:pPr>
        <w:spacing w:after="0" w:line="283" w:lineRule="exact"/>
        <w:rPr>
          <w:sz w:val="20"/>
          <w:szCs w:val="20"/>
          <w:color w:val="auto"/>
        </w:rPr>
      </w:pPr>
    </w:p>
    <w:p>
      <w:pPr>
        <w:jc w:val="center"/>
        <w:ind w:right="480"/>
        <w:spacing w:after="0"/>
        <w:rPr>
          <w:sz w:val="20"/>
          <w:szCs w:val="20"/>
          <w:color w:val="auto"/>
        </w:rPr>
      </w:pPr>
      <w:r>
        <w:rPr>
          <w:rFonts w:ascii="Arial" w:cs="Arial" w:eastAsia="Arial" w:hAnsi="Arial"/>
          <w:sz w:val="26"/>
          <w:szCs w:val="26"/>
          <w:b w:val="1"/>
          <w:bCs w:val="1"/>
          <w:color w:val="auto"/>
        </w:rPr>
        <w:t>70%</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80"/>
        <w:spacing w:after="0"/>
        <w:rPr>
          <w:sz w:val="20"/>
          <w:szCs w:val="20"/>
          <w:color w:val="auto"/>
        </w:rPr>
      </w:pPr>
      <w:r>
        <w:rPr>
          <w:rFonts w:ascii="Arial" w:cs="Arial" w:eastAsia="Arial" w:hAnsi="Arial"/>
          <w:sz w:val="26"/>
          <w:szCs w:val="26"/>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80"/>
        <w:spacing w:after="0"/>
        <w:rPr>
          <w:sz w:val="20"/>
          <w:szCs w:val="20"/>
          <w:color w:val="auto"/>
        </w:rPr>
      </w:pPr>
      <w:r>
        <w:rPr>
          <w:rFonts w:ascii="Arial" w:cs="Arial" w:eastAsia="Arial" w:hAnsi="Arial"/>
          <w:sz w:val="26"/>
          <w:szCs w:val="26"/>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80"/>
        <w:spacing w:after="0"/>
        <w:rPr>
          <w:sz w:val="20"/>
          <w:szCs w:val="20"/>
          <w:color w:val="auto"/>
        </w:rPr>
      </w:pPr>
      <w:r>
        <w:rPr>
          <w:rFonts w:ascii="Arial" w:cs="Arial" w:eastAsia="Arial" w:hAnsi="Arial"/>
          <w:sz w:val="26"/>
          <w:szCs w:val="26"/>
          <w:color w:val="auto"/>
        </w:rPr>
        <w:t>100%</w:t>
      </w:r>
    </w:p>
    <w:p>
      <w:pPr>
        <w:spacing w:after="0" w:line="394" w:lineRule="exact"/>
        <w:rPr>
          <w:sz w:val="20"/>
          <w:szCs w:val="20"/>
          <w:color w:val="auto"/>
        </w:rPr>
      </w:pPr>
    </w:p>
    <w:p>
      <w:pPr>
        <w:jc w:val="center"/>
        <w:ind w:right="480"/>
        <w:spacing w:after="0"/>
        <w:rPr>
          <w:sz w:val="20"/>
          <w:szCs w:val="20"/>
          <w:color w:val="auto"/>
        </w:rPr>
      </w:pPr>
      <w:r>
        <w:rPr>
          <w:rFonts w:ascii="Arial" w:cs="Arial" w:eastAsia="Arial" w:hAnsi="Arial"/>
          <w:sz w:val="26"/>
          <w:szCs w:val="26"/>
          <w:color w:val="auto"/>
        </w:rPr>
        <w:t>70%</w:t>
      </w:r>
    </w:p>
    <w:p>
      <w:pPr>
        <w:ind w:left="80" w:right="520" w:firstLine="61"/>
        <w:spacing w:after="0" w:line="260" w:lineRule="auto"/>
        <w:rPr>
          <w:sz w:val="20"/>
          <w:szCs w:val="20"/>
          <w:color w:val="auto"/>
        </w:rPr>
      </w:pPr>
      <w:r>
        <w:rPr>
          <w:rFonts w:ascii="Arial" w:cs="Arial" w:eastAsia="Arial" w:hAnsi="Arial"/>
          <w:sz w:val="23"/>
          <w:szCs w:val="23"/>
          <w:color w:val="auto"/>
        </w:rPr>
        <w:t>After adj. for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6"/>
          <w:szCs w:val="26"/>
          <w:b w:val="1"/>
          <w:bCs w:val="1"/>
          <w:color w:val="auto"/>
        </w:rPr>
        <w:t>S4</w:t>
      </w:r>
    </w:p>
    <w:sectPr>
      <w:pgSz w:w="11900" w:h="16838" w:orient="portrait"/>
      <w:cols w:equalWidth="0" w:num="3">
        <w:col w:w="1320" w:space="500"/>
        <w:col w:w="5900" w:space="600"/>
        <w:col w:w="2560"/>
      </w:cols>
      <w:pgMar w:left="500" w:top="54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2019-12-11T07:35:08Z</dcterms:created>
  <dcterms:modified xsi:type="dcterms:W3CDTF">2019-12-11T07:35:08Z</dcterms:modified>
</cp:coreProperties>
</file>