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6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90"/>
              <w:spacing w:after="0"/>
              <w:rPr>
                <w:sz w:val="20"/>
                <w:szCs w:val="20"/>
                <w:color w:val="auto"/>
              </w:rPr>
            </w:pPr>
            <w:r>
              <w:rPr>
                <w:rFonts w:ascii="Arial" w:cs="Arial" w:eastAsia="Arial" w:hAnsi="Arial"/>
                <w:sz w:val="18"/>
                <w:szCs w:val="18"/>
                <w:i w:val="1"/>
                <w:iCs w:val="1"/>
                <w:color w:val="auto"/>
                <w:w w:val="94"/>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right"/>
              <w:ind w:right="1390"/>
              <w:spacing w:after="0"/>
              <w:rPr>
                <w:sz w:val="20"/>
                <w:szCs w:val="20"/>
                <w:color w:val="auto"/>
              </w:rPr>
            </w:pPr>
            <w:r>
              <w:rPr>
                <w:rFonts w:ascii="Arial" w:cs="Arial" w:eastAsia="Arial" w:hAnsi="Arial"/>
                <w:sz w:val="18"/>
                <w:szCs w:val="18"/>
                <w:b w:val="1"/>
                <w:bCs w:val="1"/>
                <w:color w:val="auto"/>
              </w:rPr>
              <w:t>(313) 667-1500</w:t>
            </w:r>
          </w:p>
        </w:tc>
        <w:tc>
          <w:tcPr>
            <w:tcW w:w="146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19"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April 13, 2018 the number of shares outstanding of common stock was 1,409,232,569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7"/>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Revenue</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12</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17</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24</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20.</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0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Controls and Procedures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Legal Proceedings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44</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bottom w:val="single" w:sz="8" w:color="0000EE"/>
            </w:tcBorders>
            <w:gridSpan w:val="4"/>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c>
          <w:tcPr>
            <w:tcW w:w="40" w:type="dxa"/>
            <w:vAlign w:val="bottom"/>
          </w:tcPr>
          <w:p>
            <w:pPr>
              <w:spacing w:after="0"/>
              <w:rPr>
                <w:sz w:val="17"/>
                <w:szCs w:val="17"/>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7"/>
                <w:szCs w:val="17"/>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60"/>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34,519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3,408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2,747</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 (Note 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37,266</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47"/>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cost of sales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29,761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2,566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selling, general and administrative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2,356</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35,570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34,683</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2,583</w:t>
            </w:r>
          </w:p>
        </w:tc>
      </w:tr>
      <w:tr>
        <w:trPr>
          <w:trHeight w:val="33"/>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0" w:gutter="0" w:footer="0" w:header="0"/>
        </w:sectPr>
      </w:pPr>
    </w:p>
    <w:p>
      <w:pPr>
        <w:ind w:left="40"/>
        <w:spacing w:after="0"/>
        <w:rPr>
          <w:sz w:val="20"/>
          <w:szCs w:val="20"/>
          <w:color w:val="auto"/>
        </w:rPr>
      </w:pPr>
      <w:r>
        <w:rPr>
          <w:rFonts w:ascii="Arial" w:cs="Arial" w:eastAsia="Arial" w:hAnsi="Arial"/>
          <w:sz w:val="16"/>
          <w:szCs w:val="16"/>
          <w:color w:val="auto"/>
        </w:rPr>
        <w:t>Automotive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income and other non-operating income, net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income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Loss from discontinued operations, net of tax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482</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33"/>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3,473</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787</w:t>
            </w:r>
          </w:p>
        </w:tc>
      </w:tr>
      <w:tr>
        <w:trPr>
          <w:trHeight w:val="33"/>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2,686</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2,617</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2,608</w:t>
            </w:r>
          </w:p>
        </w:tc>
      </w:tr>
      <w:tr>
        <w:trPr>
          <w:trHeight w:val="33"/>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ectPr>
          <w:pgSz w:w="11900" w:h="16838" w:orient="portrait"/>
          <w:cols w:equalWidth="0" w:num="2">
            <w:col w:w="7620" w:space="720"/>
            <w:col w:w="308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1,032</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2,608</w:t>
            </w:r>
          </w:p>
        </w:tc>
      </w:tr>
      <w:tr>
        <w:trPr>
          <w:trHeight w:val="122"/>
        </w:trPr>
        <w:tc>
          <w:tcPr>
            <w:tcW w:w="6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18)</w:t>
            </w:r>
          </w:p>
        </w:tc>
        <w:tc>
          <w:tcPr>
            <w:tcW w:w="2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2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0.78</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6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loss per common share – discontinued operations</w:t>
            </w:r>
          </w:p>
        </w:tc>
        <w:tc>
          <w:tcPr>
            <w:tcW w:w="2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0.05</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622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2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0.73</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6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2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1,408</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w:t>
            </w:r>
          </w:p>
        </w:tc>
      </w:tr>
      <w:tr>
        <w:trPr>
          <w:trHeight w:val="122"/>
        </w:trPr>
        <w:tc>
          <w:tcPr>
            <w:tcW w:w="6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5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0.77</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37"/>
        </w:trPr>
        <w:tc>
          <w:tcPr>
            <w:tcW w:w="6220" w:type="dxa"/>
            <w:vAlign w:val="bottom"/>
          </w:tcPr>
          <w:p>
            <w:pPr>
              <w:ind w:left="180"/>
              <w:spacing w:after="0"/>
              <w:rPr>
                <w:sz w:val="20"/>
                <w:szCs w:val="20"/>
                <w:color w:val="auto"/>
              </w:rPr>
            </w:pPr>
            <w:r>
              <w:rPr>
                <w:rFonts w:ascii="Arial" w:cs="Arial" w:eastAsia="Arial" w:hAnsi="Arial"/>
                <w:sz w:val="16"/>
                <w:szCs w:val="16"/>
                <w:color w:val="auto"/>
              </w:rPr>
              <w:t>Diluted loss per common share – discontinued operations</w:t>
            </w:r>
          </w:p>
        </w:tc>
        <w:tc>
          <w:tcPr>
            <w:tcW w:w="2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0.05</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6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2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0.72</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7"/>
        </w:trPr>
        <w:tc>
          <w:tcPr>
            <w:tcW w:w="622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26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1,430</w:t>
            </w:r>
          </w:p>
        </w:tc>
        <w:tc>
          <w:tcPr>
            <w:tcW w:w="6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1,532</w:t>
            </w:r>
          </w:p>
        </w:tc>
      </w:tr>
      <w:tr>
        <w:trPr>
          <w:trHeight w:val="33"/>
        </w:trPr>
        <w:tc>
          <w:tcPr>
            <w:tcW w:w="6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622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0.38</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0.38</w:t>
            </w: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net of tax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 and other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comprehensive income, net of tax</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 loss attributable to noncontrolling interests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attributable to stockholders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280" w:type="dxa"/>
            <w:vAlign w:val="bottom"/>
          </w:tcPr>
          <w:p>
            <w:pPr>
              <w:jc w:val="right"/>
              <w:ind w:right="183"/>
              <w:spacing w:after="0"/>
              <w:rPr>
                <w:sz w:val="20"/>
                <w:szCs w:val="20"/>
                <w:color w:val="auto"/>
              </w:rPr>
            </w:pPr>
            <w:r>
              <w:rPr>
                <w:rFonts w:ascii="Arial" w:cs="Arial" w:eastAsia="Arial" w:hAnsi="Arial"/>
                <w:sz w:val="14"/>
                <w:szCs w:val="14"/>
                <w:b w:val="1"/>
                <w:bCs w:val="1"/>
                <w:color w:val="auto"/>
              </w:rPr>
              <w:t>March 31, 2017</w:t>
            </w:r>
          </w:p>
        </w:tc>
      </w:tr>
      <w:tr>
        <w:trPr>
          <w:trHeight w:val="223"/>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2,617</w:t>
            </w:r>
          </w:p>
        </w:tc>
      </w:tr>
    </w:tbl>
    <w:p>
      <w:pPr>
        <w:spacing w:after="0" w:line="334" w:lineRule="exact"/>
        <w:rPr>
          <w:sz w:val="20"/>
          <w:szCs w:val="20"/>
          <w:color w:val="auto"/>
        </w:rPr>
      </w:pPr>
    </w:p>
    <w:p>
      <w:pPr>
        <w:ind w:left="1220"/>
        <w:spacing w:after="0"/>
        <w:tabs>
          <w:tab w:leader="none" w:pos="270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108</w:t>
      </w:r>
    </w:p>
    <w:p>
      <w:pPr>
        <w:spacing w:after="0" w:line="86" w:lineRule="exact"/>
        <w:rPr>
          <w:sz w:val="20"/>
          <w:szCs w:val="20"/>
          <w:color w:val="auto"/>
        </w:rPr>
      </w:pPr>
    </w:p>
    <w:p>
      <w:pPr>
        <w:jc w:val="both"/>
        <w:ind w:left="1240"/>
        <w:spacing w:after="0"/>
        <w:tabs>
          <w:tab w:leader="none" w:pos="274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(29)</w:t>
      </w:r>
    </w:p>
    <w:p>
      <w:pPr>
        <w:spacing w:after="0" w:line="86" w:lineRule="exact"/>
        <w:rPr>
          <w:sz w:val="20"/>
          <w:szCs w:val="20"/>
          <w:color w:val="auto"/>
        </w:rPr>
      </w:pPr>
    </w:p>
    <w:p>
      <w:pPr>
        <w:ind w:left="1220"/>
        <w:spacing w:after="0"/>
        <w:tabs>
          <w:tab w:leader="none" w:pos="278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1020"/>
        <w:spacing w:after="0"/>
        <w:tabs>
          <w:tab w:leader="none" w:pos="2580" w:val="left"/>
        </w:tabs>
        <w:rPr>
          <w:sz w:val="20"/>
          <w:szCs w:val="20"/>
          <w:color w:val="auto"/>
        </w:rPr>
      </w:pPr>
      <w:r>
        <w:rPr>
          <w:rFonts w:ascii="Arial" w:cs="Arial" w:eastAsia="Arial" w:hAnsi="Arial"/>
          <w:sz w:val="16"/>
          <w:szCs w:val="16"/>
          <w:color w:val="auto"/>
        </w:rPr>
        <w:t>1,067</w:t>
      </w:r>
      <w:r>
        <w:rPr>
          <w:sz w:val="20"/>
          <w:szCs w:val="20"/>
          <w:color w:val="auto"/>
        </w:rPr>
        <w:tab/>
      </w:r>
      <w:r>
        <w:rPr>
          <w:rFonts w:ascii="Arial" w:cs="Arial" w:eastAsia="Arial" w:hAnsi="Arial"/>
          <w:sz w:val="16"/>
          <w:szCs w:val="16"/>
          <w:color w:val="auto"/>
        </w:rPr>
        <w:t>2,696</w:t>
      </w:r>
    </w:p>
    <w:p>
      <w:pPr>
        <w:spacing w:after="0" w:line="86" w:lineRule="exact"/>
        <w:rPr>
          <w:sz w:val="20"/>
          <w:szCs w:val="20"/>
          <w:color w:val="auto"/>
        </w:rPr>
      </w:pPr>
    </w:p>
    <w:p>
      <w:pPr>
        <w:jc w:val="both"/>
        <w:ind w:left="1300"/>
        <w:spacing w:after="0"/>
        <w:tabs>
          <w:tab w:leader="none" w:pos="282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1000" w:val="left"/>
          <w:tab w:leader="none" w:pos="162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1,074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9551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80"/>
          </w:cols>
          <w:pgMar w:left="240" w:top="125" w:right="239" w:bottom="0" w:gutter="0" w:footer="0" w:header="0"/>
          <w:type w:val="continuous"/>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type w:val="continuous"/>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0"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7900" w:type="dxa"/>
            <w:vAlign w:val="bottom"/>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8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15,512</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Marketable securities (Note 4)</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7,110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8,313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9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21,157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20,521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1,106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(Note 4; Note 9 at VIEs)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68,744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9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21,208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37,321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36,253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5,849</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 Note 9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43,444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42,882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assets (Note 4; Note 9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4,929</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143,738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218,726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73"/>
        </w:trPr>
        <w:tc>
          <w:tcPr>
            <w:tcW w:w="79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102"/>
        </w:trPr>
        <w:tc>
          <w:tcPr>
            <w:tcW w:w="79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224"/>
        </w:trPr>
        <w:tc>
          <w:tcPr>
            <w:tcW w:w="7900" w:type="dxa"/>
            <w:vAlign w:val="bottom"/>
          </w:tcPr>
          <w:p>
            <w:pPr>
              <w:ind w:left="29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 (principally trade)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26,039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23,929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debt and current portion of long-term debt (Note 10)</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GM Financial (Note 9 at VIEs)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25,996</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76,890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(Note 10)</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10,957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10,987</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GM Financial (Note 9 at VIEs)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56,267</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Postretirement benefits other than pensions (Note 13)</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5,927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5,998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Pensions (Note 13)</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12,394</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99,392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183,268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176,282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Equity (Note 17)</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25,371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35,001</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1,199</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36,200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218,726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2"/>
                <w:szCs w:val="22"/>
                <w:color w:val="auto"/>
              </w:rPr>
            </w:pPr>
          </w:p>
        </w:tc>
        <w:tc>
          <w:tcPr>
            <w:tcW w:w="1280" w:type="dxa"/>
            <w:vAlign w:val="bottom"/>
          </w:tcPr>
          <w:p>
            <w:pPr>
              <w:jc w:val="right"/>
              <w:ind w:right="175"/>
              <w:spacing w:after="0"/>
              <w:rPr>
                <w:sz w:val="20"/>
                <w:szCs w:val="20"/>
                <w:color w:val="auto"/>
              </w:rPr>
            </w:pPr>
            <w:r>
              <w:rPr>
                <w:rFonts w:ascii="Arial" w:cs="Arial" w:eastAsia="Arial" w:hAnsi="Arial"/>
                <w:sz w:val="14"/>
                <w:szCs w:val="14"/>
                <w:b w:val="1"/>
                <w:bCs w:val="1"/>
                <w:color w:val="auto"/>
              </w:rPr>
              <w:t>March 31, 2017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2,686</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amortization and impairment charges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3,581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2,743</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remeasurement and transaction losses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Undistributed earnings of nonconsolidated affiliates,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(555)</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Pension contributions and OPEB payments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Pension and OPEB income,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Provision for 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1,036</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 in other operating assets and liabilities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(3,674)</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 xml:space="preserve">Net cash provided by operating activities </w:t>
            </w:r>
            <w:r>
              <w:rPr>
                <w:rFonts w:ascii="Arial" w:cs="Arial" w:eastAsia="Arial" w:hAnsi="Arial"/>
                <w:sz w:val="18"/>
                <w:szCs w:val="18"/>
                <w:color w:val="auto"/>
              </w:rPr>
              <w:t>–</w:t>
            </w:r>
            <w:r>
              <w:rPr>
                <w:rFonts w:ascii="Arial" w:cs="Arial" w:eastAsia="Arial" w:hAnsi="Arial"/>
                <w:sz w:val="17"/>
                <w:szCs w:val="17"/>
                <w:color w:val="auto"/>
              </w:rPr>
              <w:t xml:space="preserve">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1,798</w:t>
            </w:r>
          </w:p>
        </w:tc>
      </w:tr>
      <w:tr>
        <w:trPr>
          <w:trHeight w:val="243"/>
        </w:trPr>
        <w:tc>
          <w:tcPr>
            <w:tcW w:w="8340" w:type="dxa"/>
            <w:vAlign w:val="bottom"/>
          </w:tcPr>
          <w:p>
            <w:pPr>
              <w:ind w:left="180"/>
              <w:spacing w:after="0"/>
              <w:rPr>
                <w:sz w:val="20"/>
                <w:szCs w:val="20"/>
                <w:color w:val="auto"/>
              </w:rPr>
            </w:pPr>
            <w:r>
              <w:rPr>
                <w:rFonts w:ascii="Arial" w:cs="Arial" w:eastAsia="Arial" w:hAnsi="Arial"/>
                <w:sz w:val="17"/>
                <w:szCs w:val="17"/>
                <w:color w:val="auto"/>
              </w:rPr>
              <w:t xml:space="preserve">Net cash provided by operating activities </w:t>
            </w:r>
            <w:r>
              <w:rPr>
                <w:rFonts w:ascii="Arial" w:cs="Arial" w:eastAsia="Arial" w:hAnsi="Arial"/>
                <w:sz w:val="18"/>
                <w:szCs w:val="18"/>
                <w:color w:val="auto"/>
              </w:rPr>
              <w:t>–</w:t>
            </w:r>
            <w:r>
              <w:rPr>
                <w:rFonts w:ascii="Arial" w:cs="Arial" w:eastAsia="Arial" w:hAnsi="Arial"/>
                <w:sz w:val="17"/>
                <w:szCs w:val="17"/>
                <w:color w:val="auto"/>
              </w:rPr>
              <w:t xml:space="preserve"> discontinued operations</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243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2,041</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Expenditures for property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(1,730)</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Available-for-sale marketable securities, acquisitions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(1,316)</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Available-for-sale marketable securities, liquidations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2,914</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Purchases of finance receivables,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(5,402)</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collections and recoveries on 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Purchases of leased vehicles,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(4,727)</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termination of leased vehicles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1,079</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Other investing activities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cash used in investing activities –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(6,373)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Net cash provided by (used in) investing activities – discontinued operations (Note 19)</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(432)</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increase (decrease) in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Proceeds from issuance of debt (original maturities greater than three months)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11,334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11,280</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debt (original maturities greater than three months)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(5,141)</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Payments to purchase common stock</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Other financing activities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cash provided by financing activities –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Net cash used in financing activities – discontinued operations</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5,047</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103</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at beginning of period</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17,848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15,160</w:t>
            </w:r>
          </w:p>
        </w:tc>
      </w:tr>
      <w:tr>
        <w:trPr>
          <w:trHeight w:val="31"/>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15,546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 continuing operations at end of period (Note 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14,955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 discontinued operations at end of period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591</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Significant Non-cash Investing and Financing Activity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Non-cash property additions – continuing operations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2,675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1,981</w:t>
            </w:r>
          </w:p>
        </w:tc>
      </w:tr>
      <w:tr>
        <w:trPr>
          <w:trHeight w:val="31"/>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Non-cash property additions – discontinued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288</w:t>
            </w:r>
          </w:p>
        </w:tc>
      </w:tr>
      <w:tr>
        <w:trPr>
          <w:trHeight w:val="31"/>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424"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27,012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28,195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46,214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25,371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17,627</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Adoption of accounting standards (Note 1)</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Dividends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25,337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continuing operations through the following segments: GM North America (GMNA), GM International (GMI), and GM Financial. Nonsegment operations and Maven, our ride- and car-sharing business, are classified as Corporate. Corporate includes certain centrally recorded income and costs such as interest, income taxes, corporate expenditures including autonomous vehicle-related engineering costs and certain nonsegment specific revenues and expenses.</w:t>
      </w:r>
    </w:p>
    <w:p>
      <w:pPr>
        <w:spacing w:after="0" w:line="17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7"/>
          <w:szCs w:val="17"/>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is presented as discontinued operations in our condensed consolidated financial statements for all periods presented. Unless otherwise indicated, information in this report relates to our continuing operations. Refer to Note 19 for additional information on our discontinued operations.</w:t>
      </w:r>
    </w:p>
    <w:p>
      <w:pPr>
        <w:spacing w:after="0" w:line="17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2017 Form 10-K. Except for per share amounts or as otherwise specified, dollar amounts presented within tables are stated in millions.</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Principles of Consolidation supplements information presented in our 2017 Form 10-K for the adoption on January 1, 2018</w:t>
      </w:r>
      <w:r>
        <w:rPr>
          <w:rFonts w:ascii="Arial" w:cs="Arial" w:eastAsia="Arial" w:hAnsi="Arial"/>
          <w:sz w:val="16"/>
          <w:szCs w:val="16"/>
          <w:b w:val="1"/>
          <w:bCs w:val="1"/>
          <w:color w:val="auto"/>
        </w:rPr>
        <w:t xml:space="preserve"> </w:t>
      </w:r>
      <w:r>
        <w:rPr>
          <w:rFonts w:ascii="Arial" w:cs="Arial" w:eastAsia="Arial" w:hAnsi="Arial"/>
          <w:sz w:val="16"/>
          <w:szCs w:val="16"/>
          <w:color w:val="auto"/>
        </w:rPr>
        <w:t>of Accounting Standards Update (ASU) 2016-01, “Recognition and Measurement of Financial Assets and Financial Liabilities” (ASU 2016-01). 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Beginning January 1, 2018 we no longer use the cost method of accounting.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2014-09, "Revenue from Contracts with Customers" as amended (ASU 2014-09), as incorporated into Accounting Standards Codification (ASC) 606, on a modified retrospective basis by recognizing a cumulative effect adjustment to the opening balance of Retained earnings. Under ASU 2014-09 sales incentives will now be recorded at the time of sale rather than at the later of sale or announcement, thereby resulting in the shifting of incentive amounts to an earlier quarter and fixed fee license arrangements will now be recognized when access to intellectual property is granted instead of over the contract period. We currently expect the retiming of quarterly incentive amounts to offset for the year ending December 31, 2018. Actual incentive spending is dependent upon future market conditions.</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Beginning January 1, 2018, certain transfers to daily rental companies are accounted for as sales when ownership of the vehicle is not expected to transfer back to us. Such transactions were previously accounted for as operating leases. Transfers that occurred prior to January 2018 continue to be accounted for as operating leases because at the original time of transfer an expectation existed that ownership of the vehicle would transfer back to us.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financial statement line items within our condensed consolidated income statement and balance sheet significantly impacted by ASU 2014-09: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center"/>
              <w:ind w:left="1074"/>
              <w:spacing w:after="0"/>
              <w:rPr>
                <w:sz w:val="20"/>
                <w:szCs w:val="20"/>
                <w:color w:val="auto"/>
              </w:rPr>
            </w:pPr>
            <w:r>
              <w:rPr>
                <w:rFonts w:ascii="Arial" w:cs="Arial" w:eastAsia="Arial" w:hAnsi="Arial"/>
                <w:sz w:val="14"/>
                <w:szCs w:val="14"/>
                <w:b w:val="1"/>
                <w:bCs w:val="1"/>
                <w:color w:val="auto"/>
                <w:w w:val="95"/>
              </w:rPr>
              <w:t>Three Months Ended March 31, 2018</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60" w:type="dxa"/>
            <w:vAlign w:val="bottom"/>
          </w:tcPr>
          <w:p>
            <w:pPr>
              <w:spacing w:after="0"/>
              <w:rPr>
                <w:sz w:val="13"/>
                <w:szCs w:val="13"/>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Adoption of ASC 606</w:t>
            </w:r>
          </w:p>
        </w:tc>
        <w:tc>
          <w:tcPr>
            <w:tcW w:w="2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net sales and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30,184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29,465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42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2018</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60" w:type="dxa"/>
            <w:vAlign w:val="bottom"/>
          </w:tcPr>
          <w:p>
            <w:pPr>
              <w:spacing w:after="0"/>
              <w:rPr>
                <w:sz w:val="13"/>
                <w:szCs w:val="13"/>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Adoption of ASC 606</w:t>
            </w:r>
          </w:p>
        </w:tc>
        <w:tc>
          <w:tcPr>
            <w:tcW w:w="2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23,538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23,195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11,945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12,191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18,019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Effective January 1, 2018 we adopted ASU 2016-01, on a modified retrospective basis, with a $182 million cumulative effect adjustment recorded to the opening balance of Retained earnings to adjust an investment previously carried at cost to its fair value. ASU 2016-01 requires equity investments that are not accounted for under the equity method of accounting to be measured at fair value with changes recognized in Net income.</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2018 we adopted ASU 2017-12, "Derivatives and Hedging (Topic 815), Targeted Improvements to Accounting for Hedging Activities" (ASU 2017-12), on a modified retrospective basis and adopted ASU 2018-02, "Income Statement-Reporting Comprehensive Income (Topic 220): Reclassification of Certain Tax Effects from Accumulated Other Comprehensive Income” (ASU 2018-02), on a modified retrospective basis. ASU 2018-02 provides the option to reclassify stranded tax effects related to the U.S. Tax Cuts and Jobs Act of 2017 (the Tax Act) in accumulated other comprehensive income to retained earnings. The adjustment relates to the change in the U.S. corporate income tax rate. The cumulative effect of the adjustments to the opening balance of Retained earnings for these adopted standards was $108 million.</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changes to our condensed consolidated balance sheet for the adoption of ASU 2014-09, ASU 2016-01, ASU 2017-12 and ASU 2018-02:</w:t>
      </w:r>
    </w:p>
    <w:p>
      <w:pPr>
        <w:spacing w:after="0" w:line="96" w:lineRule="exact"/>
        <w:rPr>
          <w:sz w:val="20"/>
          <w:szCs w:val="20"/>
          <w:color w:val="auto"/>
        </w:rPr>
      </w:pPr>
    </w:p>
    <w:tbl>
      <w:tblPr>
        <w:tblLayout w:type="fixed"/>
        <w:tblInd w:w="4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8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Adjustment due to ASU</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Adjustment due to ASU</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800" w:type="dxa"/>
            <w:vAlign w:val="bottom"/>
            <w:vMerge w:val="continue"/>
          </w:tcPr>
          <w:p>
            <w:pPr>
              <w:spacing w:after="0"/>
              <w:rPr>
                <w:sz w:val="12"/>
                <w:szCs w:val="12"/>
                <w:color w:val="auto"/>
              </w:rPr>
            </w:pPr>
          </w:p>
        </w:tc>
        <w:tc>
          <w:tcPr>
            <w:tcW w:w="1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2016-01, ASU 2017-12</w:t>
            </w:r>
          </w:p>
        </w:tc>
        <w:tc>
          <w:tcPr>
            <w:tcW w:w="12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18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2014-09</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and ASU 2018-02</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Deferred income taxes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Other assets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GM Financial short-term debt and current portion of long-term</w:t>
      </w:r>
    </w:p>
    <w:p>
      <w:pPr>
        <w:spacing w:after="0" w:line="35" w:lineRule="exact"/>
        <w:rPr>
          <w:sz w:val="20"/>
          <w:szCs w:val="20"/>
          <w:color w:val="auto"/>
        </w:rPr>
      </w:pPr>
    </w:p>
    <w:p>
      <w:pPr>
        <w:ind w:left="200"/>
        <w:spacing w:after="0"/>
        <w:tabs>
          <w:tab w:leader="none" w:pos="4700" w:val="left"/>
        </w:tabs>
        <w:rPr>
          <w:sz w:val="20"/>
          <w:szCs w:val="20"/>
          <w:color w:val="auto"/>
        </w:rPr>
      </w:pPr>
      <w:r>
        <w:rPr>
          <w:rFonts w:ascii="Arial" w:cs="Arial" w:eastAsia="Arial" w:hAnsi="Arial"/>
          <w:sz w:val="17"/>
          <w:szCs w:val="17"/>
          <w:color w:val="auto"/>
        </w:rPr>
        <w:t>debt</w:t>
      </w:r>
      <w:r>
        <w:rPr>
          <w:sz w:val="20"/>
          <w:szCs w:val="20"/>
          <w:color w:val="auto"/>
        </w:rPr>
        <w:tab/>
      </w:r>
      <w:r>
        <w:rPr>
          <w:rFonts w:ascii="Arial" w:cs="Arial" w:eastAsia="Arial" w:hAnsi="Arial"/>
          <w:sz w:val="17"/>
          <w:szCs w:val="17"/>
          <w:color w:val="auto"/>
        </w:rPr>
        <w:t>$</w:t>
      </w:r>
    </w:p>
    <w:p>
      <w:pPr>
        <w:spacing w:after="0" w:line="60"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Accrued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Other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Retained earnings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Accumulated other comprehensive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23,544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23,925</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rPr>
              <w:t>4,929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5,366</w:t>
            </w:r>
          </w:p>
        </w:tc>
      </w:tr>
      <w:tr>
        <w:trPr>
          <w:trHeight w:val="486"/>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24,450</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24,437</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25,996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2,328</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28,324</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12,394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12,159</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17,627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16,581</w:t>
            </w:r>
          </w:p>
        </w:tc>
      </w:tr>
      <w:tr>
        <w:trPr>
          <w:trHeight w:val="270"/>
        </w:trPr>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(8,011)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-977265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-496570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-153670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Effective January 1, 2018, we adopted ASU 2016-15, "Statement of Cash Flows (Topic 230), Classification of Certain Cash Receipts and Payments" (ASU 2016-15), which clarified guidance on the classification of certain cash receipts and payments in the statement of cash flows. The adoption of ASU 2016-15 did not have a material impact on our condensed consolidated financial statements, and prior periods were not restated.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2017-07, "Compensation - Retirement Benefits (Topic 715), Improving the Presentation of Net Periodic Pension Cost and Net Periodic Postretirement Benefit Cost" (ASU 2017-07) on a retrospective basis, which requires that the service cost component of net periodic pension and other postretirement benefits (OPEB) (income) expense be presented in the same income statement line item as other employee compensation costs. The remaining components of net periodic pension and OPEB (income) expense are now presented outside operating income. Amounts previously reflected in Operating income were reclassified to Interest income and other non-operating income, net in accordance with the provisions of ASU 2017-07. Refer to Note 13 for amounts that were reclassified.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information presented on Revenue Recognition, Equipment on Operating Leases, Marketable Debt Securities, Equity Investments and Derivative Financial Instruments supplements the Significant Accounting Policies information presented in our 2017 Form 10-K for the adoption of our recently adopted accounting standards which became effective January 1, 2018. See our 2017 Form 10-K for a description of our significant accounting policies in effect prior to the adoption of the new accounting standards.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adopted ASU 2014-09, which requires us to recognize revenue when a customer obtains control rather than when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substantially all risks and rewards of a good or service. We adopted ASU 2014-09 by applying the modified retrospective method to all noncompleted contracts as of the date of adoption. See Note 1 for additional information pertaining to the adoption of ASU 2014-09. The comparative information has not been restated and continues to be reported under the accounting standards in effect for those periods. The following accounting policies became effective upon the adoption of ASU 2014-09.</w:t>
      </w:r>
    </w:p>
    <w:p>
      <w:pPr>
        <w:spacing w:after="0" w:line="185"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9"/>
          <w:szCs w:val="19"/>
          <w:b w:val="1"/>
          <w:bCs w:val="1"/>
          <w:i w:val="1"/>
          <w:iCs w:val="1"/>
          <w:color w:val="auto"/>
        </w:rPr>
        <w:t xml:space="preserve">Automotive </w:t>
      </w:r>
      <w:r>
        <w:rPr>
          <w:rFonts w:ascii="Arial" w:cs="Arial" w:eastAsia="Arial" w:hAnsi="Arial"/>
          <w:sz w:val="17"/>
          <w:szCs w:val="17"/>
          <w:color w:val="auto"/>
        </w:rPr>
        <w:t>Automotive net sales and revenue represents the amount of consideration to which we expect to be entitled in exchange for vehicle, parts and</w:t>
      </w:r>
      <w:r>
        <w:rPr>
          <w:rFonts w:ascii="Arial" w:cs="Arial" w:eastAsia="Arial" w:hAnsi="Arial"/>
          <w:sz w:val="19"/>
          <w:szCs w:val="19"/>
          <w:b w:val="1"/>
          <w:bCs w:val="1"/>
          <w:i w:val="1"/>
          <w:iCs w:val="1"/>
          <w:color w:val="auto"/>
        </w:rPr>
        <w:t xml:space="preserve"> </w:t>
      </w:r>
      <w:r>
        <w:rPr>
          <w:rFonts w:ascii="Arial" w:cs="Arial" w:eastAsia="Arial" w:hAnsi="Arial"/>
          <w:sz w:val="17"/>
          <w:szCs w:val="17"/>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type, product mix, customer behavior and assumptions concerning market conditions. Historical experience is also considered when establishing our future expectations. Subsequent adjustments to incentive estimates are possible as facts and circumstances change over time. A portion of the consideration received is deferred for separate performance obligations, such as maintenance and vehicle connectivity, that will be provided to our customers at a future date. Taxes assessed by various government entities, such as sales, use and value-added taxes, collected at the time of the vehicle sale are excluded from Automotive net sales and revenue. Shipping and handling activities that occur after control of the vehicle transfers to the dealer are recognized at the time of sale and presented in Automotive cost of sales.</w:t>
      </w:r>
    </w:p>
    <w:p>
      <w:pPr>
        <w:spacing w:after="0" w:line="169"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20"/>
          <w:szCs w:val="20"/>
          <w:i w:val="1"/>
          <w:iCs w:val="1"/>
          <w:color w:val="auto"/>
        </w:rPr>
        <w:t>Ve</w:t>
      </w:r>
      <w:r>
        <w:rPr>
          <w:rFonts w:ascii="Arial" w:cs="Arial" w:eastAsia="Arial" w:hAnsi="Arial"/>
          <w:sz w:val="18"/>
          <w:szCs w:val="18"/>
          <w:i w:val="1"/>
          <w:iCs w:val="1"/>
          <w:color w:val="auto"/>
        </w:rPr>
        <w:t>hicle, Parts and Accessories</w:t>
      </w:r>
      <w:r>
        <w:rPr>
          <w:rFonts w:ascii="Arial" w:cs="Arial" w:eastAsia="Arial" w:hAnsi="Arial"/>
          <w:sz w:val="20"/>
          <w:szCs w:val="20"/>
          <w:i w:val="1"/>
          <w:iCs w:val="1"/>
          <w:color w:val="auto"/>
        </w:rPr>
        <w:t xml:space="preserve"> </w:t>
      </w:r>
      <w:r>
        <w:rPr>
          <w:rFonts w:ascii="Arial" w:cs="Arial" w:eastAsia="Arial" w:hAnsi="Arial"/>
          <w:sz w:val="18"/>
          <w:szCs w:val="18"/>
          <w:color w:val="auto"/>
        </w:rPr>
        <w:t>For the majority of vehicle and accessories sales our customers obtain control and we recognize revenue when the vehicle</w:t>
      </w:r>
      <w:r>
        <w:rPr>
          <w:rFonts w:ascii="Arial" w:cs="Arial" w:eastAsia="Arial" w:hAnsi="Arial"/>
          <w:sz w:val="20"/>
          <w:szCs w:val="20"/>
          <w:i w:val="1"/>
          <w:iCs w:val="1"/>
          <w:color w:val="auto"/>
        </w:rPr>
        <w:t xml:space="preserve"> </w:t>
      </w:r>
      <w:r>
        <w:rPr>
          <w:rFonts w:ascii="Arial" w:cs="Arial" w:eastAsia="Arial" w:hAnsi="Arial"/>
          <w:sz w:val="18"/>
          <w:szCs w:val="18"/>
          <w:color w:val="auto"/>
        </w:rPr>
        <w:t>transfers to the dealer, which generally occurs when the vehicle is released to the carrier responsible for transporting it to a dealer. Revenue is recognized on the sale of parts upon delivery to the customer.</w:t>
      </w:r>
    </w:p>
    <w:p>
      <w:pPr>
        <w:spacing w:after="0" w:line="18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Certain transfers to daily rental companies are accounted for as sales, with revenue recognized at the time of transfer. Such transactions were previously accounted for as operating leases. At the time of transfer, we defer revenue for remarketing obligations, record a residual value guarantee and reflect a deposit liability for amounts expected to be returned once the remarketing services are complete. Deferred revenue is recognized in earnings upon completion of the remarketing service. Transfers that occurred prior to January 1, 2018 and future transfers containing a substantive purchase obligation continue to be accounted for as operating leases and rental income is recognized over the estimated term of the lease.</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 xml:space="preserve">Used Vehicles </w:t>
      </w:r>
      <w:r>
        <w:rPr>
          <w:rFonts w:ascii="Arial" w:cs="Arial" w:eastAsia="Arial" w:hAnsi="Arial"/>
          <w:sz w:val="18"/>
          <w:szCs w:val="18"/>
          <w:color w:val="auto"/>
        </w:rPr>
        <w:t>Proceeds from the auction of vehicles returned from daily rental car companies are recognized in Automotive net sales and revenue upon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control of the vehicle to the customer and the related vehicle carrying value is recognized in Automotive cost of sales.</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Services and Other </w:t>
      </w:r>
      <w:r>
        <w:rPr>
          <w:rFonts w:ascii="Arial" w:cs="Arial" w:eastAsia="Arial" w:hAnsi="Arial"/>
          <w:sz w:val="17"/>
          <w:szCs w:val="17"/>
          <w:color w:val="auto"/>
        </w:rPr>
        <w:t>Services and other revenue primarily consists of revenue from vehicle-related service arrangements and after-sale services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less than three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(including incentive payments) received and direct costs of originating loans are deferred and amortized over the term of the related finance receivables using the effective interest method and are removed from the condensed consolidated balance sheets when the related finance receivables are sold,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Equipment on Operating Leases </w:t>
      </w:r>
      <w:r>
        <w:rPr>
          <w:rFonts w:ascii="Arial" w:cs="Arial" w:eastAsia="Arial" w:hAnsi="Arial"/>
          <w:sz w:val="16"/>
          <w:szCs w:val="16"/>
          <w:color w:val="auto"/>
        </w:rPr>
        <w:t>Equipment on operating leases, net consists of vehicle leases to retail customers with lease terms of two to five years and</w:t>
      </w:r>
      <w:r>
        <w:rPr>
          <w:rFonts w:ascii="Arial" w:cs="Arial" w:eastAsia="Arial" w:hAnsi="Arial"/>
          <w:sz w:val="16"/>
          <w:szCs w:val="16"/>
          <w:b w:val="1"/>
          <w:bCs w:val="1"/>
          <w:color w:val="auto"/>
        </w:rPr>
        <w:t xml:space="preserve"> </w:t>
      </w:r>
      <w:r>
        <w:rPr>
          <w:rFonts w:ascii="Arial" w:cs="Arial" w:eastAsia="Arial" w:hAnsi="Arial"/>
          <w:sz w:val="16"/>
          <w:szCs w:val="16"/>
          <w:color w:val="auto"/>
        </w:rPr>
        <w:t>vehicle sales to rental car companies that are expected to be repurchased in an average of seven months. We are exposed to changes in the residual values of these assets. The residual values represent estimates of the values of the leased vehicles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adequacy of the estimate of the residual value is evaluated over the life of the arrangement and adjustments may be made to the extent the expected value of the vehicle changes. Adjustments may be in the form of revisions to the depreciation rate or recognition of an impairment charge. Impairment is determined to exist if an impairment indicator exists and the expected future cash flows, which include estimated residual values, are lower than the carrying amount of the vehicle's asset group. If the carrying amount is considered impaired an impairment charge is recorded for the amount by which the carrying amount exceeds fair value of the vehicle's asset group. Fair value is determined primarily using the anticipated cash flows, including estimated residual values. In our automotive finance operations when a leased vehicle is returned or repossessed the asset is recorded in Other assets at the lower of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guidelines, are considered in determining the classification of securities. Available-for-sale debt securities are recorded at fair value with unrealized gains and losses recorded net of related income taxes in Accumulated other comprehensive loss until realized. Trading debt securities are recorded at fair value with changes in fair value recorded in Interest income and other non-operating income, net. We determine realized gains and losses for all debt securities using the specific identification method.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debt securities are other-than-temporary. Factors considered include the length of time and extent to which the fair value has been below cost, the financial condition and near-term prospects of the issuer and the intent to sell or likelihood to be forced to sell the debt security before any anticipated recovery.</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Equity Investments </w:t>
      </w:r>
      <w:r>
        <w:rPr>
          <w:rFonts w:ascii="Arial" w:cs="Arial" w:eastAsia="Arial" w:hAnsi="Arial"/>
          <w:sz w:val="16"/>
          <w:szCs w:val="16"/>
          <w:color w:val="auto"/>
        </w:rPr>
        <w:t>When events and circumstances warrant, equity investments accounted for under the equity method of accounting are evaluated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with changes in fair value recorded in Interest income and other non-operating income, net.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The following changes to our accounting policies became effective upon adoption of ASU 2017-12.</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Certain foreign currency and commodity forward contracts have been designated as cash flow hedges. The risk being hedged is the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and commodity price risk related to forecasted transactions. If the contract has been designated as a cash flow hedge, the change in the fair value of the cash flow hedge is deferred in Accumulated other comprehensive loss and is recognized in Automotive cost of sales along with the earnings effect of the hedged item when the hedged item affects earnings.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w:t>
      </w:r>
      <w:r>
        <w:rPr>
          <w:rFonts w:ascii="Arial" w:cs="Arial" w:eastAsia="Arial" w:hAnsi="Arial"/>
          <w:sz w:val="18"/>
          <w:szCs w:val="18"/>
          <w:color w:val="auto"/>
        </w:rPr>
        <w:t>Certain interest rate swap and foreign currency swap agreements have been designated as cash flow hedges.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being hedged is the foreign currency and interest rate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by major source</w:t>
      </w:r>
      <w:r>
        <w:rPr>
          <w:rFonts w:ascii="Arial" w:cs="Arial" w:eastAsia="Arial" w:hAnsi="Arial"/>
          <w:sz w:val="19"/>
          <w:szCs w:val="19"/>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GMI</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Total Automotive</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GM Financial</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3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25,882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30,489</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2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1,185</w:t>
            </w:r>
          </w:p>
        </w:tc>
      </w:tr>
      <w:tr>
        <w:trPr>
          <w:trHeight w:val="33"/>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1,017</w:t>
            </w:r>
          </w:p>
        </w:tc>
      </w:tr>
      <w:tr>
        <w:trPr>
          <w:trHeight w:val="217"/>
        </w:trPr>
        <w:tc>
          <w:tcPr>
            <w:tcW w:w="274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27,818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32,715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32,691</w:t>
            </w:r>
          </w:p>
        </w:tc>
      </w:tr>
      <w:tr>
        <w:trPr>
          <w:trHeight w:val="33"/>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2,447</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864</w:t>
            </w:r>
          </w:p>
        </w:tc>
      </w:tr>
      <w:tr>
        <w:trPr>
          <w:trHeight w:val="33"/>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r>
      <w:tr>
        <w:trPr>
          <w:trHeight w:val="217"/>
        </w:trPr>
        <w:tc>
          <w:tcPr>
            <w:tcW w:w="2740" w:type="dxa"/>
            <w:vAlign w:val="bottom"/>
          </w:tcPr>
          <w:p>
            <w:pPr>
              <w:ind w:left="180"/>
              <w:spacing w:after="0"/>
              <w:rPr>
                <w:sz w:val="20"/>
                <w:szCs w:val="20"/>
                <w:color w:val="auto"/>
              </w:rPr>
            </w:pPr>
            <w:r>
              <w:rPr>
                <w:rFonts w:ascii="Arial" w:cs="Arial" w:eastAsia="Arial" w:hAnsi="Arial"/>
                <w:sz w:val="16"/>
                <w:szCs w:val="16"/>
                <w:color w:val="auto"/>
                <w:w w:val="99"/>
              </w:rPr>
              <w:t>GM Financial net sales and revenue</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3,408</w:t>
            </w:r>
          </w:p>
        </w:tc>
      </w:tr>
      <w:tr>
        <w:trPr>
          <w:trHeight w:val="33"/>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36,099</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Revenue is measured as the amount of consideration we expect to receive in exchange for transferring goods or providing services. Adjustments to sales incentives for previously recognized sales decreased revenue by an insignificant amount during the three months ended March 31, 2018.</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Deferred revenue consists primarily of maintenance, extended warranty and other service contracts. We recognized revenue of $383 million related to previously deferred revenue during the three months ended March 31, 2018. We expect to recognize revenue of $1.1 billion in the nine months ending December 31, 2018 and $780 million, $404 million and $476 million in the years ending December 31, 2019, 2020 and thereafter related to deferred revenue as of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and equity securities which approximates cost: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4"/>
                <w:szCs w:val="14"/>
                <w:color w:val="auto"/>
              </w:rPr>
            </w:pPr>
          </w:p>
        </w:tc>
        <w:tc>
          <w:tcPr>
            <w:tcW w:w="14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14,256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60" w:type="dxa"/>
            <w:vAlign w:val="bottom"/>
          </w:tcPr>
          <w:p>
            <w:pPr>
              <w:spacing w:after="0"/>
              <w:rPr>
                <w:sz w:val="20"/>
                <w:szCs w:val="20"/>
                <w:color w:val="auto"/>
              </w:rPr>
            </w:pPr>
            <w:r>
              <w:rPr>
                <w:rFonts w:ascii="Arial" w:cs="Arial" w:eastAsia="Arial" w:hAnsi="Arial"/>
                <w:sz w:val="16"/>
                <w:szCs w:val="16"/>
                <w:color w:val="auto"/>
              </w:rPr>
              <w:t>(a)  Excludes mortgage and asset-backed securities.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Sales proceeds from investments classified as available-for-sale and sold prior to maturity were $920 million and $626 million in the three months ended March 31, 2018 and 2017. Net unrealized gains and losses on available-for-sale debt securities were insignificant in the three months ended March 31, 2018 and 2017. Cumulative unrealized gains and losses on available-for-sale debt securities were insignificant at March 31, 2018 and December 31, 2017.</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Investments in equity securities where market quotations are not available are accounted for at fair value primarily using Level 3 inputs. The fair value of these securities at March 31, 2018 and unrealized gains and losses recognized in the three months ended March 31, 2018 were insignificant. Refer to Note 1 for additional details on the adoption of ASU 2016-01.</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Borders>
              <w:bottom w:val="single" w:sz="8" w:color="CCEEFF"/>
            </w:tcBorders>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5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Total</w:t>
            </w:r>
          </w:p>
        </w:tc>
        <w:tc>
          <w:tcPr>
            <w:tcW w:w="51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180" w:type="dxa"/>
            <w:vAlign w:val="bottom"/>
            <w:vMerge w:val="restart"/>
          </w:tcPr>
          <w:p>
            <w:pPr>
              <w:jc w:val="right"/>
              <w:ind w:right="383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4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39"/>
        </w:trPr>
        <w:tc>
          <w:tcPr>
            <w:tcW w:w="47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receivables, collectively evaluated for impairment,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30,486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40,421</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Finance receivables, individually evaluated for impairment,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fees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2,250</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33,361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43,303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41,729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41,735</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estimate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to derive the fair value of the portfolio. Macroeconomic factors could affect the credit performance of the portfolio and therefore could potentially affect the assumptions used in our cash flow model. A substantial majority of our commercial finance receivables have variable interest rates. The carrying amount, a Level 2 input, is considered to be a reasonable estimate of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2"/>
                <w:szCs w:val="22"/>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$601 million and $611 million and a specific allowance of $311 million and $331 million at March 31, 2018 and December 31, 2017.</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scores or their equivalent) and contract characteristics. We also consider other factors such as employment history, financial stability and capacity to pay. Subsequent to origination we review the credit quality of retail finance receivables based on customer payment activity. At March 31, 2018 and December 31, 2017, 31% and 33% of retail finance receivables were from consumers with sub-prime credit scores, which are defined as FICO scores or equivalent scores of less than 620 at the time of loan origination.</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$852 million and $778 million at March 31, 2018 and December 31, 2017. The following table summarizes the contractual amount of delinquent retail finance receivables, which is not significantly different than the recorded investment of the retail finance receivables: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Retail finance receivables classified as troubled debt restructurings and individually evaluated for impairment were $2.2 billion and the allowance for loan losses included $307 million and $328 million of specific allowances on these receivables at March 31, 2018 and December 31, 2017.</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A proprietary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March 31, 2018 and December 31, 2017.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53"/>
        </w:trPr>
        <w:tc>
          <w:tcPr>
            <w:tcW w:w="840" w:type="dxa"/>
            <w:vAlign w:val="bottom"/>
            <w:tcBorders>
              <w:bottom w:val="single" w:sz="8" w:color="CCEEFF"/>
            </w:tcBorders>
          </w:tcPr>
          <w:p>
            <w:pPr>
              <w:spacing w:after="0"/>
              <w:rPr>
                <w:sz w:val="4"/>
                <w:szCs w:val="4"/>
                <w:color w:val="auto"/>
              </w:rPr>
            </w:pPr>
          </w:p>
        </w:tc>
        <w:tc>
          <w:tcPr>
            <w:tcW w:w="70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superior financial metrics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strong financial metrics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IV</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weak financial metrics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warranting special mention due to elevated risks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VI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4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6. Inventories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4"/>
                <w:szCs w:val="24"/>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consists of leases to retail customers that are recorded as operating leases and vehicle sales to daily rental car companies with an expected repurchase obligation.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53,947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44,233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0"/>
        </w:trPr>
        <w:tc>
          <w:tcPr>
            <w:tcW w:w="7900" w:type="dxa"/>
            <w:vAlign w:val="bottom"/>
            <w:vMerge w:val="restart"/>
          </w:tcPr>
          <w:p>
            <w:pPr>
              <w:jc w:val="right"/>
              <w:ind w:right="6992"/>
              <w:spacing w:after="0"/>
              <w:rPr>
                <w:sz w:val="20"/>
                <w:szCs w:val="20"/>
                <w:color w:val="auto"/>
              </w:rPr>
            </w:pPr>
            <w:r>
              <w:rPr>
                <w:rFonts w:ascii="Arial" w:cs="Arial" w:eastAsia="Arial" w:hAnsi="Arial"/>
                <w:sz w:val="16"/>
                <w:szCs w:val="16"/>
                <w:color w:val="auto"/>
                <w:w w:val="89"/>
              </w:rPr>
              <w:t>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$43.4 billion and $42.9 billion of GM Financial equipment on operating leases, net at March 31, 2018 and December 31, 2017.</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expense related to equipment on operating leases, net was $1.8 billion and $1.5 billion in the three months ended March 31, 2018 and 2017.</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center"/>
              <w:ind w:left="562"/>
              <w:spacing w:after="0"/>
              <w:rPr>
                <w:sz w:val="20"/>
                <w:szCs w:val="20"/>
                <w:color w:val="auto"/>
              </w:rPr>
            </w:pPr>
            <w:r>
              <w:rPr>
                <w:rFonts w:ascii="Arial" w:cs="Arial" w:eastAsia="Arial" w:hAnsi="Arial"/>
                <w:sz w:val="14"/>
                <w:szCs w:val="14"/>
                <w:b w:val="1"/>
                <w:bCs w:val="1"/>
                <w:color w:val="auto"/>
                <w:w w:val="92"/>
              </w:rPr>
              <w:t>Year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rental receipts under operating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88"/>
              </w:rPr>
              <w:t>2,336</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w w:val="94"/>
              </w:rPr>
              <w:t>Note 8. Equity in Net Assets of Nonconsolidated Affiliates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w w:val="94"/>
              </w:rPr>
              <w:t>March 31, 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Other joint ventures equity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2"/>
                <w:szCs w:val="22"/>
                <w:color w:val="auto"/>
              </w:rPr>
            </w:pPr>
          </w:p>
        </w:tc>
        <w:tc>
          <w:tcPr>
            <w:tcW w:w="1280" w:type="dxa"/>
            <w:vAlign w:val="bottom"/>
          </w:tcPr>
          <w:p>
            <w:pPr>
              <w:jc w:val="right"/>
              <w:ind w:right="176"/>
              <w:spacing w:after="0"/>
              <w:rPr>
                <w:sz w:val="20"/>
                <w:szCs w:val="20"/>
                <w:color w:val="auto"/>
              </w:rPr>
            </w:pPr>
            <w:r>
              <w:rPr>
                <w:rFonts w:ascii="Arial" w:cs="Arial" w:eastAsia="Arial" w:hAnsi="Arial"/>
                <w:sz w:val="14"/>
                <w:szCs w:val="14"/>
                <w:b w:val="1"/>
                <w:bCs w:val="1"/>
                <w:color w:val="auto"/>
              </w:rPr>
              <w:t>March 31, 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China JVs' 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1,046</w:t>
            </w:r>
          </w:p>
        </w:tc>
      </w:tr>
    </w:tbl>
    <w:p>
      <w:pPr>
        <w:spacing w:after="0" w:line="12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Dividends received from our nonconsolidated affiliates were insignificant in the three months ended March 31, 2018 and 2017. We had undistributed earnings of $2.8 billion and $2.2 billion related to our nonconsolidated affiliates at March 31, 2018 and December 31, 2017. Refer to Note 10 for information related to borrowing from a nonconsolidated affiliate.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Variable Interest Entities</w:t>
      </w:r>
    </w:p>
    <w:p>
      <w:pPr>
        <w:spacing w:after="0" w:line="12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12,944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17,674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18,972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20,356</w:t>
            </w:r>
          </w:p>
        </w:tc>
      </w:tr>
      <w:tr>
        <w:trPr>
          <w:trHeight w:val="27"/>
        </w:trPr>
        <w:tc>
          <w:tcPr>
            <w:tcW w:w="7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13,502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13,202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March 31, 2018 and December 31, 2017 the fair value of automotive debt exceeded its carrying amount due primarily to a decrease in bond yields compared to yields at the time of issuance.</w:t>
      </w:r>
    </w:p>
    <w:p>
      <w:pPr>
        <w:spacing w:after="0" w:line="17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2018 we borrowed $1.3 billion from SAIC General Motors Corp., Ltd. (SGM) pursuant to a short-term unsecured note payable due in June 2018 to provide additional liquidity to support our operations. Upon repayment, we expect to receive a dividend from SGM.</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 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8"/>
          <w:szCs w:val="18"/>
          <w:color w:val="002060"/>
        </w:rPr>
        <w: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44,079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44,738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41,989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84,133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79,623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with original maturity or revolving period of 18 months or less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9 for additional information on GM Financial's involvement with VIEs. In the three months ended March 31, 2018 we issued $4.7 billion in aggregate principal amount of securitization notes payable with an initial weighted average interest rate of 2.59% and maturity dates ranging from 2022 to 2025.</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Unsecured debt consists of senior notes, credit facilities and other unsecured debt. In the three months ended March 31, 2018 we issued $3.4 billion in aggregate principal amount of senior notes with an initial weighted average interest rate of 2.30% and maturity dates ranging from 2021 to 2028.</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April 2018 we issued $2.5 billion in aggregate principal amount of senior notes with an initial weighted average interest rate of 3.80% and maturity dates ranging from 2021 to 2025.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based on asset or liability positions of derivative financial instruments in our automotive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4"/>
                <w:szCs w:val="14"/>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0"/>
        </w:trPr>
        <w:tc>
          <w:tcPr>
            <w:tcW w:w="6860" w:type="dxa"/>
            <w:vAlign w:val="bottom"/>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March 31, 2018 and December 31, 2017 and the gains/losses included in our condensed consolidated income statements for the three months ended March 31, 2018 and 2017 were insignificant, unless otherwise noted.</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the PSA warrants located in Other assets was $909 million and $764 million at March 31, 2018 and December 31, 2017.</w:t>
      </w:r>
    </w:p>
    <w:p>
      <w:pPr>
        <w:spacing w:after="0" w:line="17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The estimated dividend yield is adjusted based on the terms of the Master Agreement (the Agreement). Under the terms of the Agreement upon exercise of the warrants we are entitled to receive any dividends by PSA between the issuance date and the conversion date. Gains or losses as a result of the change in the fair value of the PSA warrants are recorded in Interest income and other non-operating income, net.</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The following table presents the notional amounts based on asset or liability positions of GM Financial's derivative financial instruments: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hedges – interest rate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flow hedges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Fair value hedges – interest rate contracts(b)(c)</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flow hedges – 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9,860</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55,581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56,782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contracts(c)(e)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fair value of these derivative instruments at March 31, 2018 and December 31, 2017 and the gains/losses included in our condensed consolidated income statements and statements of comprehensive income for the three months ended March 31, 2018 and 2017 were insignificant, unless otherwise noted.</w:t>
      </w: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liabilities was $396 million and $290 million at March 31, 2018 and December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accrued for interest payments in a net receivable position are included in Other assets.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$464 million and $329 million at March 31, 2018 and December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liabilities was $514 million and $207 million at March 31, 2018 and December 31, 2017.</w:t>
      </w:r>
    </w:p>
    <w:p>
      <w:pPr>
        <w:spacing w:after="0" w:line="203"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3"/>
          </w:tcPr>
          <w:p>
            <w:pPr>
              <w:jc w:val="right"/>
              <w:ind w:right="2522"/>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Amount of Hedged Items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jc w:val="center"/>
              <w:ind w:left="302"/>
              <w:spacing w:after="0" w:line="153" w:lineRule="exact"/>
              <w:rPr>
                <w:sz w:val="20"/>
                <w:szCs w:val="20"/>
                <w:color w:val="auto"/>
              </w:rPr>
            </w:pPr>
            <w:r>
              <w:rPr>
                <w:rFonts w:ascii="Arial" w:cs="Arial" w:eastAsia="Arial" w:hAnsi="Arial"/>
                <w:sz w:val="14"/>
                <w:szCs w:val="14"/>
                <w:b w:val="1"/>
                <w:bCs w:val="1"/>
                <w:color w:val="auto"/>
                <w:w w:val="94"/>
              </w:rPr>
              <w:t>Cumulative Amount of Fair Value Hedging</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2"/>
              </w:rPr>
              <w:t>Adjustments(a)</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jc w:val="right"/>
              <w:ind w:right="2234"/>
              <w:spacing w:after="0"/>
              <w:rPr>
                <w:sz w:val="20"/>
                <w:szCs w:val="20"/>
                <w:color w:val="auto"/>
              </w:rPr>
            </w:pPr>
            <w:r>
              <w:rPr>
                <w:rFonts w:ascii="Arial" w:cs="Arial" w:eastAsia="Arial" w:hAnsi="Arial"/>
                <w:sz w:val="18"/>
                <w:szCs w:val="18"/>
                <w:color w:val="auto"/>
                <w:w w:val="92"/>
              </w:rPr>
              <w:t>GM Financial long-term debt</w:t>
            </w:r>
          </w:p>
        </w:tc>
        <w:tc>
          <w:tcPr>
            <w:tcW w:w="282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7"/>
              </w:rPr>
              <w:t>13,672</w:t>
            </w:r>
          </w:p>
        </w:tc>
        <w:tc>
          <w:tcPr>
            <w:tcW w:w="10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jc w:val="right"/>
              <w:ind w:right="284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602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tcPr>
          <w:p>
            <w:pPr>
              <w:jc w:val="right"/>
              <w:ind w:right="3554"/>
              <w:spacing w:after="0"/>
              <w:rPr>
                <w:sz w:val="20"/>
                <w:szCs w:val="20"/>
                <w:color w:val="auto"/>
              </w:rPr>
            </w:pPr>
            <w:r>
              <w:rPr>
                <w:rFonts w:ascii="Arial" w:cs="Arial" w:eastAsia="Arial" w:hAnsi="Arial"/>
                <w:sz w:val="16"/>
                <w:szCs w:val="16"/>
                <w:color w:val="auto"/>
                <w:w w:val="87"/>
              </w:rPr>
              <w:t>__________</w:t>
            </w:r>
          </w:p>
        </w:tc>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$163 million of hedging adjustments remaining on hedged items for which hedge accounting has been discontinued.</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Product Warranty and Related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22"/>
                <w:szCs w:val="22"/>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9,069</w:t>
            </w:r>
          </w:p>
        </w:tc>
      </w:tr>
      <w:tr>
        <w:trPr>
          <w:trHeight w:val="289"/>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w:t>
            </w:r>
          </w:p>
        </w:tc>
        <w:tc>
          <w:tcPr>
            <w:tcW w:w="200" w:type="dxa"/>
            <w:vAlign w:val="bottom"/>
          </w:tcPr>
          <w:p>
            <w:pPr>
              <w:spacing w:after="0"/>
              <w:rPr>
                <w:sz w:val="24"/>
                <w:szCs w:val="24"/>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30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product warranty</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9,063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March 31, 2018. Refer to Note 14 for reasonably possible losses on Takata Corporation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2018</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5"/>
              </w:rPr>
              <w:t>Three Months Ended March 31, 2017</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non-service cost components of the net periodic pension and OPEB income of $421 million and $329 million in the three months ended March 31, 2018 and 2017 are presented in Interest income and other non-operating income, net. We elected to use the 2017 amounts disclosed above as the practical expedient for determining the retrospective presentation. Refer to Note 1 for additional details on the adoption of ASU 2017-07.</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expect to contribute approximately $1.2 billion to our non-U.S. pension plans in 2018, inclusive of the Korea payment of pension obligations for separated employees. Refer to Note 16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Litigation-Related Liability and Tax Administrative Matters </w:t>
      </w:r>
      <w:r>
        <w:rPr>
          <w:rFonts w:ascii="Arial" w:cs="Arial" w:eastAsia="Arial" w:hAnsi="Arial"/>
          <w:sz w:val="17"/>
          <w:szCs w:val="17"/>
          <w:color w:val="auto"/>
        </w:rPr>
        <w:t>In the normal course of our business, we are named from time to time as a defendant in</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legal actions, including arbitrations, class actions and other litigation. We identify below the material individual proceedings and investigations in connection with which we believe a material loss is reasonably possible or probable. We accrue for matters when we believe that losses are probable and can be reasonably estimated. At March 31, 2018 and December 31, 2017 accruals of $941 million and $930 million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results of operations or cash flows in any particular reporting period.</w:t>
      </w:r>
    </w:p>
    <w:p>
      <w:pPr>
        <w:spacing w:after="0" w:line="17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 xml:space="preserve">Economic-Loss Claims </w:t>
      </w:r>
      <w:r>
        <w:rPr>
          <w:rFonts w:ascii="Arial" w:cs="Arial" w:eastAsia="Arial" w:hAnsi="Arial"/>
          <w:sz w:val="18"/>
          <w:szCs w:val="18"/>
          <w:color w:val="auto"/>
        </w:rPr>
        <w:t>We are aware of over 100 putative class actions pending against GM in various courts in the U.S. and Canada alleging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who purchased or leased vehicles manufactured by GM or Motors Liquidation Company (formerly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Many of the pending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Motors Liquidation Company. The Southern District has dismissed various of these claims, including claims under the Racketeer Influenced and Corrupt Organization Act, claims for recovery for alleged reduction in the value of plaintiffs' vehicles due to damage to GM’s reputation and brand as a result of the ignition switch matter, and claims of plaintiffs who purchased a vehicle before GM came into existence in July 2009. The Southern District also dismissed certain state law claims at issue.</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successor liability claims of plaintiffs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holding that plaintiffs cannot advance successor liability claims in any state where New York law applies.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Personal Injury Claims </w:t>
      </w:r>
      <w:r>
        <w:rPr>
          <w:rFonts w:ascii="Arial" w:cs="Arial" w:eastAsia="Arial" w:hAnsi="Arial"/>
          <w:sz w:val="18"/>
          <w:szCs w:val="18"/>
          <w:color w:val="auto"/>
        </w:rPr>
        <w:t>We also are aware of several hundred actions pending in various courts in the U.S. and Canada alleging injury or death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defects that may be the subject of the 2014 recalls (personal injury cases). In general, these cases seek recovery for purported compensatory damages, punitive damages and other relief. Since 2016, several bellwether trials of personal injury cases have taken place in the Southern District and in a Texas state court, which is administering a Texas state multi-district litigation (MDL). None of these trials resulted in a finding of liability against GM. We are currently preparing for two additional bellwether trials in the MDL.</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2015 the U.S. Bankruptcy Court for the Southern District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Court) issued a decision precluding claims against us based upon pre-sale accidents, claims based upon the acts or conduct by Motors Liquidation Company and claims asserting successor liability for obligations owed by Motors Liquidation Company (successor liability claims), except for claims asserting liabilities that had been expressly assumed by us in the Amended and Restated Master Sale and Purchase Agreement, and certain claims arising solely out of our own independent post-sale acts.</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2016, the United States Court of Appeals for the Second Circuit (Second Circuit) held that the Bankruptcy Court's 2009 order approving the sale of substantially all of the assets of Motors Liquidation Company to GM free and clear of, among other things, successor liability claims could not be enforced to bar claims against GM asserted by either plaintiffs who purchased used vehicles after the sale or against purchasers who asserted claims relating to the ignition switch defect, including pre-sale personal injury claims and economic-loss claims. In 2017, the United States Supreme Court denied our petition for certiorari. Certain of these pre-sale claims were resolved through GM's Compensation Program. Plaintiffs asserting pre-sale claims related to the ignition switch defect that were not resolved by the Compensation Program must still establish their right to assert successor liability claims and demonstrate that their claims have merit.</w:t>
      </w:r>
    </w:p>
    <w:p>
      <w:pPr>
        <w:spacing w:after="0" w:line="18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us and Motors Liquidation Company we</w:t>
      </w:r>
      <w:r>
        <w:rPr>
          <w:rFonts w:ascii="Arial" w:cs="Arial" w:eastAsia="Arial" w:hAnsi="Arial"/>
          <w:sz w:val="17"/>
          <w:szCs w:val="17"/>
          <w:i w:val="1"/>
          <w:iCs w:val="1"/>
          <w:color w:val="auto"/>
        </w:rPr>
        <w:t xml:space="preserve"> </w:t>
      </w:r>
      <w:r>
        <w:rPr>
          <w:rFonts w:ascii="Arial" w:cs="Arial" w:eastAsia="Arial" w:hAnsi="Arial"/>
          <w:sz w:val="17"/>
          <w:szCs w:val="17"/>
          <w:color w:val="auto"/>
        </w:rPr>
        <w:t>may be obligated to issue additional shares (Adjustment Shares) of our common stock in the event that allowed general unsecured claims against the Motors Liquidation Company GUC Trust (GUC Trust), as estimated by the Bankruptcy Court, exceed $35.0 billion. The maximum number of shares issuable is 30 million shares (subject to adjustment to take into account stock dividends, stock splits and other transactions). On December 31, 2017, the GUC Trust stated in public filings that allowed general unsecured claims were approximately $31.9 billion. In August 2017, a group of plaintiffs’ attorneys alleged that they had an agreement to settle “late claims” against the GUC Trust (i.e., claims filed after the deadline established by the Bankruptcy Court). Although the Bankruptcy Court ruled in January 2018 that the alleged settlement agreement was not binding or enforceable, litigation continues over whether late claims can be asserted against the GUC Trust. On April 25, 2018, the GUC Trust filed a letter with the Bankruptcy Court alleging that it had signed a settlement agreement with certain economic loss plaintiffs and certain of the ignition switch pre-closing accident plaintiffs (the parties seeking to assert late claims). Details of the settlement were not disclosed, and the GUC Trust stated that the settlement agreement would be submitted to the Bankruptcy Court for approval 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before May 2, 2018. If such late claims are allowed by the Bankruptcy Court for certain aggregate amounts sought by plaintiffs, then GM may be required to issue Adjustment Shares to the GUC Trust. We are currently unable to estimate any reasonably possible loss or range of loss that may result from this matter.</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Securities and Derivative Matter</w:t>
      </w:r>
      <w:r>
        <w:rPr>
          <w:rFonts w:ascii="Arial" w:cs="Arial" w:eastAsia="Arial" w:hAnsi="Arial"/>
          <w:sz w:val="18"/>
          <w:szCs w:val="18"/>
          <w:color w:val="auto"/>
        </w:rPr>
        <w:t>s In a putative shareholder class action filed in the United States District Court for the Eastern District of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(Eastern District) on behalf of purchasers of our common stock from November 17, 2010 to July 24, 2014, the lead plaintiff alleged that GM and several current and former officers and employees made material misstatements and omissions relating to problems with the ignition switch and other matters in SEC filings and other public statements. In 2016 the Eastern District entered a judgment approving a class-wide settlement of the class action for $300 million. One shareholder filed an appeal of the decision approving the settlement. The United States Court of Appeals for the Sixth Circuit affirmed the judgment approving the settlement in November 2017. The objector subsequently filed petitions for rehearing and for en banc review before the entire Sixth Circuit. Both of those petitions were denied.</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Three shareholder derivative actions against certain current and former GM directors and officers are pending in the Eastern District. In the first two cases, which are consolidated, the parties are currently briefing a motion to dismiss the plaintiffs' amended complaint. The Eastern District dismissed the third action in March 2018. In addition, two derivative actions filed in the Circuit Court of Wayne County, Michigan, which have been consolidated, are also stayed pending disposition of the federal derivative actions.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Government Matters </w:t>
      </w:r>
      <w:r>
        <w:rPr>
          <w:rFonts w:ascii="Arial" w:cs="Arial" w:eastAsia="Arial" w:hAnsi="Arial"/>
          <w:sz w:val="17"/>
          <w:szCs w:val="17"/>
          <w:color w:val="auto"/>
        </w:rPr>
        <w:t>In connection with the 2014 recalls, we have from time to time received subpoenas and other requests for information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investigations by agencies or other representatives of U.S. federal, state and the Canadian governments. In March 2018, we conclusively resolved a civil action initiated by the Arizona Attorney General.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Deferred Prosecution Agreement </w:t>
      </w:r>
      <w:r>
        <w:rPr>
          <w:rFonts w:ascii="Arial" w:cs="Arial" w:eastAsia="Arial" w:hAnsi="Arial"/>
          <w:sz w:val="18"/>
          <w:szCs w:val="18"/>
          <w:color w:val="auto"/>
        </w:rPr>
        <w:t>In September 2015, GM entered into the Deferred Prosecution Agreement (DPA) with the U.S. Attorney's Office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District of New York (U.S. Attorney's Office) regarding its investigation of the events leading up to certain recalls regarding faulty ignition switches.</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Pursuant to the DPA we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U.S. Attorney's Office agreed to recommend to the Southern District that prosecution of GM on a two-count information (the Information) filed in the Southern District be deferred for three years. The U.S. Attorney's Office also agreed that if we are in compliance with all of our obligations under the DPA, the U.S. Attorney's Office will, within 30 days after the expiration of the period of deferral (including any extensions thereto), seek dismissal with prejudice of the Information. For a further description of the terms and conditions of the DPA refer to Note 17 of our 2017 Form 10-K.</w:t>
      </w:r>
    </w:p>
    <w:p>
      <w:pPr>
        <w:spacing w:after="0" w:line="17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total amount accrued for the 2014 recalls at March 31, 2018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for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We will continue to consider resolution of pending matters involving ignition switch recalls and other recalls where it makes sense to do so.</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Korea Wage Litigation </w:t>
      </w:r>
      <w:r>
        <w:rPr>
          <w:rFonts w:ascii="Arial" w:cs="Arial" w:eastAsia="Arial" w:hAnsi="Arial"/>
          <w:sz w:val="16"/>
          <w:szCs w:val="16"/>
          <w:color w:val="auto"/>
        </w:rPr>
        <w:t>GM Korea Company (GM Korea) is party to litigation with current and former hourly employees in the appellate court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Incheon District Court in Incheon, Korea. The group actions, which in the aggregate involve more than 10,000 employees, 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largely agreed with GM’s legal arguments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Supreme Court. The Supreme Court has not yet rendered a decision. We estimate our reasonably possible loss in excess of amounts accrued to be approximately $600 million at March 31, 2018. Both the scope of claims asserted and GM Korea's assessment of any or all of the individual claim elements may change if new information becomes available or the legal or regulatory framework change.</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Supreme Court. The Supreme Court has not yet rendered a decision. We estimate our reasonably possible loss in excess of amounts accrued to be approximately $200 million at March 31, 2018. Both the scope of claims asserted and GM Korea's assessment of any or all of the individual claim elements may change if new information becomes available or the legal or regulatory framework change.</w:t>
      </w:r>
    </w:p>
    <w:p>
      <w:pPr>
        <w:spacing w:after="0" w:line="15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Korea is also party to litigation with current and former subcontract workers over allegations that they are entitled to the same wages and benefits provided to full-time employees, and to be hired as full-time employees. At March 31, 2018, we recorded an insignificant accrual covering certain asserted claims. We estimate that the reasonably possible loss in excess of amounts accrued for other current subcontract workers who may assert similar claims to be approximately $150 million at March 31, 2018. We have discussed with other stakeholders our concerns that any additional claims from current or former subcontract workers would significantly jeopardize the success of the viability plan we have proposed for GM Korea. We believe that the stakeholders have a strong incentive to find a solution that will not undermine the viability plan, but cannot be certain how these asserted claims and any additional claims by either current or former subcontract workers will be resolved.</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March 2017 the Supreme Court of Brazil issued a decision concluding that a certain state value added tax should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in the calculation of federal gross receipts taxes. The decision reduces GM Brazil’s gross receipts tax prospectively and, potentially, retrospectively. The retrospective right to recover is under judicial review. If the Supreme Court of Brazil grants retrospective recovery, we estimate potential recoveries of up to $1.4 billion. However, given the remaining uncertainty regarding the ultimate judicial resolution of this matter we are unable to assess the likelihood of any favorable outcome at this time. We have not recorded any amounts relating to the retrospective nature of this matter.</w:t>
      </w:r>
    </w:p>
    <w:p>
      <w:pPr>
        <w:spacing w:after="0" w:line="17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 claims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proceedings are pending against us or our related companies or joint ventures, including matters arising out of alleged product defects; employment-related matters; product and workplace safety, vehicle emissions, including CO</w:t>
      </w:r>
      <w:r>
        <w:rPr>
          <w:rFonts w:ascii="Arial" w:cs="Arial" w:eastAsia="Arial" w:hAnsi="Arial"/>
          <w:sz w:val="11"/>
          <w:szCs w:val="11"/>
          <w:color w:val="auto"/>
        </w:rPr>
        <w:t>2</w:t>
      </w:r>
      <w:r>
        <w:rPr>
          <w:rFonts w:ascii="Arial" w:cs="Arial" w:eastAsia="Arial" w:hAnsi="Arial"/>
          <w:sz w:val="17"/>
          <w:szCs w:val="17"/>
          <w:color w:val="auto"/>
        </w:rPr>
        <w:t xml:space="preserve"> and nitrogen oxide, fuel economy, and related governmental regulations; product warranties; financial services; dealer, supplier and other contractual relationships; government regulations relating to payments to foreign companies; government regulations relating to competition issues; tax-related matters not subject to the provision of ASC 740, Income Taxes (indirect tax-related matters); product design, manufacture and performance; consumer protection laws; and environmental protection laws, including laws regulating air emissions, water discharges, waste management and environmental remediation.</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also faces a series of additional lawsuits based primarily on allegations in the Duramax suit, including putative shareholder class actions claiming violations of federal securities law. The securities and shareholder demand lawsuits have been voluntarily stayed by the plaintiffs. At this stage of these proceedings, we are unable to provide an evaluation of the likelihood that a loss will be incurred or an estimate of the amounts or range of possible loss.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$250 million to $650 million at March 31, 2018. Some of the matters may involve compensatory, punitive or other treble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damage claims, environmental remediation programs or sanctions that, if granted, could require us to pay damages or make other expenditures in amounts that could not be reasonably estimated at March 31, 2018. We believe that appropriate accruals have been established for losses that are probable and can be reasonably estimated. For indirect tax-related matters we estimate our reasonably possible loss in excess of amounts accrued to be up to approximately $1.0 billion at March 31, 2018.</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 defect</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is engaged in discussions with regulators outside the U.S. with respect to Takata inflators. There are significant differences in vehicle and inflator design between the relevant vehicles sold internationally and those sold in the U.S. We continue to gather and analyze evidence about these inflators and to share our findings with regulators. We were required to recall certain vehicles sold outside of the U.S. in the three months ended March 31, 2018 to replace Takata inflators in these vehicles. Additional recalls, if any, could be material to our results of operations and cash flows. We continue to monitor the international situation.</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Through April 17, 2018 we are aware of three putative class actions pending against GM in federal court in the U.S., one putative class action in Mexico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With respect to product liability claims (other than claims relating to the ignition switch recalls discussed above) involving our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March 31, 2018 and December 31, 2017 liabilities of $576 million and $595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We also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vehicle repurchase guarantees and payment guarantees on commercial loans outstanding with third parties such as dealers. These guarantees terminate in years ranging from 2018 to 2032 or upon the occurrence of specific events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are ongoing. We believe that the related potential costs incurred are adequately covered and our recorded accruals are insignificant. The maximum liability, calculated as future undiscounted payments, was $5.1 billion for these guarantees at March 31, 2018 and December 31, 2017, the majority of which relate to the indemnification agreements.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2008 to 2017 with various significant tax jurisdictions.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2018 Income tax expense of $466 million primarily resulted from tax expense attributable to entities included in our effective tax rate calculation. The recorded effective tax rate is higher than the applicable statutory tax rate due primarily to losses incurred in jurisdictions for which a valuation allowance is recorded. In the three months ended March 31, 2017 Income tax expense of $787 million primarily resulted from tax expense attributable to entities included in our effective tax rate calculation of $898 million including tax benefits from foreign dividends, partially offset by tax benefits related to tax settlements.</w:t>
      </w:r>
    </w:p>
    <w:p>
      <w:pPr>
        <w:spacing w:after="0" w:line="188"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At March 31, 2018 we had $22.8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4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Tax Act was signed into law on December 22, 2017. The Tax Act changed many aspects of U.S. corporate income taxation and included reduction of the corporate income tax rate from 35% to 21%, implementation of a territorial tax system and imposition of a tax on deemed repatriated earnings of foreign subsidiaries. We recognized the tax effects of the Tax Act in the three months ended December 31, 2017 and recorded $7.3 billion in tax expense. The tax expense relates almost entirely to the remeasurement of deferred tax assets to the 21% tax rate. Upon completion of our 2017 U.S. income tax return later in 2018 we may identify additional remeasurement adjustments to our recorded deferred tax assets. We will continue to assess our provision for income taxes as future guidance is issued but do not currently anticipate significant revisions will be necessary. Any such revisions will be treated in accordance with the measurement period guidance outlined in Staff Accounting Bulletin No. 118.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and Other Initiatives</w:t>
      </w:r>
    </w:p>
    <w:p>
      <w:pPr>
        <w:spacing w:after="0" w:line="12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have executed various restructuring and other initiatives and we may execute additional initiatives in the future, if necessary, to streamline manufacturing capacity and other costs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 summarizes the reserves and charges related to restructuring and other initiatives, including postemployment benefit reserves and charges: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1"/>
                <w:szCs w:val="21"/>
                <w:color w:val="auto"/>
              </w:rPr>
            </w:pPr>
          </w:p>
        </w:tc>
        <w:tc>
          <w:tcPr>
            <w:tcW w:w="3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2018 restructuring and other initiatives primarily included the closure of a facility by the end of May 2018 and other restructuring actions in Korea. We recorded charges of $900 million in GMI consisting of $464 million in non-cash asset impairments, not reflected in the table above, and $436 million in employee separation charges, which are reflected in the table above, in the three months ended March 31, 2018. We expect to incur approximately $100 million in additional employee separation charges and approximately $800 million in cash outflows for employee separations and statutory pension payments, primarily in the three months ending June 30, 2018. Restructuring and other initiatives were insignificant in the three months ended March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 and Noncontrolling Interests</w:t>
      </w:r>
    </w:p>
    <w:p>
      <w:pPr>
        <w:spacing w:after="0" w:line="12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had 2.0 billion shares of preferred stock and 5.0 billion shares of common stock authorized for issuance and 1.4 billion shares of common stock issued and outstanding at March 31, 2018 and December 31, 2017. In the three months ended March 31, 2018 we purchased three million shares of our outstanding common stock for $100 million as part of the common stock repurchase program announced in March 2015, which our Board of Directors increased and extended in January 2016 and January 2017. We did not purchase shares of our outstanding common stock in the three months ended March 31, 2017. Our total dividends paid on common stock were $536 million and $573 million in the three months ended March 31, 2018 and 2017.</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4"/>
              </w:rPr>
              <w:t>Other comprehensive income and noncontrolling interests, net of reclassification adjustment, tax and impact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adoption of accounting standards(a)(b)(c)(d)</w:t>
            </w:r>
          </w:p>
        </w:tc>
        <w:tc>
          <w:tcPr>
            <w:tcW w:w="20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loss before reclassification adjustment, net of tax and impact of adoption of accounting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standards(c)(d)</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Reclassification adjustment, net of tax(c)</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 and impact of adoption of accounting standards(c)(d)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(6,524)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(6,997)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noncontrolling interests were insignificant in the three months ended March 31, 2018 and 2017.</w:t>
      </w:r>
    </w:p>
    <w:p>
      <w:pPr>
        <w:spacing w:after="0" w:line="1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The reclassification adjustment was insignificant in the three months ended March 31, 2018 and 2017.</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The income tax effect was insignificant in the three months ended March 31, 2018 and 2017.</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Refer to Note 1 for additional information on adoption of accounting standards.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7"/>
                <w:szCs w:val="17"/>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31, 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cumulative dividends on GM Financial preferred stock</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 – diluted(a)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2,608</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Potentially dilutive securities(b)</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20"/>
        </w:trPr>
        <w:tc>
          <w:tcPr>
            <w:tcW w:w="8340" w:type="dxa"/>
            <w:vAlign w:val="bottom"/>
          </w:tcPr>
          <w:p>
            <w:pPr>
              <w:spacing w:after="0"/>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of Net (income)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Discontinued Operations</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5, 2017 we entered into the Agreement to sell our European Business to PSA Group. On July 31, 2017 we closed the sale of our Opel/Vauxhall Business to PSA Group, and on October 31, 2017 we closed the sale of the Fincos to Banque PSA Finance S.A. and BNP Paribas Personal Finance S.A. For a further description of the terms and conditions of the Agreement refer to Note 3 of our 2017 Form 10-K.</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Our wholly owned subsidiary (the Seller) has agreed to indemnify PSA Group for certain losses resulting from any inaccuracy of the representations and warranties or breaches of our covenants included in the Agreement and for certain other liabilities including emissions and product liabilities. The Company has entered into a guarantee for the benefit of PSA Group and pursuant to which the Company has agreed to guarantee the Seller's obligation to indemnify PSA Group. Certain of these indemnification obligations are subject to time limitations, thresholds and/or caps as to the amount of required payments. We are currently unable to estimate any reasonably possible overall amounts or range of loss that may result from claims made under these indemnities, if any.</w:t>
      </w:r>
    </w:p>
    <w:p>
      <w:pPr>
        <w:spacing w:after="0" w:line="15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2017, PSA Group provided a number of post-closing working capital and other adjustments under the Agreement and other ancillary agreements. During the three months ended March 31, 2018, we reached final agreement with PSA Group with respect to these adjustments, as well as certain other matters related to the European Business. The cost of resolving these matters is classified in discontinued operations and was insignificant.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will purchase from and supply to PSA Group certain vehicles for a period of time following closing. Total net sales and revenue of $607 million and purchases and expenses of $476 million related to transactions with the Opel/Vauxhall Business were included in continuing operations during the three months ended March 31, 2018. Cash payments were $426 million and cash receipts of $811 million were recorded in Net cash provided by (used in) operating activities – continuing operations related to transactions with the Opel/Vauxhall Business during the three months ended March 31, 2018.</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the European Business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GM Financial net sales and revenue</w:t>
            </w:r>
          </w:p>
        </w:tc>
        <w:tc>
          <w:tcPr>
            <w:tcW w:w="20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cost of sales</w:t>
            </w:r>
          </w:p>
        </w:tc>
        <w:tc>
          <w:tcPr>
            <w:tcW w:w="20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4,560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interest, operating and 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20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items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discontinued operations before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loss from discontinued operations before taxes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29"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analyze the results of our business through the following segments: GMNA, GMI and GM Financial. As discussed in Note 1, the European Business is presented as discontinued operations and is excluded from our segment results for all periods presented. The European Business was previously reported as our GM Europe (GME) segment and part of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6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operations' interest income and interest expense, Maven, legacy costs from the Opel/Vauxhall Business (primarily pension costs), corporate expenditures including autonomous vehicle-related engineering and other costs and certain nonsegment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specific revenues and expenses are recorded centrally in Corporate. Corporate assets consist primarily of cash and cash equivalents, marketable securities, our investment in Lyft, Inc. (Lyft), goodwill, intangibles, Maven vehicles and intercompany balances. Retained net underfunded pension liabilities related to the European Business are also recorded in Corporate. All intersegment balances and transactions have been eliminated in consolidation.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1"/>
          </w:tcPr>
          <w:p>
            <w:pPr>
              <w:ind w:left="480"/>
              <w:spacing w:after="0"/>
              <w:rPr>
                <w:sz w:val="20"/>
                <w:szCs w:val="20"/>
                <w:color w:val="auto"/>
              </w:rPr>
            </w:pPr>
            <w:r>
              <w:rPr>
                <w:rFonts w:ascii="Arial" w:cs="Arial" w:eastAsia="Arial" w:hAnsi="Arial"/>
                <w:sz w:val="13"/>
                <w:szCs w:val="13"/>
                <w:b w:val="1"/>
                <w:bCs w:val="1"/>
                <w:color w:val="auto"/>
              </w:rPr>
              <w:t>At and For the Three Months Ended March 31, 2018</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GMNA</w:t>
            </w: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16"/>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27,818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32,715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36,099</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Earnings (loss) before interest and taxes-adjusted</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2,233</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2,163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2,610</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64</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210"/>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1,576</w:t>
            </w:r>
          </w:p>
        </w:tc>
      </w:tr>
      <w:tr>
        <w:trPr>
          <w:trHeight w:val="210"/>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1,110</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1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r>
      <w:tr>
        <w:trPr>
          <w:trHeight w:val="255"/>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1,046</w:t>
            </w:r>
          </w:p>
        </w:tc>
      </w:tr>
      <w:tr>
        <w:trPr>
          <w:trHeight w:val="198"/>
        </w:trPr>
        <w:tc>
          <w:tcPr>
            <w:tcW w:w="3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Equity in net assets of nonconsolidated affiliates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8,525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8,602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9,883</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101,247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218,726</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1,109</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3,097</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484</w:t>
            </w:r>
          </w:p>
        </w:tc>
      </w:tr>
      <w:tr>
        <w:trPr>
          <w:trHeight w:val="200"/>
        </w:trPr>
        <w:tc>
          <w:tcPr>
            <w:tcW w:w="36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7"/>
                <w:szCs w:val="17"/>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594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648</w:t>
            </w:r>
          </w:p>
        </w:tc>
      </w:tr>
      <w:tr>
        <w:trPr>
          <w:trHeight w:val="201"/>
        </w:trPr>
        <w:tc>
          <w:tcPr>
            <w:tcW w:w="3660" w:type="dxa"/>
            <w:vAlign w:val="bottom"/>
          </w:tcPr>
          <w:p>
            <w:pPr>
              <w:spacing w:after="0"/>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Consists of charges related to restructuring actions in Korea in GMI.</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1"/>
          </w:tcPr>
          <w:p>
            <w:pPr>
              <w:ind w:left="480"/>
              <w:spacing w:after="0"/>
              <w:rPr>
                <w:sz w:val="20"/>
                <w:szCs w:val="20"/>
                <w:color w:val="auto"/>
              </w:rPr>
            </w:pPr>
            <w:r>
              <w:rPr>
                <w:rFonts w:ascii="Arial" w:cs="Arial" w:eastAsia="Arial" w:hAnsi="Arial"/>
                <w:sz w:val="13"/>
                <w:szCs w:val="13"/>
                <w:b w:val="1"/>
                <w:bCs w:val="1"/>
                <w:color w:val="auto"/>
              </w:rPr>
              <w:t>At and For the Three Months Ended March 31, 2017</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GMNA</w:t>
            </w:r>
          </w:p>
        </w:tc>
        <w:tc>
          <w:tcPr>
            <w:tcW w:w="1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16"/>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29,338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5,138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34,650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37,266</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Earnings (loss) before interest and taxes-adjusted</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3,471</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3,326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3,554</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57</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r>
      <w:tr>
        <w:trPr>
          <w:trHeight w:val="210"/>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noncontrolling interests</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3,473</w:t>
            </w:r>
          </w:p>
        </w:tc>
      </w:tr>
      <w:tr>
        <w:trPr>
          <w:trHeight w:val="210"/>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2,686</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21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255"/>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2,608</w:t>
            </w:r>
          </w:p>
        </w:tc>
      </w:tr>
      <w:tr>
        <w:trPr>
          <w:trHeight w:val="198"/>
        </w:trPr>
        <w:tc>
          <w:tcPr>
            <w:tcW w:w="3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Equity in net assets of nonconsolidated affiliates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8,341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8,418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9,416</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assets(a)</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105,968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94,684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230,793</w:t>
            </w:r>
          </w:p>
        </w:tc>
      </w:tr>
      <w:tr>
        <w:trPr>
          <w:trHeight w:val="208"/>
        </w:trPr>
        <w:tc>
          <w:tcPr>
            <w:tcW w:w="366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1,102</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2,722</w:t>
            </w: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r>
      <w:tr>
        <w:trPr>
          <w:trHeight w:val="200"/>
        </w:trPr>
        <w:tc>
          <w:tcPr>
            <w:tcW w:w="366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7"/>
                <w:szCs w:val="17"/>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504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555</w:t>
            </w:r>
          </w:p>
        </w:tc>
      </w:tr>
      <w:tr>
        <w:trPr>
          <w:trHeight w:val="201"/>
        </w:trPr>
        <w:tc>
          <w:tcPr>
            <w:tcW w:w="3660" w:type="dxa"/>
            <w:vAlign w:val="bottom"/>
          </w:tcPr>
          <w:p>
            <w:pPr>
              <w:spacing w:after="0"/>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Assets in Corporate and GM Financial include assets classified as held for sale.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2017 Form 10-K.</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European Business is presented as discontinued operations in our condensed consolidated financial statements for all periods presented. Unless otherwise indicated, information in this report relates to our continuing operations.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2017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Non-GAAP Measures </w:t>
      </w:r>
      <w:r>
        <w:rPr>
          <w:rFonts w:ascii="Arial" w:cs="Arial" w:eastAsia="Arial" w:hAnsi="Arial"/>
          <w:sz w:val="16"/>
          <w:szCs w:val="16"/>
          <w:color w:val="auto"/>
        </w:rPr>
        <w:t>Unless otherwise indicated, our non-GAAP measures discussed in this MD&amp;A are related to our continuing operations and not our</w:t>
      </w:r>
      <w:r>
        <w:rPr>
          <w:rFonts w:ascii="Arial" w:cs="Arial" w:eastAsia="Arial" w:hAnsi="Arial"/>
          <w:sz w:val="16"/>
          <w:szCs w:val="16"/>
          <w:b w:val="1"/>
          <w:bCs w:val="1"/>
          <w:color w:val="auto"/>
        </w:rPr>
        <w:t xml:space="preserve"> </w:t>
      </w:r>
      <w:r>
        <w:rPr>
          <w:rFonts w:ascii="Arial" w:cs="Arial" w:eastAsia="Arial" w:hAnsi="Arial"/>
          <w:sz w:val="16"/>
          <w:szCs w:val="16"/>
          <w:color w:val="auto"/>
        </w:rPr>
        <w:t>discontinued operations. Our non-GAAP measures include earnings before interest and taxes (EBIT)-adjusted, presented net of noncontrolling interests, Core EBIT-adjusted, EPS-diluted-adjusted, effective tax rate-adjusted (ETR-adjusted), return on invested capital-adjusted (ROIC-adjusted), adjusted automotive free cash flow and Core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EBIT-adjusted </w:t>
      </w:r>
      <w:r>
        <w:rPr>
          <w:rFonts w:ascii="Arial" w:cs="Arial" w:eastAsia="Arial" w:hAnsi="Arial"/>
          <w:sz w:val="18"/>
          <w:szCs w:val="18"/>
          <w:color w:val="auto"/>
        </w:rPr>
        <w:t>EBIT-adjusted is presented net of noncontrolling interests and is used by management and can be used by investors to review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 significant impact from the item.</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Core EBIT-adjusted </w:t>
      </w:r>
      <w:r>
        <w:rPr>
          <w:rFonts w:ascii="Arial" w:cs="Arial" w:eastAsia="Arial" w:hAnsi="Arial"/>
          <w:sz w:val="18"/>
          <w:szCs w:val="18"/>
          <w:color w:val="auto"/>
        </w:rPr>
        <w:t>Core EBIT-adjusted is used by management and can be used by investors to review our core consolidated operating results.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EBIT-adjusted begins with EBIT-adjusted and excludes the EBIT-adjusted results of our autonomous vehicle operations, including Cruise Automation Inc. (Cruise), Maven and our investment in Lyft.</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ETR-adjusted </w:t>
      </w:r>
      <w:r>
        <w:rPr>
          <w:rFonts w:ascii="Arial" w:cs="Arial" w:eastAsia="Arial" w:hAnsi="Arial"/>
          <w:sz w:val="17"/>
          <w:szCs w:val="17"/>
          <w:color w:val="auto"/>
        </w:rPr>
        <w:t>ETR-adjusted is used by management and can be used by investors to review the consolidated effective tax rate for our core operations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same period. Adjustments to the average equity balances exclude assets and liabilities classified as either assets held for sale or liabilities held for sale.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Adjusted automotive free cash flow </w:t>
      </w:r>
      <w:r>
        <w:rPr>
          <w:rFonts w:ascii="Arial" w:cs="Arial" w:eastAsia="Arial" w:hAnsi="Arial"/>
          <w:sz w:val="18"/>
          <w:szCs w:val="18"/>
          <w:color w:val="auto"/>
        </w:rPr>
        <w:t>Adjusted automotive free cash flow is used by management and can be used by investors to review the liquidity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plant closure that are considered special for EBIT-adjusted purposes. Refer to the "Liquidity and Capital Resources" section of this MD&amp;A for our reconciliation of Net automotive cash provided by (used in) operating activities under U.S. GAAP to this non-GAAP measure.</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Core adjusted automotive free cash flow </w:t>
      </w:r>
      <w:r>
        <w:rPr>
          <w:rFonts w:ascii="Arial" w:cs="Arial" w:eastAsia="Arial" w:hAnsi="Arial"/>
          <w:sz w:val="18"/>
          <w:szCs w:val="18"/>
          <w:color w:val="auto"/>
        </w:rPr>
        <w:t>Core adjusted automotive free cash flow is used by management and can be used by investors to review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liquidity of our automotive operations and to measure and monitor our performance against our capital allocation program and evaluate our automotive liquidity against the substantial cash requirements of our automotive operations. Core adjusted automotive free cash flow begins with adjusted automotive free cash flow from continuing operations and excludes the free cash flows of our autonomous vehicle operations, including Cruise, Maven and our investment in Lyft.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3"/>
              </w:rPr>
              <w:t>(Income) loss from discontinued operations,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 restructuring(a)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Ignition switch recall and related legal</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matters(b)</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 in the three months ended March 31, 2018 primarily consists of asset impairments and employee separation costs in Korea. The adjustment in the three months ended June 30, 2017 primarily consists of asset impairments and other restructuring actions in India, South Africa and Venezuela.</w:t>
      </w:r>
    </w:p>
    <w:p>
      <w:pPr>
        <w:spacing w:after="0" w:line="1" w:lineRule="exact"/>
        <w:rPr>
          <w:rFonts w:ascii="Arial" w:cs="Arial" w:eastAsia="Arial" w:hAnsi="Arial"/>
          <w:sz w:val="16"/>
          <w:szCs w:val="16"/>
          <w:color w:val="auto"/>
        </w:rPr>
      </w:pPr>
    </w:p>
    <w:p>
      <w:pPr>
        <w:ind w:left="340" w:right="6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which included various investigations, inquiries, and complaints from constituents.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EBIT-adjusted to Core EBIT-adjusted: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2"/>
                <w:szCs w:val="22"/>
                <w:color w:val="auto"/>
              </w:rPr>
            </w:pPr>
          </w:p>
        </w:tc>
        <w:tc>
          <w:tcPr>
            <w:tcW w:w="1500" w:type="dxa"/>
            <w:vAlign w:val="bottom"/>
          </w:tcPr>
          <w:p>
            <w:pPr>
              <w:jc w:val="right"/>
              <w:ind w:right="18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EBIT-adjusted(a)</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EBIT loss-adjusted – autonomous vehicle operations</w:t>
            </w:r>
          </w:p>
        </w:tc>
        <w:tc>
          <w:tcPr>
            <w:tcW w:w="24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EBIT-adjusted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3,702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13,550</w:t>
            </w:r>
          </w:p>
        </w:tc>
        <w:tc>
          <w:tcPr>
            <w:tcW w:w="0" w:type="dxa"/>
            <w:vAlign w:val="bottom"/>
          </w:tcPr>
          <w:p>
            <w:pPr>
              <w:spacing w:after="0"/>
              <w:rPr>
                <w:sz w:val="1"/>
                <w:szCs w:val="1"/>
                <w:color w:val="auto"/>
              </w:rPr>
            </w:pPr>
          </w:p>
        </w:tc>
      </w:tr>
      <w:tr>
        <w:trPr>
          <w:trHeight w:val="20"/>
        </w:trPr>
        <w:tc>
          <w:tcPr>
            <w:tcW w:w="5960" w:type="dxa"/>
            <w:vAlign w:val="bottom"/>
            <w:vMerge w:val="restart"/>
          </w:tcPr>
          <w:p>
            <w:pPr>
              <w:jc w:val="right"/>
              <w:ind w:right="5212"/>
              <w:spacing w:after="0"/>
              <w:rPr>
                <w:sz w:val="20"/>
                <w:szCs w:val="20"/>
                <w:color w:val="auto"/>
              </w:rPr>
            </w:pPr>
            <w:r>
              <w:rPr>
                <w:rFonts w:ascii="Arial" w:cs="Arial" w:eastAsia="Arial" w:hAnsi="Arial"/>
                <w:sz w:val="16"/>
                <w:szCs w:val="16"/>
                <w:color w:val="auto"/>
                <w:w w:val="89"/>
              </w:rPr>
              <w:t>________</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the reconciliation of Net income (loss) attributable to stockholders under U.S. GAAP to EBIT-adjusted within this section of MD&amp;A.</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50"/>
        </w:trPr>
        <w:tc>
          <w:tcPr>
            <w:tcW w:w="7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1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0.05</w:t>
            </w: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GMI restructuring</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4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52"/>
        </w:trPr>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7"/>
              <w:spacing w:after="0" w:line="153" w:lineRule="exact"/>
              <w:rPr>
                <w:sz w:val="20"/>
                <w:szCs w:val="20"/>
                <w:color w:val="auto"/>
              </w:rPr>
            </w:pPr>
            <w:r>
              <w:rPr>
                <w:rFonts w:ascii="Arial" w:cs="Arial" w:eastAsia="Arial" w:hAnsi="Arial"/>
                <w:sz w:val="14"/>
                <w:szCs w:val="14"/>
                <w:b w:val="1"/>
                <w:bCs w:val="1"/>
                <w:color w:val="auto"/>
                <w:w w:val="91"/>
              </w:rPr>
              <w:t>Income before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5"/>
              </w:rPr>
              <w:t>Income tax</w:t>
            </w:r>
          </w:p>
        </w:tc>
        <w:tc>
          <w:tcPr>
            <w:tcW w:w="100" w:type="dxa"/>
            <w:vAlign w:val="bottom"/>
          </w:tcPr>
          <w:p>
            <w:pPr>
              <w:spacing w:after="0"/>
              <w:rPr>
                <w:sz w:val="13"/>
                <w:szCs w:val="13"/>
                <w:color w:val="auto"/>
              </w:rPr>
            </w:pPr>
          </w:p>
        </w:tc>
        <w:tc>
          <w:tcPr>
            <w:tcW w:w="96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6"/>
              </w:rPr>
              <w:t>Effective tax</w:t>
            </w:r>
          </w:p>
        </w:tc>
        <w:tc>
          <w:tcPr>
            <w:tcW w:w="140" w:type="dxa"/>
            <w:vAlign w:val="bottom"/>
          </w:tcPr>
          <w:p>
            <w:pPr>
              <w:spacing w:after="0"/>
              <w:rPr>
                <w:sz w:val="13"/>
                <w:szCs w:val="13"/>
                <w:color w:val="auto"/>
              </w:rPr>
            </w:pPr>
          </w:p>
        </w:tc>
        <w:tc>
          <w:tcPr>
            <w:tcW w:w="1000" w:type="dxa"/>
            <w:vAlign w:val="bottom"/>
          </w:tcPr>
          <w:p>
            <w:pPr>
              <w:jc w:val="right"/>
              <w:ind w:right="17"/>
              <w:spacing w:after="0" w:line="153" w:lineRule="exact"/>
              <w:rPr>
                <w:sz w:val="20"/>
                <w:szCs w:val="20"/>
                <w:color w:val="auto"/>
              </w:rPr>
            </w:pPr>
            <w:r>
              <w:rPr>
                <w:rFonts w:ascii="Arial" w:cs="Arial" w:eastAsia="Arial" w:hAnsi="Arial"/>
                <w:sz w:val="14"/>
                <w:szCs w:val="14"/>
                <w:b w:val="1"/>
                <w:bCs w:val="1"/>
                <w:color w:val="auto"/>
                <w:w w:val="91"/>
              </w:rPr>
              <w:t>Income before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2"/>
              </w:rPr>
              <w:t>Income tax</w:t>
            </w:r>
          </w:p>
        </w:tc>
        <w:tc>
          <w:tcPr>
            <w:tcW w:w="10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6"/>
              </w:rPr>
              <w:t>Effective tax</w:t>
            </w:r>
          </w:p>
        </w:tc>
      </w:tr>
      <w:tr>
        <w:trPr>
          <w:trHeight w:val="192"/>
        </w:trPr>
        <w:tc>
          <w:tcPr>
            <w:tcW w:w="4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4"/>
              </w:rPr>
              <w:t>income taxes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4"/>
              </w:rPr>
              <w:t>income taxes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rate</w:t>
            </w: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Adjustment – GMI restructuring</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ETR-adjusted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21"/>
                <w:szCs w:val="21"/>
                <w:color w:val="auto"/>
              </w:rPr>
            </w:pPr>
          </w:p>
        </w:tc>
        <w:tc>
          <w:tcPr>
            <w:tcW w:w="1340" w:type="dxa"/>
            <w:vAlign w:val="bottom"/>
          </w:tcPr>
          <w:p>
            <w:pPr>
              <w:jc w:val="right"/>
              <w:ind w:right="21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20" w:type="dxa"/>
            <w:vAlign w:val="bottom"/>
          </w:tcPr>
          <w:p>
            <w:pPr>
              <w:spacing w:after="0"/>
              <w:rPr>
                <w:sz w:val="21"/>
                <w:szCs w:val="21"/>
                <w:color w:val="auto"/>
              </w:rPr>
            </w:pPr>
          </w:p>
        </w:tc>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4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w:t>
            </w:r>
          </w:p>
        </w:tc>
      </w:tr>
      <w:tr>
        <w:trPr>
          <w:trHeight w:val="243"/>
        </w:trPr>
        <w:tc>
          <w:tcPr>
            <w:tcW w:w="20" w:type="dxa"/>
            <w:vAlign w:val="bottom"/>
          </w:tcPr>
          <w:p>
            <w:pPr>
              <w:spacing w:after="0"/>
              <w:rPr>
                <w:sz w:val="21"/>
                <w:szCs w:val="21"/>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Average equity</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44.8</w:t>
            </w: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432"/>
        </w:trPr>
        <w:tc>
          <w:tcPr>
            <w:tcW w:w="20" w:type="dxa"/>
            <w:vAlign w:val="bottom"/>
          </w:tcPr>
          <w:p>
            <w:pPr>
              <w:spacing w:after="0"/>
              <w:rPr>
                <w:sz w:val="24"/>
                <w:szCs w:val="24"/>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8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2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w:t>
            </w:r>
          </w:p>
        </w:tc>
      </w:tr>
      <w:tr>
        <w:trPr>
          <w:trHeight w:val="243"/>
        </w:trPr>
        <w:tc>
          <w:tcPr>
            <w:tcW w:w="20" w:type="dxa"/>
            <w:vAlign w:val="bottom"/>
          </w:tcPr>
          <w:p>
            <w:pPr>
              <w:spacing w:after="0"/>
              <w:rPr>
                <w:sz w:val="21"/>
                <w:szCs w:val="21"/>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Average equity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44.8</w:t>
            </w: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w:t>
            </w:r>
          </w:p>
        </w:tc>
      </w:tr>
      <w:tr>
        <w:trPr>
          <w:trHeight w:val="243"/>
        </w:trPr>
        <w:tc>
          <w:tcPr>
            <w:tcW w:w="20" w:type="dxa"/>
            <w:vAlign w:val="bottom"/>
          </w:tcPr>
          <w:p>
            <w:pPr>
              <w:spacing w:after="0"/>
              <w:rPr>
                <w:sz w:val="21"/>
                <w:szCs w:val="21"/>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21.5</w:t>
            </w: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net income tax asset</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r>
      <w:tr>
        <w:trPr>
          <w:trHeight w:val="297"/>
        </w:trPr>
        <w:tc>
          <w:tcPr>
            <w:tcW w:w="20" w:type="dxa"/>
            <w:vAlign w:val="bottom"/>
          </w:tcPr>
          <w:p>
            <w:pPr>
              <w:spacing w:after="0"/>
              <w:rPr>
                <w:sz w:val="24"/>
                <w:szCs w:val="24"/>
                <w:color w:val="auto"/>
              </w:rPr>
            </w:pPr>
          </w:p>
        </w:tc>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43.9</w:t>
            </w:r>
          </w:p>
        </w:tc>
      </w:tr>
      <w:tr>
        <w:trPr>
          <w:trHeight w:val="237"/>
        </w:trPr>
        <w:tc>
          <w:tcPr>
            <w:tcW w:w="20" w:type="dxa"/>
            <w:vAlign w:val="bottom"/>
          </w:tcPr>
          <w:p>
            <w:pPr>
              <w:spacing w:after="0"/>
              <w:rPr>
                <w:sz w:val="20"/>
                <w:szCs w:val="20"/>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193"/>
        </w:trPr>
        <w:tc>
          <w:tcPr>
            <w:tcW w:w="20" w:type="dxa"/>
            <w:vAlign w:val="bottom"/>
          </w:tcPr>
          <w:p>
            <w:pPr>
              <w:spacing w:after="0"/>
              <w:rPr>
                <w:sz w:val="16"/>
                <w:szCs w:val="16"/>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__________</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the reconciliation of Net income (loss) attributable to stockholders under U.S. GAAP to EBIT-adjusted within this section of MD&amp;A.</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management team has adopted a strategic plan to transform GM into the world's most valued automotive company. Our plan includes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major initiatives that we anticipate will redefine the future of personal mobility through our zero crashes, zero emissions, zero congestion vision while also strengthening the core of our business: earning customers for life by delivering winning vehicles, leading the industry in quality and safety and improving the customer ownership experience; leading in technology and innovation, including electrification, autonomous, data monetization and connectivity; growing our brands; making tough, strategic decisions about which markets and products in which we will invest and compete; building profitable adjacent businesses and targeting 10% core margins on an EBIT-adjusted basis.</w:t>
      </w:r>
    </w:p>
    <w:p>
      <w:pPr>
        <w:spacing w:after="0" w:line="19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addition to our EBIT-adjusted margin improvement goal, our overall financial targets include total annual operational and functional cost savings of $6.5 billion through 2018 compared to 2014 costs, of which approximately $5.7 billion has been realized as of March 31, 2018, and which will more than offset our planned incremental investments in brand building, engineering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as we launch new products; and execution of our capital allocation program as described in the "Liquidity and Capital Resources" section of this MD&amp;A.</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For the year ending December 31, 2018 we expect EPS-diluted-adjusted to be in the mid-six dollar range. We do not consider the potential future impact of adjustments on our expected financial results. We expect Core EBIT-adjusted and Core adjusted automotive free cash flow to be in line with 2017. Core EBIT-adjusted was $13.6 billion and Core adjusted automotive free cash flow was $5.7 billion in the year ended December 31, 2017. Core consists of all operations excluding our autonomous vehicle operations, including Cruise, Maven car sharing entities, and our investment in Lyft. The following table reconciles expected diluted earnings per common share under U.S. GAAP to expected EPS-diluted-adjusted: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$ 5.52-5.82</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operations(a)</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GMI restructuring</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Tax effect on adjustment(b)</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$ 6.30-6.60</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Note 19 to our condensed consolidated financial statements for further details.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tax effect of the adjustment is determined based on the tax laws and valuation allowance status of the jurisdiction in which the adjustment relates.</w:t>
      </w:r>
    </w:p>
    <w:p>
      <w:pPr>
        <w:spacing w:after="0" w:line="24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As we continue to assess our performance, additional restructuring and rationalization actions may be required or a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5.1 million units in the three months ended March 31, 2018, representing an increase of 1.2%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in 2017. U.S. industry sales were 4.2 million units in the three months ended March 31, 2018 and we expect industry unit sales of approximately 17 million for the full year.</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vehicle sales in the U.S., our largest market in North America, totaled 0.7 million units for a market share of 17.0% in the three months ended March 31, 2018, representing an increase of 0.2 percentage points compared to the corresponding period in 2017. We continue to lead the U.S. industry in market share.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2018 we expect to sustain an EBIT-adjusted margin of approximately 10% on continued strength of U.S. industry light vehicle sales, key product launches and continued focus on overall cost savings. Based on our current cost structure, we continue to estimate GMNA’s breakeven point at the U.S. industry level to be in the range of 10.0 to 11.0 million units.</w:t>
      </w:r>
    </w:p>
    <w:p>
      <w:pPr>
        <w:spacing w:after="0" w:line="18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GMI </w:t>
      </w:r>
      <w:r>
        <w:rPr>
          <w:rFonts w:ascii="Arial" w:cs="Arial" w:eastAsia="Arial" w:hAnsi="Arial"/>
          <w:sz w:val="18"/>
          <w:szCs w:val="18"/>
          <w:color w:val="auto"/>
        </w:rPr>
        <w:t>China industry sales were 6.7 million units in the three months ended March 31, 2018 representing an 8.0% increase compared to the corresponding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2017. Our China retail volumes totaled 1.0 million units for market share of 14.8% in the three months ended March 31, 2018, which was flat compared to the corresponding period in 2017. We continue to see strength in sales of our Cadillac and Baojun passenger vehicles and SUVs, as well as positive momentum in Chevrolet sales driven by new product launches. Wuling sales were impacted by the market shift away from mini commercial vehicles. Our Automotive China JVs generated equity income of $0.6 billion in the three months ended March 31, 2018. We expect low industry growth in 2018 and a continuation of pricing pressures, which will continue to pressure margins. We continue to expect equal to increased vehicle sales in 2018 driven by new launches and expect to sustain strong China equity income by focusing on improvements in vehicle mix, cost efficiencies, and downstream performance optimization.</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many markets across the segment continue to improve, resulting in industry sales of 6.6 million units, representing an increase of 4.1% in the three months ended March 31, 2018 compared to the corresponding period in 2017. This increase was due primarily to increases in India, Brazil and Argentina. Our retail vehicle sales totaled 0.3 million units for a market share of 4.2% in the three months ended March 31, 2018, representing a decrease of 0.6 percentage points compared to the corresponding period in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February 2018 we announced our decision to close a facility by the end of May 2018 and other restructuring actions in Korea. We recorded charges of $0.9 billion consisting of $0.5 billion in non-cash asset impairments and $0.4 billion in employee separation charges in the three months ended March 31, 2018. We expect to incur approximately $0.1 billion of additional employee separation charges in the three months ending June 30, 2018. The charges are considered special for EBIT-adjusted, EPS-diluted-adjusted and adjusted automotive free cash flow reporting purposes. We expect to incur approximately $0.8 billion in cash outflows, primarily in the three months ending June 30, 2018 for employee separations and statutory pension payments. Refer to Note 16 to our condensed consolidated financial statements for information related to these restructuring actions.</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early 2018 we proposed a viability plan to lower GM Korea's manufacturing capacity and operating costs in response to difficult market and operating conditions. In April 2018 GM Korea reached an agreement with its labor union in furtherance of the viability plan. That agreement is conditional upon GM Korea reaching a definitive agreement with the Korea Development Bank (KDB), one of GM Korea's minority owners, to provide financial support necessary for GM Korea's continued operations. On April 26, 2018, the KDB tentatively agreed to invest $750 million in GM Korea. That tentative agreement remains subject to further negotiations but is expected to be executed in the three months ending June 30, 2018.</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Beginning in 2012 through April 13, 2018, we purchased an aggregate of 507 million shares of our outstanding common stock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repurchase programs for $16.3 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14 to our condensed consolidated financial statements for additional information.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Takata Matters </w:t>
      </w:r>
      <w:r>
        <w:rPr>
          <w:rFonts w:ascii="Arial" w:cs="Arial" w:eastAsia="Arial" w:hAnsi="Arial"/>
          <w:sz w:val="18"/>
          <w:szCs w:val="18"/>
          <w:color w:val="auto"/>
        </w:rPr>
        <w:t>In May 2016 NHTSA issued an amended consent order requiring Takata to file DIRs for previously unrecalled front airbag inflators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is engaged in discussions with regulators outside the U.S. with respect to Takata inflators. There are significant differences in vehicle and inflator design between the relevant vehicles sold internationally and those sold in the U.S. We continue to gather and analyze evidence about these inflators and to share our findings with regulators. We were required to recall certain vehicles sold outside of the U.S. in the three months ended March 31, 2018 to replace Takata inflators in these vehicles. Additional recalls, if any, could be material to our results of operations and cash flows. We continue to monitor the international situation.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June 26, 2017, Takata filed for bankruptcy protection in the United States and Japan. On April 11, 2018 the sale of Takata to Key Safety Systems,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finalized, and as a result we received a restitution payment.</w:t>
      </w:r>
    </w:p>
    <w:p>
      <w:pPr>
        <w:spacing w:after="0" w:line="211"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us and Motors Liquidation Company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obligated to issue Adjustment Shares of our common stock in the event that allowed general unsecured claims against the GUC Trust, as estimated by the Bankruptcy Court, exceed $35.0 billion. Refer to Note 14 to our condensed consolidated financial statements for a description of the contingently issuable Adjustment Shares.</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Wholesale vehicle sales data,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three months ended March 31, 2018, 34.9% of our wholesale vehicle sales volume was generated outside the U.S. The following table summarizes total wholesale vehicle sales of new vehicles by automotive segment (vehicles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860" w:type="dxa"/>
            <w:vAlign w:val="bottom"/>
            <w:gridSpan w:val="4"/>
          </w:tcPr>
          <w:p>
            <w:pPr>
              <w:ind w:left="420"/>
              <w:spacing w:after="0"/>
              <w:rPr>
                <w:sz w:val="20"/>
                <w:szCs w:val="20"/>
                <w:color w:val="auto"/>
              </w:rPr>
            </w:pPr>
            <w:r>
              <w:rPr>
                <w:rFonts w:ascii="Arial" w:cs="Arial" w:eastAsia="Arial" w:hAnsi="Arial"/>
                <w:sz w:val="14"/>
                <w:szCs w:val="14"/>
                <w:b w:val="1"/>
                <w:bCs w:val="1"/>
                <w:color w:val="auto"/>
              </w:rPr>
              <w:t>March 31, 2018</w:t>
            </w:r>
          </w:p>
        </w:tc>
        <w:tc>
          <w:tcPr>
            <w:tcW w:w="176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20" w:type="dxa"/>
            <w:vAlign w:val="bottom"/>
          </w:tcPr>
          <w:p>
            <w:pPr>
              <w:spacing w:after="0"/>
              <w:rPr>
                <w:sz w:val="21"/>
                <w:szCs w:val="21"/>
                <w:color w:val="auto"/>
              </w:rPr>
            </w:pPr>
          </w:p>
        </w:tc>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2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GMI(b)</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20" w:type="dxa"/>
            <w:vAlign w:val="bottom"/>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Wholesale vehicle sales related to transactions with the European Business were insignificant for the three months ended March 31,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Wholesale vehicle sales include 48 vehicles related to transactions with the European Business for the three months ended March 31, 2017.</w:t>
      </w:r>
    </w:p>
    <w:p>
      <w:pPr>
        <w:spacing w:after="0" w:line="17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2018</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2017</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Share</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China(b)</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Other(c)</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Asia/Pacific, Middle East and Africa(a)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South America(a)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in GM markets</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18,376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17,559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Europe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Worldwide(d)</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23,391</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2,096</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22,629</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China(b)</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SGMW and FAW-GM</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China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of Opel/Vauxhall outside of Europe were insignificant in the three months ended March 31, 2018 and 2017.</w:t>
      </w:r>
    </w:p>
    <w:p>
      <w:pPr>
        <w:spacing w:after="0" w:line="15"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China sales include the Automotive China JVs SAIC General Motors Sales Co., Ltd. (SGMS), SAIC GM Wuling Automobile Co., Ltd. (SGMW) and FAW-GM Light Duty Commercial Vehicle Co., Ltd. (FAW-GM). We use estimated vehicle registrations data as the basis for calculating industry volume and market share in China.</w:t>
      </w:r>
    </w:p>
    <w:p>
      <w:pPr>
        <w:ind w:left="34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Industry and GM sales in India and South Africa. As of December 31, 2017 we have ceased sales of Chevrolet for the domestic markets in India and South Africa.</w:t>
      </w:r>
    </w:p>
    <w:p>
      <w:pPr>
        <w:ind w:left="340" w:hanging="332"/>
        <w:spacing w:after="0" w:line="25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do not currently export vehicles to Cuba, Iran, North Korea, Sudan or Syria. Accordingly these countries are excluded from industry sales data and corresponding calculation of market share.</w:t>
      </w:r>
    </w:p>
    <w:p>
      <w:pPr>
        <w:spacing w:after="0" w:line="12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2018 we estimate we had the largest market share in North America and South America, and the number three market share in the Asia/Pacific, Middle East and Africa region, which included the number two market share in China.</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Prior to January 1, 2018 a significant portion of the sales to daily rental car companies were recorded as operating leases under U.S. GAAP with no recognition of revenue at the date of initial delivery due to guaranteed repurchase obligations. Beginning January 1, 2018, a significant portion of the sales to daily rental car companies are recorded as sales. The following table summarizes estimated fleet sales and those sales as a percentage of total retail vehicle sales (vehicles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474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50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168</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GMI</w:t>
            </w:r>
          </w:p>
        </w:tc>
        <w:tc>
          <w:tcPr>
            <w:tcW w:w="5020" w:type="dxa"/>
            <w:vAlign w:val="bottom"/>
            <w:gridSpan w:val="2"/>
          </w:tcPr>
          <w:p>
            <w:pPr>
              <w:jc w:val="right"/>
              <w:ind w:right="12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89</w:t>
            </w:r>
          </w:p>
        </w:tc>
      </w:tr>
      <w:tr>
        <w:trPr>
          <w:trHeight w:val="27"/>
        </w:trPr>
        <w:tc>
          <w:tcPr>
            <w:tcW w:w="47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50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7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5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675"/>
        </w:trPr>
        <w:tc>
          <w:tcPr>
            <w:tcW w:w="4740" w:type="dxa"/>
            <w:vAlign w:val="bottom"/>
          </w:tcPr>
          <w:p>
            <w:pPr>
              <w:spacing w:after="0"/>
              <w:rPr>
                <w:sz w:val="24"/>
                <w:szCs w:val="24"/>
                <w:color w:val="auto"/>
              </w:rPr>
            </w:pPr>
          </w:p>
        </w:tc>
        <w:tc>
          <w:tcPr>
            <w:tcW w:w="3460" w:type="dxa"/>
            <w:vAlign w:val="bottom"/>
          </w:tcPr>
          <w:p>
            <w:pPr>
              <w:jc w:val="right"/>
              <w:ind w:right="2310"/>
              <w:spacing w:after="0"/>
              <w:rPr>
                <w:sz w:val="20"/>
                <w:szCs w:val="20"/>
                <w:color w:val="auto"/>
              </w:rPr>
            </w:pPr>
            <w:r>
              <w:rPr>
                <w:rFonts w:ascii="Arial" w:cs="Arial" w:eastAsia="Arial" w:hAnsi="Arial"/>
                <w:sz w:val="18"/>
                <w:szCs w:val="18"/>
                <w:color w:val="auto"/>
              </w:rPr>
              <w:t>33</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8340" w:type="dxa"/>
            <w:vAlign w:val="bottom"/>
          </w:tcPr>
          <w:p>
            <w:pPr>
              <w:spacing w:after="0"/>
              <w:rPr>
                <w:sz w:val="21"/>
                <w:szCs w:val="21"/>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2018</w:t>
            </w: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Financial Summary and Outlook </w:t>
      </w:r>
      <w:r>
        <w:rPr>
          <w:rFonts w:ascii="Arial" w:cs="Arial" w:eastAsia="Arial" w:hAnsi="Arial"/>
          <w:sz w:val="16"/>
          <w:szCs w:val="16"/>
          <w:color w:val="auto"/>
        </w:rPr>
        <w:t>GM Financial has expanded its leasing and prime lending programs in North America; therefore, leasing and prime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 have become a larger percentage of the originations and retail portfolio balance. The industry supply of used vehicles resulting from off-lease returns is expected to continue to increase through 2019. As a result, we expect a decline in used car prices in the U.S. between 5% and 6% in 2018 as compared to 2017, although we have experienced stronger results than anticipated in the three months ended March 31, 2018. The following table summarizes the residual value as well as the number of units included in GM Financial equipment on operating leases, net by vehicle type (units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7,317</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30,975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1,677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GM Financial's retail penetration in North America declined to approximately 39% in the three months ended March 31, 2018 from approximately 48% in the corresponding period in 2017 due to lower lease share and down payment assistance being offered on fewer vehicles, with a smaller incentive per vehicle. In the three months ended March 31, 2018 GM Financial's revenue consisted of leased vehicle income of 72%, retail finance charge income of 22%, and commercial finance charge income of 4%. We believe that offering a comprehensive suite of financing products will generate incremental sales of our vehicles, drive incremental GM Financial earnings and help support our sales throughout various economic cycles.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Consolidated Results </w:t>
      </w:r>
      <w:r>
        <w:rPr>
          <w:rFonts w:ascii="Arial" w:cs="Arial" w:eastAsia="Arial" w:hAnsi="Arial"/>
          <w:sz w:val="16"/>
          <w:szCs w:val="16"/>
          <w:color w:val="auto"/>
        </w:rPr>
        <w:t>We review changes in our results of operations under five categories: volume, mix, price, cost and other. Volume measures the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 We adopted ASU 2014-09 on a modified retrospective basis effective January 1, 2018. The impacts of the new standard are reflected in this MD&amp;A. Refer to Note 1 of our condensed consolidated financial statements for additional information.</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6"/>
                <w:szCs w:val="6"/>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8"/>
              </w:rPr>
              <w:t>(Dollars in billions)</w:t>
            </w: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27,818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4,848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32,715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34,650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20" w:type="dxa"/>
            <w:vAlign w:val="bottom"/>
          </w:tcPr>
          <w:p>
            <w:pPr>
              <w:spacing w:after="0"/>
              <w:rPr>
                <w:sz w:val="20"/>
                <w:szCs w:val="20"/>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79.5 %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6"/>
                <w:szCs w:val="6"/>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0"/>
              </w:rPr>
              <w:t>Volume</w:t>
            </w:r>
          </w:p>
        </w:tc>
        <w:tc>
          <w:tcPr>
            <w:tcW w:w="280" w:type="dxa"/>
            <w:vAlign w:val="bottom"/>
          </w:tcPr>
          <w:p>
            <w:pPr>
              <w:spacing w:after="0"/>
              <w:rPr>
                <w:sz w:val="6"/>
                <w:szCs w:val="6"/>
                <w:color w:val="auto"/>
              </w:rPr>
            </w:pPr>
          </w:p>
        </w:tc>
        <w:tc>
          <w:tcPr>
            <w:tcW w:w="6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Mix</w:t>
            </w:r>
          </w:p>
        </w:tc>
        <w:tc>
          <w:tcPr>
            <w:tcW w:w="260" w:type="dxa"/>
            <w:vAlign w:val="bottom"/>
          </w:tcPr>
          <w:p>
            <w:pPr>
              <w:spacing w:after="0"/>
              <w:rPr>
                <w:sz w:val="6"/>
                <w:szCs w:val="6"/>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8"/>
              </w:rPr>
              <w:t>(Dollars in billions)</w:t>
            </w: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24,294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20" w:type="dxa"/>
            <w:vAlign w:val="bottom"/>
          </w:tcPr>
          <w:p>
            <w:pPr>
              <w:spacing w:after="0"/>
              <w:rPr>
                <w:sz w:val="20"/>
                <w:szCs w:val="20"/>
                <w:color w:val="auto"/>
              </w:rPr>
            </w:pPr>
          </w:p>
        </w:tc>
        <w:tc>
          <w:tcPr>
            <w:tcW w:w="1400" w:type="dxa"/>
            <w:vAlign w:val="bottom"/>
          </w:tcPr>
          <w:p>
            <w:pPr>
              <w:jc w:val="right"/>
              <w:ind w:right="42"/>
              <w:spacing w:after="0"/>
              <w:rPr>
                <w:sz w:val="20"/>
                <w:szCs w:val="20"/>
                <w:color w:val="auto"/>
              </w:rPr>
            </w:pPr>
            <w:r>
              <w:rPr>
                <w:rFonts w:ascii="Arial" w:cs="Arial" w:eastAsia="Arial" w:hAnsi="Arial"/>
                <w:sz w:val="16"/>
                <w:szCs w:val="16"/>
                <w:color w:val="auto"/>
              </w:rPr>
              <w:t>5,772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5,083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20" w:type="dxa"/>
            <w:vAlign w:val="bottom"/>
          </w:tcPr>
          <w:p>
            <w:pPr>
              <w:spacing w:after="0"/>
              <w:rPr>
                <w:sz w:val="20"/>
                <w:szCs w:val="20"/>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(81.1)%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Total automotive cost of sales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March 31, 2018 unfavorable Cost was due primarily to: (1) charges of $0.9 billion primarily related to asset impairments and employee separation costs in Korea; (2) increased material and freight costs of $0.5 billion related to vehicles launched within the last twelve months incorporating significant exterior and/or interior changes (Majors); and (3) increased raw material costs related to carryover vehicles of $0.2 billion; partially offset by (4) favorable material performance of $0.2 billion related to carryover vehicles. In the three months ended March 31, 2018 unfavorable Other was due primarily to the foreign currency effect of $0.3 billion due to the strengthening of various currencies against the U.S. Dollar.</w:t>
      </w: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6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March 31, 2018</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2018 Income tax expense decreased due primarily to a decrease in pretax income and changes resulting from U.S. tax reform.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6"/>
                <w:szCs w:val="6"/>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March 31, 2017</w:t>
            </w:r>
          </w:p>
        </w:tc>
        <w:tc>
          <w:tcPr>
            <w:tcW w:w="2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27,818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29,338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2,233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 (0.5)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700" w:type="dxa"/>
            <w:vAlign w:val="bottom"/>
          </w:tcPr>
          <w:p>
            <w:pPr>
              <w:jc w:val="right"/>
              <w:spacing w:after="0"/>
              <w:rPr>
                <w:sz w:val="20"/>
                <w:szCs w:val="20"/>
                <w:color w:val="auto"/>
              </w:rPr>
            </w:pPr>
            <w:r>
              <w:rPr>
                <w:rFonts w:ascii="Arial" w:cs="Arial" w:eastAsia="Arial" w:hAnsi="Arial"/>
                <w:sz w:val="18"/>
                <w:szCs w:val="18"/>
                <w:color w:val="auto"/>
              </w:rPr>
              <w:t>$ (0.5)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March 31, 2018 Total net sales and revenue decreased due primarily to: (1) decreased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due to a decrease in sales of passenger cars and full-size trucks due to planned downtime, partially offset by an increase in sales of fleet vehicles, inclusive of the new revenue standard impacts; (2) unfavorable mix associated with the decrease in full-size trucks; partially offset by (3) favorable pricing for Majors of $0.5 billion, partially offset by unfavorable pricing for carryover vehicles of $0.2 billion, inclusive of the new revenue standard impacts; and (4) favorable Other due primarily to the foreign currency effect resulting from the strengthening of the Canadian Dollar and Mexican Peso against the U.S. Dollar.</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March 31, 2018 EBIT-adjusted decreased due primarily to: (1) unfavorable Cost due to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costs for Majors of $0.5 billion, increased raw material costs of $0.2 billion related to carryover vehicles, partially offset by favorable materials performance of $0.2 billion related to carryover vehicles; (2) unfavorable mix due to a decrease in sales of full-size trucks; and (3) decreased net wholesale volumes; partially offset by (4) favorable pricing.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 2018</w:t>
            </w:r>
          </w:p>
        </w:tc>
        <w:tc>
          <w:tcPr>
            <w:tcW w:w="240" w:type="dxa"/>
            <w:vAlign w:val="bottom"/>
          </w:tcPr>
          <w:p>
            <w:pPr>
              <w:spacing w:after="0"/>
              <w:rPr>
                <w:sz w:val="6"/>
                <w:szCs w:val="6"/>
                <w:color w:val="auto"/>
              </w:rPr>
            </w:pPr>
          </w:p>
        </w:tc>
        <w:tc>
          <w:tcPr>
            <w:tcW w:w="12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4,848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5,138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 (0.1)</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i w:val="1"/>
                <w:iCs w:val="1"/>
                <w:color w:val="auto"/>
              </w:rPr>
              <w:t>China</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i w:val="1"/>
                <w:iCs w:val="1"/>
                <w:color w:val="auto"/>
              </w:rPr>
              <w:t>597</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i w:val="1"/>
                <w:iCs w:val="1"/>
                <w:color w:val="auto"/>
              </w:rPr>
              <w:t>504</w:t>
            </w: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Pr>
          <w:p>
            <w:pPr>
              <w:jc w:val="right"/>
              <w:ind w:right="94"/>
              <w:spacing w:after="0"/>
              <w:rPr>
                <w:sz w:val="20"/>
                <w:szCs w:val="20"/>
                <w:color w:val="auto"/>
              </w:rPr>
            </w:pPr>
            <w:r>
              <w:rPr>
                <w:rFonts w:ascii="Arial" w:cs="Arial" w:eastAsia="Arial" w:hAnsi="Arial"/>
                <w:sz w:val="18"/>
                <w:szCs w:val="18"/>
                <w:i w:val="1"/>
                <w:iCs w:val="1"/>
                <w:color w:val="auto"/>
              </w:rPr>
              <w:t>93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18.5 %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(408)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(326)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March 31, 2018 Total net sales and revenue decreased due primarily to decreased wholesale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volumes in Korea and Asia/Pacific due to the withdrawal from the Indian and South African markets in 2017, partially offset by favorable mix driven by increased sales of the Chevrolet Tracker in Brazil and SUVs in the Middle East.</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GMI EBIT-Adjusted </w:t>
      </w:r>
      <w:r>
        <w:rPr>
          <w:rFonts w:ascii="Arial" w:cs="Arial" w:eastAsia="Arial" w:hAnsi="Arial"/>
          <w:sz w:val="17"/>
          <w:szCs w:val="17"/>
          <w:color w:val="auto"/>
        </w:rPr>
        <w:t>In the three months ended March 31, 2018 EBIT-adjusted increased due primarily to: (1) favorable mix driven by decreased low-margin sales in Korea and increased sales of SUVs in the Middle East; partially offset by (2) decreased wholesale volumes in Asia/Pacific; and (3) unfavorable Other due primarily to the foreign currency effect resulting from the weakening of the Argentine Peso against the U.S. Dollar.</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22"/>
                <w:szCs w:val="22"/>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Wholesale vehicles including vehicles exported to markets outside of China</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1,066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13,719</w:t>
            </w:r>
          </w:p>
        </w:tc>
        <w:tc>
          <w:tcPr>
            <w:tcW w:w="88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11,201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1,177</w:t>
            </w:r>
          </w:p>
        </w:tc>
        <w:tc>
          <w:tcPr>
            <w:tcW w:w="88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1,046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Arial" w:cs="Arial" w:eastAsia="Arial" w:hAnsi="Arial"/>
                <w:sz w:val="18"/>
                <w:szCs w:val="18"/>
                <w:b w:val="1"/>
                <w:bCs w:val="1"/>
                <w:color w:val="auto"/>
              </w:rPr>
              <w:t>GM Financial</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w w:val="95"/>
              </w:rPr>
              <w:t>Increase/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vMerge w:val="restart"/>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w w:val="86"/>
              </w:rPr>
              <w:t>(Decrease)</w:t>
            </w: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663</w:t>
            </w: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9"/>
              <w:spacing w:after="0"/>
              <w:rPr>
                <w:sz w:val="20"/>
                <w:szCs w:val="20"/>
                <w:color w:val="auto"/>
              </w:rPr>
            </w:pPr>
            <w:r>
              <w:rPr>
                <w:rFonts w:ascii="Arial" w:cs="Arial" w:eastAsia="Arial" w:hAnsi="Arial"/>
                <w:sz w:val="18"/>
                <w:szCs w:val="18"/>
                <w:color w:val="auto"/>
              </w:rPr>
              <w:t>(75)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taxes-adjusted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215</w:t>
            </w: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94.3 %</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(Dollars in billions)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14.5</w:t>
            </w: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March 31, 2018 Total revenue increased due primarily to increased leased vehicle income of $0.5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larger lease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 Financial Earnings Before Income Taxes-Adjusted </w:t>
      </w:r>
      <w:r>
        <w:rPr>
          <w:rFonts w:ascii="Arial" w:cs="Arial" w:eastAsia="Arial" w:hAnsi="Arial"/>
          <w:sz w:val="18"/>
          <w:szCs w:val="18"/>
          <w:color w:val="auto"/>
        </w:rPr>
        <w:t>In the three months ended March 31, 2018 Earnings before income taxes-adjusted increased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increased net leased vehicle income of $0.2 billion due primarily to a larger lease portfolio, partially offset by an increase in interest expense due to an increase in average debt outstanding.</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We believe that our current level of cash and cash equivalents, marketable securities and availability under our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 strong investment-grade balance sheet; and (3) return available cash to shareholders. Our known future material uses of cash include, among other possible demands: (1) capital expenditures of approximately $8.5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Item 1A. Risk Factors, and the “Risk Factors” section of our 2017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senior management evaluates our capital allocation program on an ongoing basis and recommends any modifications to the program to our Board of Directors, not less than once annually. Management reaffirmed and our Board of Directors approved the capital allocation program, which includes reinvesting in our business at an average target ROIC-adjusted rate of 20% or greater, maintaining a strong investment-grade balance sheet, including a target average cash balance of $18 billion, and returning available cash to shareholders.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As part of our capital allocation program, our Board of Directors authorized programs to purchase $9 billion in aggregate of our common stock which were completed in the three months ended September 30, 2016 and 2017. We announced in January 2017 that our Board of Directors had authorized the purchase of up to an additional $5 billion of our common stock with no expiration date, subsequent to completing the remaining portion of the previously announced programs. We completed $1.6 billion of the $5 billion program through March 31, 2018, which included $0.1 billion purchased in the three months ended March 31, 2018 in conjunction with the sale of GM common stock by the UAW Retiree Medical Benefits Trust. From inception of the program in 2015 through April 13, 2018 we had purchased an aggregate of 302 million shares of our outstanding common stock under our common stock repurchase program for $10.6 billion. We returned total cash to shareholders of $0.6 billion, consisting of dividends paid on our common stock and purchases of our common stock in the three months ended March 31, 2018.</w:t>
      </w:r>
    </w:p>
    <w:p>
      <w:pPr>
        <w:spacing w:after="0" w:line="17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2017. Refer to the “Liquidity and Capital Resources” section of MD&amp;A in our 2017 Form 10-K.</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The total size of our credit facilities was $14.5 billion at March 31, 2018 and December 31, 2017, which consisted principally of our two primary revolving credit facilities. We did not have any borrowings against our primary facilities, but had letters of credit outstanding under our sub-facility of $0.4 billion at March 31, 2018 and December 31, 2017. GM Financial had access to our revolving credit facilities at March 31, 2018 and December 31, 2017 but did not borrow against them. We had intercompany loans from GM Financial of $0.5 billion and $0.4 billion at March 31, 2018 and December 31, 2017, which consisted primarily of commercial loans to dealers we consolidate, and we had no intercompany loans to GM Financial.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 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6"/>
          <w:szCs w:val="16"/>
          <w:color w:val="002060"/>
        </w:rPr>
        <w:t>.</w:t>
      </w:r>
      <w:r>
        <w:rPr>
          <w:rFonts w:ascii="Arial" w:cs="Arial" w:eastAsia="Arial" w:hAnsi="Arial"/>
          <w:sz w:val="16"/>
          <w:szCs w:val="16"/>
          <w:color w:val="auto"/>
        </w:rPr>
        <w:t xml:space="preserve"> Total automotive available credit under the facility remains unchanged at $14.5 billion.</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a means to access the strong liquidity available in our China JVs, from time to time, we may borrow from our joint ventures to provide additional liquidity to support our operations and capital investment. In the three months ended March 31, 2018, we borrowed $1.3 billion from SGM pursuant to a short-term unsecured note payable due in June 2018. Upon repayment, we expect to receive a dividend from SGM. The China JVs have sufficient cash on hand to fund ongoing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liquidity(a)</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31.3</w:t>
            </w: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do not add due to rounding.</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w w:val="91"/>
              </w:rPr>
              <w:t>31, 2018</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2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Issuance of unsecured note payable to SGM</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w:t>
            </w:r>
          </w:p>
        </w:tc>
        <w:tc>
          <w:tcPr>
            <w:tcW w:w="2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2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Automotive Cash Flow (Dollars in Billions)</w:t>
            </w: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8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21"/>
                <w:szCs w:val="21"/>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March 31, 2017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2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Net automotive cash provided by (used in) operating activities</w:t>
            </w:r>
          </w:p>
        </w:tc>
        <w:tc>
          <w:tcPr>
            <w:tcW w:w="2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20" w:type="dxa"/>
            <w:vAlign w:val="bottom"/>
            <w:vMerge w:val="restart"/>
          </w:tcPr>
          <w:p>
            <w:pPr>
              <w:jc w:val="right"/>
              <w:ind w:right="13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2018 the decrease in Net automotive cash provided by (used in) operating activities was due primarily to: (1) unfavorable impacts from decreased Income from continuing operations, net of impairments and restructuring accruals of $0.9 billion due primarily to Korea restructuring charges; and (2) unfavorable Working capital due primarily to unfavorable accounts receivable and other timing items; partially offset by (3) the re–timing of cash receipts and payments with GM Financial as well as other external sources totaling $0.6 billion.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6"/>
          </w:tcPr>
          <w:p>
            <w:pPr>
              <w:ind w:left="280"/>
              <w:spacing w:after="0"/>
              <w:rPr>
                <w:sz w:val="20"/>
                <w:szCs w:val="20"/>
                <w:color w:val="auto"/>
              </w:rPr>
            </w:pPr>
            <w:r>
              <w:rPr>
                <w:rFonts w:ascii="Arial" w:cs="Arial" w:eastAsia="Arial" w:hAnsi="Arial"/>
                <w:sz w:val="14"/>
                <w:szCs w:val="14"/>
                <w:b w:val="1"/>
                <w:bCs w:val="1"/>
                <w:color w:val="auto"/>
              </w:rPr>
              <w:t>March 31, 2018</w:t>
            </w:r>
          </w:p>
        </w:tc>
        <w:tc>
          <w:tcPr>
            <w:tcW w:w="142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rPr>
              <w:t>March 31, 2017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gridSpan w:val="4"/>
          </w:tcPr>
          <w:p>
            <w:pPr>
              <w:jc w:val="right"/>
              <w:ind w:right="2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6"/>
          </w:tcPr>
          <w:p>
            <w:pPr>
              <w:ind w:left="280"/>
              <w:spacing w:after="0"/>
              <w:rPr>
                <w:sz w:val="20"/>
                <w:szCs w:val="20"/>
                <w:color w:val="auto"/>
              </w:rPr>
            </w:pPr>
            <w:r>
              <w:rPr>
                <w:rFonts w:ascii="Arial" w:cs="Arial" w:eastAsia="Arial" w:hAnsi="Arial"/>
                <w:sz w:val="14"/>
                <w:szCs w:val="14"/>
                <w:b w:val="1"/>
                <w:bCs w:val="1"/>
                <w:color w:val="auto"/>
              </w:rPr>
              <w:t>March 31, 2018</w:t>
            </w:r>
          </w:p>
        </w:tc>
        <w:tc>
          <w:tcPr>
            <w:tcW w:w="142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rPr>
              <w:t>March 31, 2017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Issuance of unsecured note payable to SGM</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gridSpan w:val="4"/>
            <w:vMerge w:val="restart"/>
          </w:tcPr>
          <w:p>
            <w:pPr>
              <w:jc w:val="right"/>
              <w:ind w:right="2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automotive cash provided by (used in) financing activities</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4"/>
          </w:tcPr>
          <w:p>
            <w:pPr>
              <w:jc w:val="right"/>
              <w:ind w:right="2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jc w:val="center"/>
              <w:ind w:left="273"/>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5"/>
          </w:tcPr>
          <w:p>
            <w:pPr>
              <w:jc w:val="right"/>
              <w:ind w:right="172"/>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automotive cash provided by (used in) operating activities –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capital expenditures – continuing operations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 –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automotive cash provided by operating activities – discontinued operations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automotive free cash flow</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gridSpan w:val="3"/>
          </w:tcPr>
          <w:p>
            <w:pPr>
              <w:spacing w:after="0"/>
              <w:rPr>
                <w:sz w:val="22"/>
                <w:szCs w:val="22"/>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Core Adjusted Automotive Free Cash Flow (Dollars in Billions)</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w w:val="98"/>
              </w:rPr>
              <w:t>March 31, 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 – continuing operations(a)</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gridSpan w:val="4"/>
            <w:vMerge w:val="restart"/>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600" w:type="dxa"/>
            <w:vAlign w:val="bottom"/>
            <w:tcBorders>
              <w:bottom w:val="single" w:sz="8" w:color="CCEEFF"/>
            </w:tcBorders>
            <w:gridSpan w:val="4"/>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automotive cash used in operating activities – autonomous vehicle operations</w:t>
            </w:r>
          </w:p>
        </w:tc>
        <w:tc>
          <w:tcPr>
            <w:tcW w:w="180" w:type="dxa"/>
            <w:vAlign w:val="bottom"/>
          </w:tcPr>
          <w:p>
            <w:pPr>
              <w:spacing w:after="0"/>
              <w:rPr>
                <w:sz w:val="21"/>
                <w:szCs w:val="21"/>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 autonomous vehicle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Core adjusted automotive 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26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the reconciliation of Adjusted automotive free cash flow within this section of MD&amp;A.</w:t>
      </w:r>
    </w:p>
    <w:p>
      <w:pPr>
        <w:spacing w:after="0" w:line="18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 Moody's Investor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In March 2018 DBRS Limited revised their outlook to Positive from Stable. All other credit ratings remained unchanged since December 31, 2017.</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servicing fees, net distributions from credit facilities, securitizations, secured and unsecured borrowings and collections and recoveries on finance receivables. GM Financial's primary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GM Financial available liquidity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2018 available liquidity increased due primarily to an increase in receivables eligible to be pledged and a decrease in advances outstanding on secured revolving credit facilities.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the ability to borrow against our revolving credit facilities but did not borrow against them as of March 31, 2018. GM Financial's borrowing ability was revised with our amended and restated credit facilities in April 2018. Refer to the Automotive Liquidity section of this MD&amp;A for additional details.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7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2018 Net cash provided by operating activities increased due primarily to an increase in net leased vehicle income, partially offset by increased interest expense and operating expenses.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2018 Net cash used in investing activities decreased due primarily to: (1) increased proceeds from the termination of leased vehicles of $1.3 billion; (2) decreased purchases and funding of finance receivables of $1.0 billion; (3) increased collections on finance receivables of $0.8 billion; and (4) decreased purchases of leased vehicles of $0.2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2018 Net cash provided by financing activities decreased due primarily to a decrease in borrowings, net of payments, of $2.9 billion.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Critical Accounting Estimates </w:t>
      </w:r>
      <w:r>
        <w:rPr>
          <w:rFonts w:ascii="Arial" w:cs="Arial" w:eastAsia="Arial" w:hAnsi="Arial"/>
          <w:sz w:val="17"/>
          <w:szCs w:val="17"/>
          <w:color w:val="auto"/>
        </w:rPr>
        <w:t>The condensed consolidated financial statements are prepared in conformity with U.S. GAAP, which requires the use of</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2017 Form 10-K, as supplemented by the subsequent discussion of sales incentives for the adoption of ASU 2014-09. Refer to Note 1 to our condensed consolidated financial statements for additional information on the adoption of ASU 2014-09.</w:t>
      </w:r>
    </w:p>
    <w:p>
      <w:pPr>
        <w:spacing w:after="0" w:line="17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time of sale. There may be numerous types of incentives available at any particular time. Incentive programs are generally brand specific, model specific or sales region specific and are for specified time periods, which may be extended. Significant factors used in estimating the cost of incentives include forecasted sales volume, product type, product mix, customer behavior and assumptions concerning market conditions. Historical experience is also considered when establishing our future expectations. A change in any of these factors affecting the estimate could have a significant effect on recorded sales incentives. Subsequent adjustments to incentive estimates are possible as facts and circumstances change over time, which could affect the revenue previously recognized in Automotive net sales and revenue.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report and in reports we subsequently file and have previously filed with the SEC on Forms 10-K and 10-Q and file or</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timely fund and introduce new and improved vehicle models that are able to attract a sufficient number of consumers; (3) the success of our crossovers, SUVs and full-size pickup trucks; (4) our ability to reduce the costs associated with the manufacture and sale of electric vehicles; (5) global automobile market sales volume, which can be volatile; (6) our significant business in China which subjects us to unique operational, competitive and regulatory risks; (7) our joint ventures, which we cannot operate solely for our benefit and over which we may have limited control; (8) the international scale and footprint of our operations which exposes us to a variety of political, economic and regulatory risks, including the risk of changes in government leadership and laws (including tax laws),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 compliance with U.S. and foreign countries' export controls and economic sanctions, differing labor regulations and difficulties in obtaining financing in foreign countries; (9) any significant disruption at one of our manufacturing facilities could disrupt our production schedule; (10) the ability of our suppliers to deliver parts, systems and components without disruption and at such times to allow us to meet production schedules; (11) prices of raw materials used by us and our suppliers; (12) our highly competitive industry, which is characterized by excess manufacturing capacity and the use of incentives and the introduction of new and improved vehicle models by our competitors; (13) the possibility that competitors may independently develop products and services similar to ours and there are no guarantees that our intellectual property rights would prevent competitors from independently developing or selling those products or services; (14) our ability to manage risks related to security breaches and other disruptions to our vehicles, information technology networks and systems; (15) our ability to comply with extensive laws and regulations applicable to our industry, including those regarding fuel economy and emissions; (16) costs and risks associated with litigation and government investigations; (17) our ability to comply with the terms of the DPA; (18) the cost and effect on our reputation of product safety recalls and alleged defects in products and services; (19) our ability to successfully and cost-effectively restructure our operations in various countries, including Korea with minimal disruption to our supply chain and operations, globally; (20) our ability to realize production efficiencies and to achieve reductions in costs; (21) our continued ability to develop captive financing capability through GM Financial; and (22)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our 2017 Form 10-K and our subsequent filings with the SEC.</w:t>
      </w:r>
    </w:p>
    <w:p>
      <w:pPr>
        <w:spacing w:after="0" w:line="38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2017. Refer to Item 7A of our 2017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Securities Exchange Act of 1934, as amended (Exchange Act), is recorded, processed, summarized and reported within the specified time periods and accumulated and communicated to our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management, including our principal executive officer and principal financial officer, as appropriate, to allow timely decisions regarding required disclosures.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March 31, 2018. Based on this evaluation required by paragraph (b) of Rules 13a-15 or 15d-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 our CEO and CFO concluded that our disclosure controls and procedures were effective as of March 31, 2018.</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March 31, 2018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14 to our condensed consolidated financial statements and the 2017 Form 10-K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color w:val="auto"/>
        </w:rPr>
        <w:t xml:space="preserve">We must successfully restructure our operations in Korea. </w:t>
      </w:r>
      <w:r>
        <w:rPr>
          <w:rFonts w:ascii="Arial" w:cs="Arial" w:eastAsia="Arial" w:hAnsi="Arial"/>
          <w:sz w:val="17"/>
          <w:szCs w:val="17"/>
          <w:color w:val="auto"/>
        </w:rPr>
        <w:t>In early 2018, we announced significant restructuring actions and proposed a viability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lower GM Korea's manufacturing capacity and operating costs in response to difficult market and operating conditions. In April 2018, GM Korea reached an agreement with its labor union addressing the need to improve GM Korea's financial and operational performance. That agreement is conditional upon GM Korea reaching a definitive agreement with the KDB, one of GM Korea's minority owners, to provide financial support necessary for GM Korea's continued operations. On April 26, 2018, the KDB tentatively agreed to invest $750 million in GM Korea. That tentative agreement remains subject to further negotiations but is expected to be executed in the three months ending June 30, 2018. In the event this tentative agreement is not consummated, we may be required to take further actions to address GM Korea’s financial and operational performance, which could have a material adverse impact on our financial performance. Refer to Note 14 and Note 16 to our condensed consolidated financial statements and the MD&amp;A for additional information on the financial impact of recent actions taken in GM Korea and to Item 1A. Risk Factors of our 2017 Form 10-K for a description of additional risks that could affect our results of operations and financial condition.</w:t>
      </w:r>
    </w:p>
    <w:p>
      <w:pPr>
        <w:spacing w:after="0" w:line="18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March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 through January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113,532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$3.5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February 1, 2018 through February 28,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6,554,595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21"/>
                <w:szCs w:val="21"/>
                <w:color w:val="auto"/>
              </w:rPr>
            </w:pP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2,518,257</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2018 through March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660,232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7,328,359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2,518,257</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purchased include authorized shares that were a part of our stock repurchase plan. In addition, shares purchased consist of shares retained by us for the payment of the exercise price upon the exercise of warrants and shares delivered by employees or directors to us for the payment of taxes resulting from issuance of common stock upon the vesting of RSUs, Performance Stock Units (PSUs) and Restricted Stock Awards relating to compensation plans. Refer to our 2017 Form 10-K for additional details on warrants outstanding and employee stock incentive plans.</w:t>
      </w:r>
    </w:p>
    <w:p>
      <w:pPr>
        <w:spacing w:after="0" w:line="160"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40" w:type="dxa"/>
            <w:vAlign w:val="bottom"/>
            <w:gridSpan w:val="5"/>
          </w:tcPr>
          <w:p>
            <w:pPr>
              <w:spacing w:after="0"/>
              <w:rPr>
                <w:sz w:val="20"/>
                <w:szCs w:val="20"/>
                <w:color w:val="auto"/>
              </w:rPr>
            </w:pPr>
            <w:r>
              <w:rPr>
                <w:rFonts w:ascii="Arial" w:cs="Arial" w:eastAsia="Arial" w:hAnsi="Arial"/>
                <w:sz w:val="14"/>
                <w:szCs w:val="14"/>
                <w:b w:val="1"/>
                <w:bCs w:val="1"/>
                <w:color w:val="auto"/>
              </w:rPr>
              <w:t>Exhibit Name</w:t>
            </w:r>
          </w:p>
        </w:tc>
        <w:tc>
          <w:tcPr>
            <w:tcW w:w="16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3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Form of PSU Award Agreement</w:t>
              </w:r>
            </w:hyperlink>
          </w:p>
        </w:tc>
        <w:tc>
          <w:tcPr>
            <w:tcW w:w="6020" w:type="dxa"/>
            <w:vAlign w:val="bottom"/>
            <w:tcBorders>
              <w:bottom w:val="single" w:sz="8" w:color="CCEEFF"/>
            </w:tcBorders>
            <w:gridSpan w:val="7"/>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w:t>
            </w:r>
          </w:p>
        </w:tc>
        <w:tc>
          <w:tcPr>
            <w:tcW w:w="380" w:type="dxa"/>
            <w:vAlign w:val="bottom"/>
          </w:tcPr>
          <w:p>
            <w:pPr>
              <w:spacing w:after="0"/>
              <w:rPr>
                <w:sz w:val="17"/>
                <w:szCs w:val="17"/>
                <w:color w:val="auto"/>
              </w:rPr>
            </w:pPr>
          </w:p>
        </w:tc>
        <w:tc>
          <w:tcPr>
            <w:tcW w:w="8340" w:type="dxa"/>
            <w:vAlign w:val="bottom"/>
            <w:gridSpan w:val="9"/>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Form of Option Award Agreement</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38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2"/>
              </w:rPr>
            </w:pPr>
            <w:hyperlink w:anchor="page62">
              <w:r>
                <w:rPr>
                  <w:rFonts w:ascii="Arial" w:cs="Arial" w:eastAsia="Arial" w:hAnsi="Arial"/>
                  <w:sz w:val="18"/>
                  <w:szCs w:val="18"/>
                  <w:color w:val="0000FF"/>
                  <w:w w:val="92"/>
                </w:rPr>
                <w:t>Section 302 Certification of the Chief Executive Officer</w:t>
              </w:r>
            </w:hyperlink>
          </w:p>
        </w:tc>
        <w:tc>
          <w:tcPr>
            <w:tcW w:w="4300" w:type="dxa"/>
            <w:vAlign w:val="bottom"/>
            <w:tcBorders>
              <w:bottom w:val="single" w:sz="8" w:color="CCEEFF"/>
            </w:tcBorders>
            <w:gridSpan w:val="3"/>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380" w:type="dxa"/>
            <w:vAlign w:val="bottom"/>
          </w:tcPr>
          <w:p>
            <w:pPr>
              <w:spacing w:after="0"/>
              <w:rPr>
                <w:sz w:val="17"/>
                <w:szCs w:val="17"/>
                <w:color w:val="auto"/>
              </w:rPr>
            </w:pPr>
          </w:p>
        </w:tc>
        <w:tc>
          <w:tcPr>
            <w:tcW w:w="8340" w:type="dxa"/>
            <w:vAlign w:val="bottom"/>
            <w:gridSpan w:val="9"/>
          </w:tcPr>
          <w:p>
            <w:pPr>
              <w:spacing w:after="0" w:line="202" w:lineRule="exact"/>
              <w:rPr>
                <w:rFonts w:ascii="Arial" w:cs="Arial" w:eastAsia="Arial" w:hAnsi="Arial"/>
                <w:sz w:val="18"/>
                <w:szCs w:val="18"/>
                <w:color w:val="0000FF"/>
              </w:rPr>
            </w:pPr>
            <w:hyperlink w:anchor="page63">
              <w:r>
                <w:rPr>
                  <w:rFonts w:ascii="Arial" w:cs="Arial" w:eastAsia="Arial" w:hAnsi="Arial"/>
                  <w:sz w:val="18"/>
                  <w:szCs w:val="18"/>
                  <w:color w:val="0000FF"/>
                </w:rPr>
                <w:t>Section 302 Certification of the Chief Financial Officer</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7"/>
                <w:szCs w:val="17"/>
                <w:color w:val="auto"/>
              </w:rPr>
            </w:pPr>
          </w:p>
        </w:tc>
        <w:tc>
          <w:tcPr>
            <w:tcW w:w="8340" w:type="dxa"/>
            <w:vAlign w:val="bottom"/>
            <w:gridSpan w:val="9"/>
            <w:shd w:val="clear" w:color="auto" w:fill="CCEEFF"/>
          </w:tcPr>
          <w:p>
            <w:pPr>
              <w:spacing w:after="0" w:line="202" w:lineRule="exact"/>
              <w:rPr>
                <w:rFonts w:ascii="Arial" w:cs="Arial" w:eastAsia="Arial" w:hAnsi="Arial"/>
                <w:sz w:val="18"/>
                <w:szCs w:val="18"/>
                <w:color w:val="0000FF"/>
                <w:w w:val="92"/>
              </w:rPr>
            </w:pPr>
            <w:hyperlink w:anchor="page64">
              <w:r>
                <w:rPr>
                  <w:rFonts w:ascii="Arial" w:cs="Arial" w:eastAsia="Arial" w:hAnsi="Arial"/>
                  <w:sz w:val="18"/>
                  <w:szCs w:val="18"/>
                  <w:color w:val="0000FF"/>
                  <w:w w:val="92"/>
                </w:rPr>
                <w:t>Certification Pursuant to 18 U.S.C. Section 1350, As Adopted Pursuant to Section 906 of the Sarbanes-Oxley Act</w:t>
              </w:r>
            </w:hyperlink>
          </w:p>
        </w:tc>
        <w:tc>
          <w:tcPr>
            <w:tcW w:w="1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Furnished with this</w:t>
            </w: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of 2002</w:t>
              </w:r>
            </w:hyperlink>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Report</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83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834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83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834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83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83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044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Thomas S. Timko, Vice President, Global Business Solutions and</w:t>
      </w:r>
    </w:p>
    <w:p>
      <w:pPr>
        <w:spacing w:after="0" w:line="3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jc w:val="center"/>
        <w:spacing w:after="0"/>
        <w:rPr>
          <w:sz w:val="20"/>
          <w:szCs w:val="20"/>
          <w:color w:val="auto"/>
        </w:rPr>
      </w:pPr>
      <w:r>
        <w:rPr>
          <w:rFonts w:ascii="Arial" w:cs="Arial" w:eastAsia="Arial" w:hAnsi="Arial"/>
          <w:sz w:val="20"/>
          <w:szCs w:val="20"/>
          <w:b w:val="1"/>
          <w:bCs w:val="1"/>
          <w:color w:val="auto"/>
        </w:rPr>
        <w:t>2017 Long-Term Incentive Plan</w:t>
      </w:r>
    </w:p>
    <w:p>
      <w:pPr>
        <w:jc w:val="center"/>
        <w:spacing w:after="0"/>
        <w:rPr>
          <w:sz w:val="20"/>
          <w:szCs w:val="20"/>
          <w:color w:val="auto"/>
        </w:rPr>
      </w:pPr>
      <w:r>
        <w:rPr>
          <w:rFonts w:ascii="Arial" w:cs="Arial" w:eastAsia="Arial" w:hAnsi="Arial"/>
          <w:sz w:val="20"/>
          <w:szCs w:val="20"/>
          <w:b w:val="1"/>
          <w:bCs w:val="1"/>
          <w:color w:val="auto"/>
        </w:rPr>
        <w:t xml:space="preserve">Award Document for </w:t>
      </w:r>
      <w:r>
        <w:rPr>
          <w:rFonts w:ascii="Arial" w:cs="Arial" w:eastAsia="Arial" w:hAnsi="Arial"/>
          <w:sz w:val="20"/>
          <w:szCs w:val="20"/>
          <w:color w:val="auto"/>
        </w:rPr>
        <w:t>[●]</w:t>
      </w:r>
      <w:r>
        <w:rPr>
          <w:rFonts w:ascii="Arial" w:cs="Arial" w:eastAsia="Arial" w:hAnsi="Arial"/>
          <w:sz w:val="20"/>
          <w:szCs w:val="20"/>
          <w:b w:val="1"/>
          <w:bCs w:val="1"/>
          <w:color w:val="auto"/>
        </w:rPr>
        <w:t xml:space="preserve"> Grant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right="44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Performance Share Units (“</w:t>
      </w:r>
      <w:r>
        <w:rPr>
          <w:rFonts w:ascii="Arial" w:cs="Arial" w:eastAsia="Arial" w:hAnsi="Arial"/>
          <w:sz w:val="19"/>
          <w:szCs w:val="19"/>
          <w:b w:val="1"/>
          <w:bCs w:val="1"/>
          <w:color w:val="auto"/>
        </w:rPr>
        <w:t>PSUs</w:t>
      </w:r>
      <w:r>
        <w:rPr>
          <w:rFonts w:ascii="Arial" w:cs="Arial" w:eastAsia="Arial" w:hAnsi="Arial"/>
          <w:sz w:val="19"/>
          <w:szCs w:val="19"/>
          <w:color w:val="auto"/>
        </w:rPr>
        <w:t>”) under the General Motors Company 2017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4" w:lineRule="exact"/>
        <w:rPr>
          <w:sz w:val="20"/>
          <w:szCs w:val="20"/>
          <w:color w:val="auto"/>
        </w:rPr>
      </w:pPr>
    </w:p>
    <w:tbl>
      <w:tblPr>
        <w:tblLayout w:type="fixed"/>
        <w:tblInd w:w="270" w:type="dxa"/>
        <w:tblCellMar>
          <w:top w:w="0" w:type="dxa"/>
          <w:left w:w="0" w:type="dxa"/>
          <w:bottom w:w="0" w:type="dxa"/>
          <w:right w:w="0" w:type="dxa"/>
        </w:tblCellMar>
      </w:tblPr>
      <w:tr>
        <w:trPr>
          <w:trHeight w:val="274"/>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Number of Target Units</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 PSUs</w:t>
            </w:r>
          </w:p>
        </w:tc>
      </w:tr>
      <w:tr>
        <w:trPr>
          <w:trHeight w:val="239"/>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through [●]</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right w:val="single" w:sz="8" w:color="auto"/>
            </w:tcBorders>
          </w:tcPr>
          <w:p>
            <w:pPr>
              <w:spacing w:after="0"/>
              <w:rPr>
                <w:sz w:val="2"/>
                <w:szCs w:val="2"/>
                <w:color w:val="auto"/>
              </w:rPr>
            </w:pPr>
          </w:p>
        </w:tc>
      </w:tr>
      <w:tr>
        <w:trPr>
          <w:trHeight w:val="254"/>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Conditions</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239"/>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p>
        </w:tc>
      </w:tr>
      <w:tr>
        <w:trPr>
          <w:trHeight w:val="227"/>
        </w:trPr>
        <w:tc>
          <w:tcPr>
            <w:tcW w:w="25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7"/>
              </w:rPr>
              <w:t>Settlement Conditions and</w:t>
            </w:r>
          </w:p>
        </w:tc>
        <w:tc>
          <w:tcPr>
            <w:tcW w:w="838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3"/>
              </w:rPr>
              <w:t>Subject to the achievement of the Performance Conditions, earned awards will vest and settle on the</w:t>
            </w:r>
          </w:p>
        </w:tc>
      </w:tr>
      <w:tr>
        <w:trPr>
          <w:trHeight w:val="236"/>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color w:val="auto"/>
                <w:w w:val="94"/>
              </w:rPr>
              <w:t>Settlement Date</w:t>
            </w:r>
            <w:r>
              <w:rPr>
                <w:rFonts w:ascii="Arial" w:cs="Arial" w:eastAsia="Arial" w:hAnsi="Arial"/>
                <w:sz w:val="20"/>
                <w:szCs w:val="20"/>
                <w:color w:val="auto"/>
                <w:w w:val="94"/>
              </w:rPr>
              <w:t>,” which shall be a date in [●] selected by the Committee for the settlement of your</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Award.</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For purposes of calculating the pro rata portion of the Award as may be required under the terms of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Plan, the time period for such proration will be deemed to have commenced on the first day of the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Performance Period.</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Except as otherwise provided in the Plan and this Award Document, any portion of the PSUs not vested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and settled prior to a Termination of Service shall be forfeited.</w:t>
            </w:r>
          </w:p>
        </w:tc>
      </w:tr>
      <w:tr>
        <w:trPr>
          <w:trHeight w:val="239"/>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20"/>
          </w:cols>
          <w:pgMar w:left="240" w:top="576" w:right="23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4"/>
              </w:rPr>
              <w:t>Your Award will be settled in shares of common stock of the Company (“</w:t>
            </w:r>
            <w:r>
              <w:rPr>
                <w:rFonts w:ascii="Arial" w:cs="Arial" w:eastAsia="Arial" w:hAnsi="Arial"/>
                <w:sz w:val="20"/>
                <w:szCs w:val="20"/>
                <w:b w:val="1"/>
                <w:bCs w:val="1"/>
                <w:color w:val="auto"/>
                <w:w w:val="94"/>
              </w:rPr>
              <w:t>Shares</w:t>
            </w:r>
            <w:r>
              <w:rPr>
                <w:rFonts w:ascii="Arial" w:cs="Arial" w:eastAsia="Arial" w:hAnsi="Arial"/>
                <w:sz w:val="20"/>
                <w:szCs w:val="20"/>
                <w:color w:val="auto"/>
                <w:w w:val="94"/>
              </w:rPr>
              <w:t>”) to the extent such</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Shares are earned pursuant to Exhibit A. Each earned PSU will be settled for one Share.</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Earned PSUs shall convey the right to receive dividend equivalents on the Shares underlying the PSU</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Award with respect to any dividends declared during the period from Grant Date to Settlement Date.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Accumulated dividend equivalents shall vest and be paid in cash on the Settlement Date, subject to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satisfaction of the performance, vesting and other conditions of the underlying PSU Award. No dividend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equivalents shall be provided with respect to any Shares subject to PSUs that are not earned or do not</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vest or settle pursuant to their terms.</w:t>
            </w:r>
          </w:p>
        </w:tc>
      </w:tr>
      <w:tr>
        <w:trPr>
          <w:trHeight w:val="419"/>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Notwithstanding the forgoing and the terms of the Plan, the Company reserves the right to further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 xml:space="preserve">modify the form of settlement of your Award. For example, </w:t>
            </w:r>
            <w:r>
              <w:rPr>
                <w:rFonts w:ascii="Arial" w:cs="Arial" w:eastAsia="Arial" w:hAnsi="Arial"/>
                <w:sz w:val="20"/>
                <w:szCs w:val="20"/>
                <w:b w:val="1"/>
                <w:bCs w:val="1"/>
                <w:color w:val="auto"/>
                <w:w w:val="93"/>
              </w:rPr>
              <w:t>if your work location at the time of any</w:t>
            </w:r>
          </w:p>
        </w:tc>
      </w:tr>
      <w:tr>
        <w:trPr>
          <w:trHeight w:val="236"/>
        </w:trPr>
        <w:tc>
          <w:tcPr>
            <w:tcW w:w="2540" w:type="dxa"/>
            <w:vAlign w:val="bottom"/>
            <w:tcBorders>
              <w:left w:val="single" w:sz="8" w:color="auto"/>
              <w:right w:val="single" w:sz="8" w:color="auto"/>
            </w:tcBorders>
          </w:tcPr>
          <w:p>
            <w:pPr>
              <w:spacing w:after="0"/>
              <w:rPr>
                <w:sz w:val="20"/>
                <w:szCs w:val="20"/>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w w:val="90"/>
              </w:rPr>
              <w:t>Settlement Date noted above is in China, India, Russia, Uzbekistan, or South Africa</w:t>
            </w:r>
            <w:r>
              <w:rPr>
                <w:rFonts w:ascii="Arial" w:cs="Arial" w:eastAsia="Arial" w:hAnsi="Arial"/>
                <w:sz w:val="20"/>
                <w:szCs w:val="20"/>
                <w:color w:val="auto"/>
                <w:w w:val="90"/>
              </w:rPr>
              <w:t>, (i) your PSUs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will only be settled by a cash payment to you equal to the Fair Market Value of the settled Shares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(subject to applicable withholding) and (ii) your PSUs will not be settled by the issue of any Shares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unless your work location changes to a jurisdiction that permits settlement in Shares.</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As required by law, the Company will withhold any applicable federal, state, local or foreign tax. You</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are responsible for any taxes due upon vesting and/or settlement.</w:t>
            </w:r>
          </w:p>
        </w:tc>
      </w:tr>
      <w:tr>
        <w:trPr>
          <w:trHeight w:val="239"/>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p>
        </w:tc>
      </w:tr>
      <w:tr>
        <w:trPr>
          <w:trHeight w:val="23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Pursuant and subject to Section 11 of the Plan, as a condition precedent to the vesting and/or settlement</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of any portion of your Award, you shall:</w:t>
            </w:r>
          </w:p>
        </w:tc>
      </w:tr>
      <w:tr>
        <w:trPr>
          <w:trHeight w:val="425"/>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4"/>
              </w:rPr>
              <w:t>• Refrain from engaging in any activity which will cause damage to the Company or is in any</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1"/>
              </w:rPr>
              <w:t>manner inimical or in any way contrary to the best interests of the Company, as determined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pursuant to the Plan; and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0"/>
              </w:rPr>
              <w:t>•Furnish to the Company such information with respect to the satisfaction of the foregoing as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the Committee may reasonably request.</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In addition, the Committee may require you to enter into such agreements as the Committee considers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appropriate.</w:t>
            </w:r>
          </w:p>
        </w:tc>
      </w:tr>
      <w:tr>
        <w:trPr>
          <w:trHeight w:val="438"/>
        </w:trPr>
        <w:tc>
          <w:tcPr>
            <w:tcW w:w="254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Your failure to satisfy any of the foregoing conditions precedent will result in the immediate cancellation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of the unvested portion of your Award and any vested portion of your Award that has not yet been</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settled, and you will not be entitled to receive any consideration with respect to such cancellation.</w:t>
            </w:r>
          </w:p>
        </w:tc>
      </w:tr>
      <w:tr>
        <w:trPr>
          <w:trHeight w:val="23"/>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920"/>
          </w:cols>
          <w:pgMar w:left="500" w:top="714" w:right="47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Borders>
              <w:right w:val="single" w:sz="8" w:color="auto"/>
            </w:tcBorders>
          </w:tcPr>
          <w:p>
            <w:pPr>
              <w:spacing w:after="0"/>
              <w:rPr>
                <w:sz w:val="22"/>
                <w:szCs w:val="22"/>
                <w:color w:val="auto"/>
              </w:rPr>
            </w:pPr>
          </w:p>
        </w:tc>
        <w:tc>
          <w:tcPr>
            <w:tcW w:w="2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Restrictive Covenants</w:t>
            </w:r>
          </w:p>
        </w:tc>
        <w:tc>
          <w:tcPr>
            <w:tcW w:w="8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6"/>
              </w:rPr>
              <w:t>In exchange for the PSUs described in this Award Document, except to the extent this provision is</w:t>
            </w:r>
          </w:p>
        </w:tc>
      </w:tr>
      <w:tr>
        <w:trPr>
          <w:trHeight w:val="224"/>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line="224" w:lineRule="exact"/>
              <w:rPr>
                <w:sz w:val="20"/>
                <w:szCs w:val="20"/>
                <w:color w:val="auto"/>
              </w:rPr>
            </w:pPr>
            <w:r>
              <w:rPr>
                <w:rFonts w:ascii="Arial" w:cs="Arial" w:eastAsia="Arial" w:hAnsi="Arial"/>
                <w:sz w:val="20"/>
                <w:szCs w:val="20"/>
                <w:color w:val="auto"/>
                <w:w w:val="99"/>
              </w:rPr>
              <w:t>expressly unenforceable or unlawful under applicable law, you agree to the following restrictive</w:t>
            </w:r>
          </w:p>
        </w:tc>
      </w:tr>
      <w:tr>
        <w:trPr>
          <w:trHeight w:val="236"/>
        </w:trPr>
        <w:tc>
          <w:tcPr>
            <w:tcW w:w="28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covenants (“</w:t>
            </w:r>
            <w:r>
              <w:rPr>
                <w:rFonts w:ascii="Arial" w:cs="Arial" w:eastAsia="Arial" w:hAnsi="Arial"/>
                <w:sz w:val="20"/>
                <w:szCs w:val="20"/>
                <w:b w:val="1"/>
                <w:bCs w:val="1"/>
                <w:color w:val="auto"/>
                <w:w w:val="94"/>
              </w:rPr>
              <w:t>Restrictive Covenants</w:t>
            </w:r>
            <w:r>
              <w:rPr>
                <w:rFonts w:ascii="Arial" w:cs="Arial" w:eastAsia="Arial" w:hAnsi="Arial"/>
                <w:sz w:val="20"/>
                <w:szCs w:val="20"/>
                <w:color w:val="auto"/>
                <w:w w:val="94"/>
              </w:rPr>
              <w:t>”) that apply during your employment with the Company and its</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Subsidiaries, and for the 12-month period commencing on your Termination of Service, including a Full</w:t>
            </w:r>
          </w:p>
        </w:tc>
      </w:tr>
      <w:tr>
        <w:trPr>
          <w:trHeight w:val="250"/>
        </w:trPr>
        <w:tc>
          <w:tcPr>
            <w:tcW w:w="28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Career Status Termination:</w:t>
            </w:r>
          </w:p>
        </w:tc>
      </w:tr>
      <w:tr>
        <w:trPr>
          <w:trHeight w:val="438"/>
        </w:trPr>
        <w:tc>
          <w:tcPr>
            <w:tcW w:w="2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4"/>
              </w:rPr>
              <w:t>• You will not directly or indirectly engage in or perform any engineering, purchasing, design,</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4"/>
              </w:rPr>
              <w:t>marketing, manufacturing or any other tasks or functions or provide services in any other</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1"/>
              </w:rPr>
              <w:t>capacity (e.g., as an employee, a board member, a manager or a consultant) for any motor</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2"/>
              </w:rPr>
              <w:t>vehicle manufacturer (including its parent, subsidiaries, and other affiliates) that competes</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with the Company or its Subsidiaries;</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6"/>
              </w:rPr>
              <w:t>• You will not directly or indirectly, knowingly induce any employee of the Company or any</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9"/>
              </w:rPr>
              <w:t>Subsidiary to leave their employment for participation, directly or indirectly, with any</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existing or future employer or business venture associated with you; and</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3"/>
              </w:rPr>
              <w:t>• You will not directly or indirectly solicit any client, customer, or supplier of, or provider to the</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1"/>
              </w:rPr>
              <w:t>Company or its Subsidiaries who was a client, customer, supplier or provider for which you</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3"/>
              </w:rPr>
              <w:t>provided services or supervised services during the 12-month period immediately prior to</w:t>
            </w:r>
          </w:p>
        </w:tc>
      </w:tr>
      <w:tr>
        <w:trPr>
          <w:trHeight w:val="250"/>
        </w:trPr>
        <w:tc>
          <w:tcPr>
            <w:tcW w:w="28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your Termination of Service.</w:t>
            </w:r>
          </w:p>
        </w:tc>
      </w:tr>
      <w:tr>
        <w:trPr>
          <w:trHeight w:val="438"/>
        </w:trPr>
        <w:tc>
          <w:tcPr>
            <w:tcW w:w="2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You may seek permission from the Company to take action that would otherwise violate one or more</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aspects of these Restrictive Covenants, including a request to work in a direct or indirect capacity for</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any motor vehicle manufacturer that competes with the Company, but the Company may deny such</w:t>
            </w:r>
          </w:p>
        </w:tc>
      </w:tr>
      <w:tr>
        <w:trPr>
          <w:trHeight w:val="250"/>
        </w:trPr>
        <w:tc>
          <w:tcPr>
            <w:tcW w:w="28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request in its unfettered discretion and otherwise enforce the provisions of the Restrictive Covenants.</w:t>
            </w:r>
          </w:p>
        </w:tc>
      </w:tr>
      <w:tr>
        <w:trPr>
          <w:trHeight w:val="438"/>
        </w:trPr>
        <w:tc>
          <w:tcPr>
            <w:tcW w:w="2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8"/>
              </w:rPr>
              <w:t>If you violate any of the Restrictive Covenants during its effective period without the Company’s</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consent, your entire Award, whether unvested or earned and vested but unsettled, will immediately be</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cancelled. In addition, you agree to repay to the Company the value of all PSUs that were delivered</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pursuant to this Award Document during the period commencing on the date that is 12 months prior to</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your Termination of Service and ending on the date that is 12 months following your Termination of</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Service. To the extent permitted under applicable law, the Company may also take action at equity or in</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law to enforce the provisions of the applicable Restrictive Covenants. Following application of this</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provision of the Award Document, you will continue to be bound by the obligations, promises and other</w:t>
            </w:r>
          </w:p>
        </w:tc>
      </w:tr>
      <w:tr>
        <w:trPr>
          <w:trHeight w:val="250"/>
        </w:trPr>
        <w:tc>
          <w:tcPr>
            <w:tcW w:w="28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agreements contained in the Plan and the Award Document.</w:t>
            </w:r>
          </w:p>
        </w:tc>
      </w:tr>
      <w:tr>
        <w:trPr>
          <w:trHeight w:val="23"/>
        </w:trPr>
        <w:tc>
          <w:tcPr>
            <w:tcW w:w="280" w:type="dxa"/>
            <w:vAlign w:val="bottom"/>
            <w:tcBorders>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380" w:type="dxa"/>
            <w:vAlign w:val="bottom"/>
            <w:tcBorders>
              <w:bottom w:val="single" w:sz="8" w:color="auto"/>
              <w:right w:val="single" w:sz="8" w:color="auto"/>
            </w:tcBorders>
          </w:tcPr>
          <w:p>
            <w:pPr>
              <w:spacing w:after="0"/>
              <w:rPr>
                <w:sz w:val="2"/>
                <w:szCs w:val="2"/>
                <w:color w:val="auto"/>
              </w:rPr>
            </w:pPr>
          </w:p>
        </w:tc>
      </w:tr>
      <w:tr>
        <w:trPr>
          <w:trHeight w:val="227"/>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b w:val="1"/>
                <w:bCs w:val="1"/>
                <w:color w:val="auto"/>
                <w:w w:val="91"/>
              </w:rPr>
              <w:t>Other Terms and Conditions</w:t>
            </w:r>
          </w:p>
        </w:tc>
        <w:tc>
          <w:tcPr>
            <w:tcW w:w="838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w w:val="91"/>
              </w:rPr>
              <w:t>Refer to the Plan for additional terms and conditions applicable to your Award, including but not limited</w:t>
            </w:r>
          </w:p>
        </w:tc>
      </w:tr>
      <w:tr>
        <w:trPr>
          <w:trHeight w:val="256"/>
        </w:trPr>
        <w:tc>
          <w:tcPr>
            <w:tcW w:w="280" w:type="dxa"/>
            <w:vAlign w:val="bottom"/>
            <w:tcBorders>
              <w:right w:val="single" w:sz="8" w:color="auto"/>
            </w:tcBorders>
          </w:tcPr>
          <w:p>
            <w:pPr>
              <w:spacing w:after="0"/>
              <w:rPr>
                <w:sz w:val="22"/>
                <w:szCs w:val="22"/>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of the Award</w:t>
            </w:r>
          </w:p>
        </w:tc>
        <w:tc>
          <w:tcPr>
            <w:tcW w:w="8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 those relating to:</w:t>
            </w:r>
          </w:p>
        </w:tc>
      </w:tr>
      <w:tr>
        <w:trPr>
          <w:trHeight w:val="425"/>
        </w:trPr>
        <w:tc>
          <w:tcPr>
            <w:tcW w:w="2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 Effect of your Termination of Service on your Award, including upon Death, Disability,</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1"/>
              </w:rPr>
              <w:t>• Your Award being subject to any clawback or recoupment policies of the Company as may be</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in effect from time to time;</w:t>
            </w:r>
          </w:p>
        </w:tc>
      </w:tr>
      <w:tr>
        <w:trPr>
          <w:trHeight w:val="230"/>
        </w:trPr>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6"/>
              </w:rPr>
              <w:t>• The impact of a Change in Control or other specified corporate event on your Award; and</w:t>
            </w:r>
          </w:p>
        </w:tc>
      </w:tr>
      <w:tr>
        <w:trPr>
          <w:trHeight w:val="250"/>
        </w:trPr>
        <w:tc>
          <w:tcPr>
            <w:tcW w:w="28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838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 Jurisdiction and governing law.</w:t>
            </w:r>
          </w:p>
        </w:tc>
      </w:tr>
      <w:tr>
        <w:trPr>
          <w:trHeight w:val="23"/>
        </w:trPr>
        <w:tc>
          <w:tcPr>
            <w:tcW w:w="280" w:type="dxa"/>
            <w:vAlign w:val="bottom"/>
            <w:tcBorders>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380" w:type="dxa"/>
            <w:vAlign w:val="bottom"/>
            <w:tcBorders>
              <w:bottom w:val="single" w:sz="8" w:color="auto"/>
              <w:right w:val="single" w:sz="8" w:color="auto"/>
            </w:tcBorders>
          </w:tcPr>
          <w:p>
            <w:pPr>
              <w:spacing w:after="0"/>
              <w:rPr>
                <w:sz w:val="2"/>
                <w:szCs w:val="2"/>
                <w:color w:val="auto"/>
              </w:rPr>
            </w:pPr>
          </w:p>
        </w:tc>
      </w:tr>
      <w:tr>
        <w:trPr>
          <w:trHeight w:val="250"/>
        </w:trPr>
        <w:tc>
          <w:tcPr>
            <w:tcW w:w="2800" w:type="dxa"/>
            <w:vAlign w:val="bottom"/>
            <w:gridSpan w:val="2"/>
          </w:tcPr>
          <w:p>
            <w:pPr>
              <w:spacing w:after="0"/>
              <w:rPr>
                <w:sz w:val="20"/>
                <w:szCs w:val="20"/>
                <w:color w:val="auto"/>
              </w:rPr>
            </w:pPr>
            <w:r>
              <w:rPr>
                <w:rFonts w:ascii="Arial" w:cs="Arial" w:eastAsia="Arial" w:hAnsi="Arial"/>
                <w:sz w:val="20"/>
                <w:szCs w:val="20"/>
                <w:b w:val="1"/>
                <w:bCs w:val="1"/>
                <w:color w:val="auto"/>
                <w:w w:val="94"/>
              </w:rPr>
              <w:t>Additional Acknowledgements</w:t>
            </w:r>
          </w:p>
        </w:tc>
        <w:tc>
          <w:tcPr>
            <w:tcW w:w="8380" w:type="dxa"/>
            <w:vAlign w:val="bottom"/>
          </w:tcPr>
          <w:p>
            <w:pPr>
              <w:spacing w:after="0"/>
              <w:rPr>
                <w:sz w:val="21"/>
                <w:szCs w:val="21"/>
                <w:color w:val="auto"/>
              </w:rPr>
            </w:pPr>
          </w:p>
        </w:tc>
      </w:tr>
    </w:tbl>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186" w:lineRule="exact"/>
        <w:rPr>
          <w:sz w:val="20"/>
          <w:szCs w:val="20"/>
          <w:color w:val="auto"/>
        </w:rPr>
      </w:pPr>
    </w:p>
    <w:p>
      <w:pPr>
        <w:ind w:left="340" w:right="28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w:t>
      </w:r>
    </w:p>
    <w:p>
      <w:pPr>
        <w:sectPr>
          <w:pgSz w:w="11900" w:h="16838" w:orient="portrait"/>
          <w:cols w:equalWidth="0" w:num="1">
            <w:col w:w="11240"/>
          </w:cols>
          <w:pgMar w:left="240" w:top="714" w:right="419" w:bottom="1440" w:gutter="0" w:footer="0" w:header="0"/>
        </w:sectPr>
      </w:pPr>
    </w:p>
    <w:bookmarkStart w:id="52" w:name="page53"/>
    <w:bookmarkEnd w:id="52"/>
    <w:p>
      <w:pPr>
        <w:ind w:left="332"/>
        <w:spacing w:after="0"/>
        <w:rPr>
          <w:sz w:val="20"/>
          <w:szCs w:val="20"/>
          <w:color w:val="auto"/>
        </w:rPr>
      </w:pPr>
      <w:r>
        <w:rPr>
          <w:rFonts w:ascii="Arial" w:cs="Arial" w:eastAsia="Arial" w:hAnsi="Arial"/>
          <w:sz w:val="20"/>
          <w:szCs w:val="20"/>
          <w:color w:val="auto"/>
        </w:rPr>
        <w:t>third party service provider, for all purposes relating to the operation of the Plan in accordance with Section 20 of the Plan.</w:t>
      </w:r>
    </w:p>
    <w:p>
      <w:pPr>
        <w:spacing w:after="0" w:line="229" w:lineRule="exact"/>
        <w:rPr>
          <w:sz w:val="20"/>
          <w:szCs w:val="20"/>
          <w:color w:val="auto"/>
        </w:rPr>
      </w:pPr>
    </w:p>
    <w:p>
      <w:pPr>
        <w:ind w:left="332" w:right="60" w:hanging="332"/>
        <w:spacing w:after="0" w:line="244"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194" w:lineRule="exact"/>
        <w:rPr>
          <w:rFonts w:ascii="Arial" w:cs="Arial" w:eastAsia="Arial" w:hAnsi="Arial"/>
          <w:sz w:val="18"/>
          <w:szCs w:val="18"/>
          <w:color w:val="auto"/>
        </w:rPr>
      </w:pPr>
    </w:p>
    <w:p>
      <w:pPr>
        <w:ind w:left="332" w:right="40" w:hanging="332"/>
        <w:spacing w:after="0" w:line="244"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94" w:lineRule="exact"/>
        <w:rPr>
          <w:rFonts w:ascii="Arial" w:cs="Arial" w:eastAsia="Arial" w:hAnsi="Arial"/>
          <w:sz w:val="18"/>
          <w:szCs w:val="18"/>
          <w:color w:val="auto"/>
        </w:rPr>
      </w:pPr>
    </w:p>
    <w:p>
      <w:pPr>
        <w:ind w:left="332" w:right="20" w:hanging="332"/>
        <w:spacing w:after="0" w:line="244"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94" w:lineRule="exact"/>
        <w:rPr>
          <w:rFonts w:ascii="Arial" w:cs="Arial" w:eastAsia="Arial" w:hAnsi="Arial"/>
          <w:sz w:val="18"/>
          <w:szCs w:val="18"/>
          <w:color w:val="auto"/>
        </w:rPr>
      </w:pPr>
    </w:p>
    <w:p>
      <w:pPr>
        <w:ind w:left="332" w:right="60" w:hanging="332"/>
        <w:spacing w:after="0" w:line="316" w:lineRule="auto"/>
        <w:tabs>
          <w:tab w:leader="none" w:pos="332" w:val="left"/>
        </w:tabs>
        <w:numPr>
          <w:ilvl w:val="0"/>
          <w:numId w:val="15"/>
        </w:numPr>
        <w:rPr>
          <w:rFonts w:ascii="Arial" w:cs="Arial" w:eastAsia="Arial" w:hAnsi="Arial"/>
          <w:sz w:val="16"/>
          <w:szCs w:val="16"/>
          <w:color w:val="auto"/>
        </w:rPr>
      </w:pPr>
      <w:r>
        <w:rPr>
          <w:rFonts w:ascii="Arial" w:cs="Arial" w:eastAsia="Arial" w:hAnsi="Arial"/>
          <w:sz w:val="18"/>
          <w:szCs w:val="18"/>
          <w:color w:val="auto"/>
        </w:rPr>
        <w:t>This Award includes Restrictive Covenants and conditions precedent that apply during and following your termination of employment, and the PSUs described in this Award constitute good and valuable consideration provided in exchange for those Restrictive Covenants.</w:t>
      </w:r>
    </w:p>
    <w:p>
      <w:pPr>
        <w:spacing w:after="0" w:line="130" w:lineRule="exact"/>
        <w:rPr>
          <w:rFonts w:ascii="Arial" w:cs="Arial" w:eastAsia="Arial" w:hAnsi="Arial"/>
          <w:sz w:val="16"/>
          <w:szCs w:val="16"/>
          <w:color w:val="auto"/>
        </w:rPr>
      </w:pPr>
    </w:p>
    <w:p>
      <w:pPr>
        <w:ind w:left="332" w:right="40" w:hanging="332"/>
        <w:spacing w:after="0" w:line="25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86" w:lineRule="exact"/>
        <w:rPr>
          <w:rFonts w:ascii="Arial" w:cs="Arial" w:eastAsia="Arial" w:hAnsi="Arial"/>
          <w:sz w:val="18"/>
          <w:szCs w:val="18"/>
          <w:color w:val="auto"/>
        </w:rPr>
      </w:pPr>
    </w:p>
    <w:p>
      <w:pPr>
        <w:ind w:left="332" w:right="300" w:hanging="332"/>
        <w:spacing w:after="0" w:line="26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176" w:lineRule="exact"/>
        <w:rPr>
          <w:rFonts w:ascii="Arial" w:cs="Arial" w:eastAsia="Arial" w:hAnsi="Arial"/>
          <w:sz w:val="18"/>
          <w:szCs w:val="18"/>
          <w:color w:val="auto"/>
        </w:rPr>
      </w:pPr>
    </w:p>
    <w:p>
      <w:pPr>
        <w:ind w:left="332" w:right="160" w:hanging="332"/>
        <w:spacing w:after="0" w:line="282" w:lineRule="auto"/>
        <w:tabs>
          <w:tab w:leader="none" w:pos="332"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61" w:lineRule="exact"/>
        <w:rPr>
          <w:rFonts w:ascii="Arial" w:cs="Arial" w:eastAsia="Arial" w:hAnsi="Arial"/>
          <w:sz w:val="16"/>
          <w:szCs w:val="16"/>
          <w:color w:val="auto"/>
        </w:rPr>
      </w:pPr>
    </w:p>
    <w:p>
      <w:pPr>
        <w:ind w:left="332" w:right="200" w:hanging="332"/>
        <w:spacing w:after="0" w:line="26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90" w:lineRule="exact"/>
        <w:rPr>
          <w:rFonts w:ascii="Arial" w:cs="Arial" w:eastAsia="Arial" w:hAnsi="Arial"/>
          <w:sz w:val="18"/>
          <w:szCs w:val="18"/>
          <w:color w:val="auto"/>
        </w:rPr>
      </w:pPr>
    </w:p>
    <w:p>
      <w:pPr>
        <w:ind w:left="332" w:hanging="332"/>
        <w:spacing w:after="0" w:line="263"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9"/>
          <w:szCs w:val="19"/>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76" w:lineRule="exact"/>
        <w:rPr>
          <w:rFonts w:ascii="Arial" w:cs="Arial" w:eastAsia="Arial" w:hAnsi="Arial"/>
          <w:sz w:val="17"/>
          <w:szCs w:val="17"/>
          <w:color w:val="auto"/>
        </w:rPr>
      </w:pPr>
    </w:p>
    <w:p>
      <w:pPr>
        <w:jc w:val="both"/>
        <w:ind w:left="332" w:right="160" w:hanging="332"/>
        <w:spacing w:after="0" w:line="250"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20"/>
          <w:szCs w:val="20"/>
          <w:color w:val="auto"/>
        </w:rPr>
        <w:t>This Plan and this Award are governed by the laws of the State of Delaware, without regard to the conflicts of law provisions thereof, and any cause or claim arising with respect to this Award or the subject matter contained in this Award Document will be exclusively resolved in the Courts of Delaware. The Company will</w:t>
      </w:r>
    </w:p>
    <w:p>
      <w:pPr>
        <w:sectPr>
          <w:pgSz w:w="11900" w:h="16838" w:orient="portrait"/>
          <w:cols w:equalWidth="0" w:num="1">
            <w:col w:w="11412"/>
          </w:cols>
          <w:pgMar w:left="248" w:top="595" w:right="239" w:bottom="1440" w:gutter="0" w:footer="0" w:header="0"/>
        </w:sectPr>
      </w:pPr>
    </w:p>
    <w:bookmarkStart w:id="53" w:name="page54"/>
    <w:bookmarkEnd w:id="53"/>
    <w:p>
      <w:pPr>
        <w:ind w:left="340" w:right="580"/>
        <w:spacing w:after="0" w:line="278" w:lineRule="auto"/>
        <w:rPr>
          <w:sz w:val="20"/>
          <w:szCs w:val="20"/>
          <w:color w:val="auto"/>
        </w:rPr>
      </w:pPr>
      <w:r>
        <w:rPr>
          <w:rFonts w:ascii="Arial" w:cs="Arial" w:eastAsia="Arial" w:hAnsi="Arial"/>
          <w:sz w:val="20"/>
          <w:szCs w:val="20"/>
          <w:color w:val="auto"/>
        </w:rPr>
        <w:t>make reasonable efforts so that the Award complies with all applicable federal and state securities laws; provided, however, notwithstanding any other provision of the Award Document, the PSUs shall not be settled if the settlement thereof would result in a violation of any such law.</w:t>
      </w:r>
    </w:p>
    <w:p>
      <w:pPr>
        <w:spacing w:after="0" w:line="173" w:lineRule="exact"/>
        <w:rPr>
          <w:sz w:val="20"/>
          <w:szCs w:val="20"/>
          <w:color w:val="auto"/>
        </w:rPr>
      </w:pPr>
    </w:p>
    <w:p>
      <w:pPr>
        <w:ind w:left="340" w:right="800" w:hanging="332"/>
        <w:spacing w:after="0" w:line="26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76"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2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40" w:hanging="332"/>
        <w:spacing w:after="0" w:line="247"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If you do not accept this Award by [●], this offer will lapse and be incapable of acceptance (unless otherwise agreed to by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w:t>
      </w:r>
    </w:p>
    <w:p>
      <w:pPr>
        <w:sectPr>
          <w:pgSz w:w="11900" w:h="16838" w:orient="portrait"/>
          <w:cols w:equalWidth="0" w:num="1">
            <w:col w:w="11400"/>
          </w:cols>
          <w:pgMar w:left="240" w:top="595"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Performance Measures</w:t>
      </w:r>
    </w:p>
    <w:p>
      <w:pPr>
        <w:spacing w:after="0" w:line="217"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number of Shares that will be delivered will range between 0 - 200% of your number of Target Units and will be determined based on two performance measures - Relative ROIC-Adjusted and Relative TSR. For each measure, GM’s ROIC-Adjusted performance and GM’s TSR performance will be measured relative to the performance of the companies in the “</w:t>
      </w:r>
      <w:r>
        <w:rPr>
          <w:rFonts w:ascii="Arial" w:cs="Arial" w:eastAsia="Arial" w:hAnsi="Arial"/>
          <w:sz w:val="19"/>
          <w:szCs w:val="19"/>
          <w:b w:val="1"/>
          <w:bCs w:val="1"/>
          <w:color w:val="auto"/>
        </w:rPr>
        <w:t>OEM Peer Group</w:t>
      </w:r>
      <w:r>
        <w:rPr>
          <w:rFonts w:ascii="Arial" w:cs="Arial" w:eastAsia="Arial" w:hAnsi="Arial"/>
          <w:sz w:val="19"/>
          <w:szCs w:val="19"/>
          <w:color w:val="auto"/>
        </w:rPr>
        <w:t>.” Each performance measure is assessed independently, so it is possible to receive a payout for one performance measure and not the other.</w:t>
      </w:r>
    </w:p>
    <w:p>
      <w:pPr>
        <w:spacing w:after="0" w:line="19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OEM Peer Group means the Original Equipment Manufacturers (other than GM) in the Dow Jones Automobiles and Parts Titans 30 Index on the Grant Date. Note: The Company reserves the right to adjust the companies listed in the OEM Peer Group due to the following events: mergers, acquisitions, consolidations, divestitures or insolvencies.</w:t>
      </w:r>
    </w:p>
    <w:p>
      <w:pPr>
        <w:spacing w:after="0" w:line="396"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b w:val="1"/>
          <w:bCs w:val="1"/>
          <w:u w:val="single" w:color="auto"/>
          <w:color w:val="auto"/>
        </w:rPr>
        <w:t>Relative ROIC-Adjusted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Two-thirds of the Target Units eligible to be earned will be determined based on Relative ROIC-Adjusted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First, the 3-Year Average ROIC-Adjusted for each company is determined.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ind w:left="660" w:right="120" w:hanging="328"/>
        <w:spacing w:after="0" w:line="239"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Third, GM’s 3-Year Average ROIC-Adjusted result is placed on the percentile continuum between the peer company directly above us and below us to determine our performance.</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86360</wp:posOffset>
            </wp:positionV>
            <wp:extent cx="6740525" cy="1054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0525" cy="1054735"/>
                    </a:xfrm>
                    <a:prstGeom prst="rect">
                      <a:avLst/>
                    </a:prstGeom>
                    <a:noFill/>
                  </pic:spPr>
                </pic:pic>
              </a:graphicData>
            </a:graphic>
          </wp:anchor>
        </w:drawing>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GM’s 3-Year Average ROIC-Adjusted Result Versus OEM Peer Group</w:t>
      </w:r>
    </w:p>
    <w:p>
      <w:pPr>
        <w:spacing w:after="0" w:line="67"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2020" w:type="dxa"/>
            <w:vAlign w:val="bottom"/>
          </w:tcPr>
          <w:p>
            <w:pPr>
              <w:spacing w:after="0"/>
              <w:rPr>
                <w:sz w:val="22"/>
                <w:szCs w:val="22"/>
                <w:color w:val="auto"/>
              </w:rPr>
            </w:pPr>
          </w:p>
        </w:tc>
        <w:tc>
          <w:tcPr>
            <w:tcW w:w="2520" w:type="dxa"/>
            <w:vAlign w:val="bottom"/>
          </w:tcPr>
          <w:p>
            <w:pPr>
              <w:jc w:val="center"/>
              <w:spacing w:after="0"/>
              <w:rPr>
                <w:sz w:val="20"/>
                <w:szCs w:val="20"/>
                <w:color w:val="auto"/>
              </w:rPr>
            </w:pPr>
            <w:r>
              <w:rPr>
                <w:rFonts w:ascii="Arial" w:cs="Arial" w:eastAsia="Arial" w:hAnsi="Arial"/>
                <w:sz w:val="20"/>
                <w:szCs w:val="20"/>
                <w:b w:val="1"/>
                <w:bCs w:val="1"/>
                <w:color w:val="auto"/>
                <w:w w:val="89"/>
              </w:rPr>
              <w:t>Below Threshold</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88"/>
              </w:rPr>
              <w:t>Threshold</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91"/>
              </w:rPr>
              <w:t>Target</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95"/>
              </w:rPr>
              <w:t>Maximum</w:t>
            </w:r>
          </w:p>
        </w:tc>
      </w:tr>
      <w:tr>
        <w:trPr>
          <w:trHeight w:val="23"/>
        </w:trPr>
        <w:tc>
          <w:tcPr>
            <w:tcW w:w="20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77"/>
        </w:trPr>
        <w:tc>
          <w:tcPr>
            <w:tcW w:w="20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color w:val="auto"/>
                <w:w w:val="90"/>
              </w:rPr>
              <w:t>Below 35</w:t>
            </w:r>
            <w:r>
              <w:rPr>
                <w:rFonts w:ascii="Arial" w:cs="Arial" w:eastAsia="Arial" w:hAnsi="Arial"/>
                <w:sz w:val="25"/>
                <w:szCs w:val="25"/>
                <w:color w:val="auto"/>
                <w:w w:val="90"/>
                <w:vertAlign w:val="superscript"/>
              </w:rPr>
              <w:t>th</w:t>
            </w:r>
            <w:r>
              <w:rPr>
                <w:rFonts w:ascii="Arial" w:cs="Arial" w:eastAsia="Arial" w:hAnsi="Arial"/>
                <w:sz w:val="20"/>
                <w:szCs w:val="20"/>
                <w:color w:val="auto"/>
                <w:w w:val="90"/>
              </w:rPr>
              <w:t xml:space="preserve"> Percentile</w:t>
            </w:r>
          </w:p>
        </w:tc>
        <w:tc>
          <w:tcPr>
            <w:tcW w:w="204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color w:val="auto"/>
                <w:w w:val="87"/>
              </w:rPr>
              <w:t>35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198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color w:val="auto"/>
                <w:w w:val="87"/>
              </w:rPr>
              <w:t>60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04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color w:val="auto"/>
                <w:w w:val="87"/>
              </w:rPr>
              <w:t>100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r>
      <w:tr>
        <w:trPr>
          <w:trHeight w:val="233"/>
        </w:trPr>
        <w:tc>
          <w:tcPr>
            <w:tcW w:w="2020" w:type="dxa"/>
            <w:vAlign w:val="bottom"/>
          </w:tcPr>
          <w:p>
            <w:pPr>
              <w:ind w:left="40"/>
              <w:spacing w:after="0"/>
              <w:rPr>
                <w:sz w:val="20"/>
                <w:szCs w:val="20"/>
                <w:color w:val="auto"/>
              </w:rPr>
            </w:pPr>
            <w:r>
              <w:rPr>
                <w:rFonts w:ascii="Arial" w:cs="Arial" w:eastAsia="Arial" w:hAnsi="Arial"/>
                <w:sz w:val="20"/>
                <w:szCs w:val="20"/>
                <w:color w:val="auto"/>
              </w:rPr>
              <w:t>Percentage of Target</w:t>
            </w:r>
          </w:p>
        </w:tc>
        <w:tc>
          <w:tcPr>
            <w:tcW w:w="2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30"/>
        </w:trPr>
        <w:tc>
          <w:tcPr>
            <w:tcW w:w="2020" w:type="dxa"/>
            <w:vAlign w:val="bottom"/>
          </w:tcPr>
          <w:p>
            <w:pPr>
              <w:ind w:left="40"/>
              <w:spacing w:after="0"/>
              <w:rPr>
                <w:sz w:val="20"/>
                <w:szCs w:val="20"/>
                <w:color w:val="auto"/>
              </w:rPr>
            </w:pPr>
            <w:r>
              <w:rPr>
                <w:rFonts w:ascii="Arial" w:cs="Arial" w:eastAsia="Arial" w:hAnsi="Arial"/>
                <w:sz w:val="20"/>
                <w:szCs w:val="20"/>
                <w:color w:val="auto"/>
              </w:rPr>
              <w:t>Units Eligible to be</w:t>
            </w:r>
          </w:p>
        </w:tc>
        <w:tc>
          <w:tcPr>
            <w:tcW w:w="2520" w:type="dxa"/>
            <w:vAlign w:val="bottom"/>
          </w:tcPr>
          <w:p>
            <w:pPr>
              <w:jc w:val="center"/>
              <w:spacing w:after="0"/>
              <w:rPr>
                <w:sz w:val="20"/>
                <w:szCs w:val="20"/>
                <w:color w:val="auto"/>
              </w:rPr>
            </w:pPr>
            <w:r>
              <w:rPr>
                <w:rFonts w:ascii="Arial" w:cs="Arial" w:eastAsia="Arial" w:hAnsi="Arial"/>
                <w:sz w:val="20"/>
                <w:szCs w:val="20"/>
                <w:color w:val="auto"/>
                <w:w w:val="96"/>
              </w:rPr>
              <w:t>0%</w:t>
            </w:r>
          </w:p>
        </w:tc>
        <w:tc>
          <w:tcPr>
            <w:tcW w:w="2040" w:type="dxa"/>
            <w:vAlign w:val="bottom"/>
          </w:tcPr>
          <w:p>
            <w:pPr>
              <w:jc w:val="center"/>
              <w:spacing w:after="0"/>
              <w:rPr>
                <w:sz w:val="20"/>
                <w:szCs w:val="20"/>
                <w:color w:val="auto"/>
              </w:rPr>
            </w:pPr>
            <w:r>
              <w:rPr>
                <w:rFonts w:ascii="Arial" w:cs="Arial" w:eastAsia="Arial" w:hAnsi="Arial"/>
                <w:sz w:val="20"/>
                <w:szCs w:val="20"/>
                <w:color w:val="auto"/>
                <w:w w:val="94"/>
              </w:rPr>
              <w:t>50%</w:t>
            </w: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100%</w:t>
            </w:r>
          </w:p>
        </w:tc>
        <w:tc>
          <w:tcPr>
            <w:tcW w:w="2040" w:type="dxa"/>
            <w:vAlign w:val="bottom"/>
          </w:tcPr>
          <w:p>
            <w:pPr>
              <w:jc w:val="center"/>
              <w:spacing w:after="0"/>
              <w:rPr>
                <w:sz w:val="20"/>
                <w:szCs w:val="20"/>
                <w:color w:val="auto"/>
              </w:rPr>
            </w:pPr>
            <w:r>
              <w:rPr>
                <w:rFonts w:ascii="Arial" w:cs="Arial" w:eastAsia="Arial" w:hAnsi="Arial"/>
                <w:sz w:val="20"/>
                <w:szCs w:val="20"/>
                <w:color w:val="auto"/>
                <w:w w:val="89"/>
              </w:rPr>
              <w:t>200%</w:t>
            </w:r>
          </w:p>
        </w:tc>
      </w:tr>
      <w:tr>
        <w:trPr>
          <w:trHeight w:val="250"/>
        </w:trPr>
        <w:tc>
          <w:tcPr>
            <w:tcW w:w="2020" w:type="dxa"/>
            <w:vAlign w:val="bottom"/>
          </w:tcPr>
          <w:p>
            <w:pPr>
              <w:ind w:left="40"/>
              <w:spacing w:after="0"/>
              <w:rPr>
                <w:sz w:val="20"/>
                <w:szCs w:val="20"/>
                <w:color w:val="auto"/>
              </w:rPr>
            </w:pPr>
            <w:r>
              <w:rPr>
                <w:rFonts w:ascii="Arial" w:cs="Arial" w:eastAsia="Arial" w:hAnsi="Arial"/>
                <w:sz w:val="20"/>
                <w:szCs w:val="20"/>
                <w:color w:val="auto"/>
              </w:rPr>
              <w:t>Earned</w:t>
            </w:r>
          </w:p>
        </w:tc>
        <w:tc>
          <w:tcPr>
            <w:tcW w:w="2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40" w:type="dxa"/>
            <w:vAlign w:val="bottom"/>
          </w:tcPr>
          <w:p>
            <w:pPr>
              <w:spacing w:after="0"/>
              <w:rPr>
                <w:sz w:val="21"/>
                <w:szCs w:val="2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Note: Percentage of Target Units eligible to be earned are interpolated for percentiles not shown between threshold and maximum.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Relative TSR</w:t>
      </w:r>
      <w:r>
        <w:rPr>
          <w:rFonts w:ascii="Arial" w:cs="Arial" w:eastAsia="Arial" w:hAnsi="Arial"/>
          <w:sz w:val="20"/>
          <w:szCs w:val="20"/>
          <w:b w:val="1"/>
          <w:bCs w:val="1"/>
          <w:color w:val="auto"/>
        </w:rPr>
        <w:t xml:space="preserve">: </w:t>
      </w:r>
      <w:r>
        <w:rPr>
          <w:rFonts w:ascii="Arial" w:cs="Arial" w:eastAsia="Arial" w:hAnsi="Arial"/>
          <w:sz w:val="20"/>
          <w:szCs w:val="20"/>
          <w:color w:val="auto"/>
        </w:rPr>
        <w:t>One-third of the Target Units eligible to be earned will be determined based on Relative TSR as follows:</w:t>
      </w:r>
    </w:p>
    <w:p>
      <w:pPr>
        <w:spacing w:after="0" w:line="22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First, the TSR for each company is determined.</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ind w:left="660" w:right="160" w:hanging="328"/>
        <w:spacing w:after="0" w:line="239"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Third, GM’s TSR result is placed on the percentile continuum between the peer company directly above us and below us to determine our performance.</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86360</wp:posOffset>
            </wp:positionV>
            <wp:extent cx="6740525" cy="1054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0525" cy="1054735"/>
                    </a:xfrm>
                    <a:prstGeom prst="rect">
                      <a:avLst/>
                    </a:prstGeom>
                    <a:noFill/>
                  </pic:spPr>
                </pic:pic>
              </a:graphicData>
            </a:graphic>
          </wp:anchor>
        </w:drawing>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GM’s TSR Result Versus OEM Peer Group</w:t>
      </w:r>
    </w:p>
    <w:p>
      <w:pPr>
        <w:spacing w:after="0" w:line="29" w:lineRule="exact"/>
        <w:rPr>
          <w:sz w:val="20"/>
          <w:szCs w:val="20"/>
          <w:color w:val="auto"/>
        </w:rPr>
      </w:pPr>
    </w:p>
    <w:tbl>
      <w:tblPr>
        <w:tblLayout w:type="fixed"/>
        <w:tblInd w:w="420" w:type="dxa"/>
        <w:tblCellMar>
          <w:top w:w="0" w:type="dxa"/>
          <w:left w:w="0" w:type="dxa"/>
          <w:bottom w:w="0" w:type="dxa"/>
          <w:right w:w="0" w:type="dxa"/>
        </w:tblCellMar>
      </w:tblPr>
      <w:tr>
        <w:trPr>
          <w:trHeight w:val="274"/>
        </w:trPr>
        <w:tc>
          <w:tcPr>
            <w:tcW w:w="1940" w:type="dxa"/>
            <w:vAlign w:val="bottom"/>
            <w:tcBorders>
              <w:top w:val="single" w:sz="8" w:color="auto"/>
              <w:right w:val="single" w:sz="8" w:color="auto"/>
            </w:tcBorders>
          </w:tcPr>
          <w:p>
            <w:pPr>
              <w:spacing w:after="0"/>
              <w:rPr>
                <w:sz w:val="23"/>
                <w:szCs w:val="23"/>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Below Threshold</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Threshold</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Target</w:t>
            </w: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Maximum</w:t>
            </w:r>
          </w:p>
        </w:tc>
      </w:tr>
      <w:tr>
        <w:trPr>
          <w:trHeight w:val="23"/>
        </w:trPr>
        <w:tc>
          <w:tcPr>
            <w:tcW w:w="19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77"/>
        </w:trPr>
        <w:tc>
          <w:tcPr>
            <w:tcW w:w="194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jc w:val="center"/>
              <w:spacing w:after="0" w:line="277" w:lineRule="exact"/>
              <w:rPr>
                <w:sz w:val="20"/>
                <w:szCs w:val="20"/>
                <w:color w:val="auto"/>
              </w:rPr>
            </w:pPr>
            <w:r>
              <w:rPr>
                <w:rFonts w:ascii="Arial" w:cs="Arial" w:eastAsia="Arial" w:hAnsi="Arial"/>
                <w:sz w:val="20"/>
                <w:szCs w:val="20"/>
                <w:color w:val="auto"/>
                <w:w w:val="90"/>
              </w:rPr>
              <w:t>Below 25</w:t>
            </w:r>
            <w:r>
              <w:rPr>
                <w:rFonts w:ascii="Arial" w:cs="Arial" w:eastAsia="Arial" w:hAnsi="Arial"/>
                <w:sz w:val="25"/>
                <w:szCs w:val="25"/>
                <w:color w:val="auto"/>
                <w:w w:val="90"/>
                <w:vertAlign w:val="superscript"/>
              </w:rPr>
              <w:t>th</w:t>
            </w:r>
            <w:r>
              <w:rPr>
                <w:rFonts w:ascii="Arial" w:cs="Arial" w:eastAsia="Arial" w:hAnsi="Arial"/>
                <w:sz w:val="20"/>
                <w:szCs w:val="20"/>
                <w:color w:val="auto"/>
                <w:w w:val="90"/>
              </w:rPr>
              <w:t xml:space="preserve"> Percentile</w:t>
            </w:r>
          </w:p>
        </w:tc>
        <w:tc>
          <w:tcPr>
            <w:tcW w:w="2020" w:type="dxa"/>
            <w:vAlign w:val="bottom"/>
            <w:tcBorders>
              <w:bottom w:val="single" w:sz="8" w:color="auto"/>
              <w:right w:val="single" w:sz="8" w:color="auto"/>
            </w:tcBorders>
          </w:tcPr>
          <w:p>
            <w:pPr>
              <w:jc w:val="center"/>
              <w:spacing w:after="0" w:line="277" w:lineRule="exact"/>
              <w:rPr>
                <w:sz w:val="20"/>
                <w:szCs w:val="20"/>
                <w:color w:val="auto"/>
              </w:rPr>
            </w:pPr>
            <w:r>
              <w:rPr>
                <w:rFonts w:ascii="Arial" w:cs="Arial" w:eastAsia="Arial" w:hAnsi="Arial"/>
                <w:sz w:val="20"/>
                <w:szCs w:val="20"/>
                <w:color w:val="auto"/>
                <w:w w:val="87"/>
              </w:rPr>
              <w:t>25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000" w:type="dxa"/>
            <w:vAlign w:val="bottom"/>
            <w:tcBorders>
              <w:bottom w:val="single" w:sz="8" w:color="auto"/>
              <w:right w:val="single" w:sz="8" w:color="auto"/>
            </w:tcBorders>
          </w:tcPr>
          <w:p>
            <w:pPr>
              <w:jc w:val="center"/>
              <w:spacing w:after="0" w:line="277" w:lineRule="exact"/>
              <w:rPr>
                <w:sz w:val="20"/>
                <w:szCs w:val="20"/>
                <w:color w:val="auto"/>
              </w:rPr>
            </w:pPr>
            <w:r>
              <w:rPr>
                <w:rFonts w:ascii="Arial" w:cs="Arial" w:eastAsia="Arial" w:hAnsi="Arial"/>
                <w:sz w:val="20"/>
                <w:szCs w:val="20"/>
                <w:color w:val="auto"/>
                <w:w w:val="87"/>
              </w:rPr>
              <w:t>50</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c>
          <w:tcPr>
            <w:tcW w:w="200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20"/>
                <w:szCs w:val="20"/>
                <w:color w:val="auto"/>
                <w:w w:val="87"/>
              </w:rPr>
              <w:t>75</w:t>
            </w:r>
            <w:r>
              <w:rPr>
                <w:rFonts w:ascii="Arial" w:cs="Arial" w:eastAsia="Arial" w:hAnsi="Arial"/>
                <w:sz w:val="25"/>
                <w:szCs w:val="25"/>
                <w:color w:val="auto"/>
                <w:w w:val="87"/>
                <w:vertAlign w:val="superscript"/>
              </w:rPr>
              <w:t>th</w:t>
            </w:r>
            <w:r>
              <w:rPr>
                <w:rFonts w:ascii="Arial" w:cs="Arial" w:eastAsia="Arial" w:hAnsi="Arial"/>
                <w:sz w:val="20"/>
                <w:szCs w:val="20"/>
                <w:color w:val="auto"/>
                <w:w w:val="87"/>
              </w:rPr>
              <w:t xml:space="preserve"> Percentile</w:t>
            </w:r>
          </w:p>
        </w:tc>
      </w:tr>
      <w:tr>
        <w:trPr>
          <w:trHeight w:val="233"/>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8"/>
              </w:rPr>
              <w:t>Percentage of Target</w:t>
            </w:r>
          </w:p>
        </w:tc>
        <w:tc>
          <w:tcPr>
            <w:tcW w:w="26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00" w:type="dxa"/>
            <w:vAlign w:val="bottom"/>
          </w:tcPr>
          <w:p>
            <w:pPr>
              <w:spacing w:after="0"/>
              <w:rPr>
                <w:sz w:val="20"/>
                <w:szCs w:val="20"/>
                <w:color w:val="auto"/>
              </w:rPr>
            </w:pPr>
          </w:p>
        </w:tc>
      </w:tr>
      <w:tr>
        <w:trPr>
          <w:trHeight w:val="230"/>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Units Eligible to be</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c>
          <w:tcPr>
            <w:tcW w:w="2000" w:type="dxa"/>
            <w:vAlign w:val="bottom"/>
          </w:tcPr>
          <w:p>
            <w:pPr>
              <w:jc w:val="center"/>
              <w:spacing w:after="0"/>
              <w:rPr>
                <w:sz w:val="20"/>
                <w:szCs w:val="20"/>
                <w:color w:val="auto"/>
              </w:rPr>
            </w:pPr>
            <w:r>
              <w:rPr>
                <w:rFonts w:ascii="Arial" w:cs="Arial" w:eastAsia="Arial" w:hAnsi="Arial"/>
                <w:sz w:val="20"/>
                <w:szCs w:val="20"/>
                <w:color w:val="auto"/>
                <w:w w:val="89"/>
              </w:rPr>
              <w:t>200%</w:t>
            </w:r>
          </w:p>
        </w:tc>
      </w:tr>
      <w:tr>
        <w:trPr>
          <w:trHeight w:val="250"/>
        </w:trPr>
        <w:tc>
          <w:tcPr>
            <w:tcW w:w="19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Earned</w:t>
            </w:r>
          </w:p>
        </w:tc>
        <w:tc>
          <w:tcPr>
            <w:tcW w:w="264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2000" w:type="dxa"/>
            <w:vAlign w:val="bottom"/>
          </w:tcPr>
          <w:p>
            <w:pPr>
              <w:spacing w:after="0"/>
              <w:rPr>
                <w:sz w:val="21"/>
                <w:szCs w:val="21"/>
                <w:color w:val="auto"/>
              </w:rPr>
            </w:pPr>
          </w:p>
        </w:tc>
      </w:tr>
      <w:tr>
        <w:trPr>
          <w:trHeight w:val="23"/>
        </w:trPr>
        <w:tc>
          <w:tcPr>
            <w:tcW w:w="19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9"/>
          <w:szCs w:val="19"/>
          <w:color w:val="auto"/>
        </w:rPr>
        <w:t>Note: Percentage of Target Units eligible to be earned are interpolated for percentiles not shown between threshold and maximum.</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Definitions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PSUs:</w:t>
      </w:r>
    </w:p>
    <w:p>
      <w:pPr>
        <w:spacing w:after="0" w:line="210"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color w:val="auto"/>
        </w:rPr>
        <w:t>3-Year Average Return on Invested Capital-Adjusted (“</w:t>
      </w:r>
      <w:r>
        <w:rPr>
          <w:rFonts w:ascii="Arial" w:cs="Arial" w:eastAsia="Arial" w:hAnsi="Arial"/>
          <w:sz w:val="20"/>
          <w:szCs w:val="20"/>
          <w:b w:val="1"/>
          <w:bCs w:val="1"/>
          <w:color w:val="auto"/>
        </w:rPr>
        <w:t>ROIC-Adjusted</w:t>
      </w:r>
      <w:r>
        <w:rPr>
          <w:rFonts w:ascii="Arial" w:cs="Arial" w:eastAsia="Arial" w:hAnsi="Arial"/>
          <w:sz w:val="20"/>
          <w:szCs w:val="20"/>
          <w:color w:val="auto"/>
        </w:rPr>
        <w:t>”) shall be the average annual return on invested capital for years [Insert Year], [Insert Year] and [Insert Year], where return on invested capital is:</w:t>
      </w:r>
    </w:p>
    <w:p>
      <w:pPr>
        <w:spacing w:after="0" w:line="331" w:lineRule="exact"/>
        <w:rPr>
          <w:sz w:val="20"/>
          <w:szCs w:val="20"/>
          <w:color w:val="auto"/>
        </w:rPr>
      </w:pPr>
    </w:p>
    <w:tbl>
      <w:tblPr>
        <w:tblLayout w:type="fixed"/>
        <w:tblInd w:w="3640" w:type="dxa"/>
        <w:tblCellMar>
          <w:top w:w="0" w:type="dxa"/>
          <w:left w:w="0" w:type="dxa"/>
          <w:bottom w:w="0" w:type="dxa"/>
          <w:right w:w="0" w:type="dxa"/>
        </w:tblCellMar>
      </w:tblPr>
      <w:tr>
        <w:trPr>
          <w:trHeight w:val="230"/>
        </w:trPr>
        <w:tc>
          <w:tcPr>
            <w:tcW w:w="1980" w:type="dxa"/>
            <w:vAlign w:val="bottom"/>
            <w:vMerge w:val="restart"/>
          </w:tcPr>
          <w:p>
            <w:pPr>
              <w:jc w:val="center"/>
              <w:ind w:right="121"/>
              <w:spacing w:after="0"/>
              <w:rPr>
                <w:sz w:val="20"/>
                <w:szCs w:val="20"/>
                <w:color w:val="auto"/>
              </w:rPr>
            </w:pPr>
            <w:r>
              <w:rPr>
                <w:rFonts w:ascii="Arial" w:cs="Arial" w:eastAsia="Arial" w:hAnsi="Arial"/>
                <w:sz w:val="20"/>
                <w:szCs w:val="20"/>
                <w:color w:val="auto"/>
                <w:w w:val="91"/>
              </w:rPr>
              <w:t>Total Company EBIT-</w:t>
            </w:r>
          </w:p>
        </w:tc>
        <w:tc>
          <w:tcPr>
            <w:tcW w:w="600" w:type="dxa"/>
            <w:vAlign w:val="bottom"/>
          </w:tcPr>
          <w:p>
            <w:pPr>
              <w:spacing w:after="0"/>
              <w:rPr>
                <w:sz w:val="19"/>
                <w:szCs w:val="19"/>
                <w:color w:val="auto"/>
              </w:rPr>
            </w:pPr>
          </w:p>
        </w:tc>
        <w:tc>
          <w:tcPr>
            <w:tcW w:w="1400" w:type="dxa"/>
            <w:vAlign w:val="bottom"/>
          </w:tcPr>
          <w:p>
            <w:pPr>
              <w:jc w:val="center"/>
              <w:ind w:left="201"/>
              <w:spacing w:after="0"/>
              <w:rPr>
                <w:sz w:val="20"/>
                <w:szCs w:val="20"/>
                <w:color w:val="auto"/>
              </w:rPr>
            </w:pPr>
            <w:r>
              <w:rPr>
                <w:rFonts w:ascii="Arial" w:cs="Arial" w:eastAsia="Arial" w:hAnsi="Arial"/>
                <w:sz w:val="20"/>
                <w:szCs w:val="20"/>
                <w:color w:val="auto"/>
                <w:w w:val="88"/>
              </w:rPr>
              <w:t>Average Total</w:t>
            </w: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600" w:type="dxa"/>
            <w:vAlign w:val="bottom"/>
            <w:vMerge w:val="restart"/>
          </w:tcPr>
          <w:p>
            <w:pPr>
              <w:jc w:val="right"/>
              <w:ind w:right="181"/>
              <w:spacing w:after="0"/>
              <w:rPr>
                <w:sz w:val="20"/>
                <w:szCs w:val="20"/>
                <w:color w:val="auto"/>
              </w:rPr>
            </w:pPr>
            <w:r>
              <w:rPr>
                <w:rFonts w:ascii="Arial" w:cs="Arial" w:eastAsia="Arial" w:hAnsi="Arial"/>
                <w:sz w:val="20"/>
                <w:szCs w:val="20"/>
                <w:color w:val="auto"/>
              </w:rPr>
              <w:t>÷</w:t>
            </w:r>
          </w:p>
        </w:tc>
        <w:tc>
          <w:tcPr>
            <w:tcW w:w="1400" w:type="dxa"/>
            <w:vAlign w:val="bottom"/>
            <w:vMerge w:val="restart"/>
          </w:tcPr>
          <w:p>
            <w:pPr>
              <w:jc w:val="center"/>
              <w:ind w:left="201"/>
              <w:spacing w:after="0"/>
              <w:rPr>
                <w:sz w:val="20"/>
                <w:szCs w:val="20"/>
                <w:color w:val="auto"/>
              </w:rPr>
            </w:pPr>
            <w:r>
              <w:rPr>
                <w:rFonts w:ascii="Arial" w:cs="Arial" w:eastAsia="Arial" w:hAnsi="Arial"/>
                <w:sz w:val="20"/>
                <w:szCs w:val="20"/>
                <w:color w:val="auto"/>
                <w:w w:val="89"/>
              </w:rPr>
              <w:t>Company Net</w:t>
            </w:r>
          </w:p>
        </w:tc>
        <w:tc>
          <w:tcPr>
            <w:tcW w:w="0" w:type="dxa"/>
            <w:vAlign w:val="bottom"/>
          </w:tcPr>
          <w:p>
            <w:pPr>
              <w:spacing w:after="0"/>
              <w:rPr>
                <w:sz w:val="1"/>
                <w:szCs w:val="1"/>
                <w:color w:val="auto"/>
              </w:rPr>
            </w:pPr>
          </w:p>
        </w:tc>
      </w:tr>
      <w:tr>
        <w:trPr>
          <w:trHeight w:val="122"/>
        </w:trPr>
        <w:tc>
          <w:tcPr>
            <w:tcW w:w="1980" w:type="dxa"/>
            <w:vAlign w:val="bottom"/>
            <w:vMerge w:val="restart"/>
          </w:tcPr>
          <w:p>
            <w:pPr>
              <w:jc w:val="center"/>
              <w:ind w:right="101"/>
              <w:spacing w:after="0"/>
              <w:rPr>
                <w:sz w:val="20"/>
                <w:szCs w:val="20"/>
                <w:color w:val="auto"/>
              </w:rPr>
            </w:pPr>
            <w:r>
              <w:rPr>
                <w:rFonts w:ascii="Arial" w:cs="Arial" w:eastAsia="Arial" w:hAnsi="Arial"/>
                <w:sz w:val="20"/>
                <w:szCs w:val="20"/>
                <w:color w:val="auto"/>
                <w:w w:val="95"/>
              </w:rPr>
              <w:t>Adjusted*</w:t>
            </w:r>
          </w:p>
        </w:tc>
        <w:tc>
          <w:tcPr>
            <w:tcW w:w="6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vMerge w:val="restart"/>
          </w:tcPr>
          <w:p>
            <w:pPr>
              <w:jc w:val="center"/>
              <w:ind w:left="181"/>
              <w:spacing w:after="0"/>
              <w:rPr>
                <w:sz w:val="20"/>
                <w:szCs w:val="20"/>
                <w:color w:val="auto"/>
              </w:rPr>
            </w:pPr>
            <w:r>
              <w:rPr>
                <w:rFonts w:ascii="Arial" w:cs="Arial" w:eastAsia="Arial" w:hAnsi="Arial"/>
                <w:sz w:val="20"/>
                <w:szCs w:val="20"/>
                <w:color w:val="auto"/>
                <w:w w:val="95"/>
              </w:rPr>
              <w:t>Assets**</w:t>
            </w: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*EBIT-Adjusted is defined as earnings excluding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**Net Assets will be the average for the year and will exclude: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All income tax related accounts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Interest and certain dividend related accounts</w:t>
      </w:r>
    </w:p>
    <w:p>
      <w:pPr>
        <w:ind w:left="660"/>
        <w:spacing w:after="0"/>
        <w:rPr>
          <w:sz w:val="20"/>
          <w:szCs w:val="20"/>
          <w:color w:val="auto"/>
        </w:rPr>
      </w:pPr>
      <w:r>
        <w:rPr>
          <w:rFonts w:ascii="Arial" w:cs="Arial" w:eastAsia="Arial" w:hAnsi="Arial"/>
          <w:sz w:val="20"/>
          <w:szCs w:val="20"/>
          <w:color w:val="auto"/>
        </w:rPr>
        <w:t>–  Fresh start accounting goodwill</w:t>
      </w:r>
    </w:p>
    <w:p>
      <w:pPr>
        <w:ind w:left="660"/>
        <w:spacing w:after="0"/>
        <w:rPr>
          <w:sz w:val="20"/>
          <w:szCs w:val="20"/>
          <w:color w:val="auto"/>
        </w:rPr>
      </w:pPr>
      <w:r>
        <w:rPr>
          <w:rFonts w:ascii="Arial" w:cs="Arial" w:eastAsia="Arial" w:hAnsi="Arial"/>
          <w:sz w:val="20"/>
          <w:szCs w:val="20"/>
          <w:color w:val="auto"/>
        </w:rPr>
        <w:t>–  External debt (except capital leases)</w:t>
      </w:r>
    </w:p>
    <w:p>
      <w:pPr>
        <w:ind w:left="660"/>
        <w:spacing w:after="0"/>
        <w:rPr>
          <w:sz w:val="20"/>
          <w:szCs w:val="20"/>
          <w:color w:val="auto"/>
        </w:rPr>
      </w:pPr>
      <w:r>
        <w:rPr>
          <w:rFonts w:ascii="Arial" w:cs="Arial" w:eastAsia="Arial" w:hAnsi="Arial"/>
          <w:sz w:val="20"/>
          <w:szCs w:val="20"/>
          <w:color w:val="auto"/>
        </w:rPr>
        <w:t>–  Pension and OPEB liabilities</w:t>
      </w:r>
    </w:p>
    <w:p>
      <w:pPr>
        <w:spacing w:after="0" w:line="20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Total Shareholder Return (“</w:t>
      </w:r>
      <w:r>
        <w:rPr>
          <w:rFonts w:ascii="Arial" w:cs="Arial" w:eastAsia="Arial" w:hAnsi="Arial"/>
          <w:sz w:val="20"/>
          <w:szCs w:val="20"/>
          <w:b w:val="1"/>
          <w:bCs w:val="1"/>
          <w:color w:val="auto"/>
        </w:rPr>
        <w:t>TSR</w:t>
      </w:r>
      <w:r>
        <w:rPr>
          <w:rFonts w:ascii="Arial" w:cs="Arial" w:eastAsia="Arial" w:hAnsi="Arial"/>
          <w:sz w:val="20"/>
          <w:szCs w:val="20"/>
          <w:color w:val="auto"/>
        </w:rPr>
        <w:t>”) shall be the change in a company’s common stock price on the New York Stock Exchange (or other applicable exchange), plus reinvested dividends, expressed as a percent of the original stock price. For purposes of calculating the starting and ending stock prices for the OEM Peer Group companies and GM, it is the 30 trading day trailing average converted daily to U.S. Dollars prior to and including [Insert Date] (“</w:t>
      </w:r>
      <w:r>
        <w:rPr>
          <w:rFonts w:ascii="Arial" w:cs="Arial" w:eastAsia="Arial" w:hAnsi="Arial"/>
          <w:sz w:val="20"/>
          <w:szCs w:val="20"/>
          <w:b w:val="1"/>
          <w:bCs w:val="1"/>
          <w:color w:val="auto"/>
        </w:rPr>
        <w:t>Starting Stock Price</w:t>
      </w:r>
      <w:r>
        <w:rPr>
          <w:rFonts w:ascii="Arial" w:cs="Arial" w:eastAsia="Arial" w:hAnsi="Arial"/>
          <w:sz w:val="20"/>
          <w:szCs w:val="20"/>
          <w:color w:val="auto"/>
        </w:rPr>
        <w:t>”) and [Insert Date] (“</w:t>
      </w:r>
      <w:r>
        <w:rPr>
          <w:rFonts w:ascii="Arial" w:cs="Arial" w:eastAsia="Arial" w:hAnsi="Arial"/>
          <w:sz w:val="20"/>
          <w:szCs w:val="20"/>
          <w:b w:val="1"/>
          <w:bCs w:val="1"/>
          <w:color w:val="auto"/>
        </w:rPr>
        <w:t>Ending Stock Price</w:t>
      </w:r>
      <w:r>
        <w:rPr>
          <w:rFonts w:ascii="Arial" w:cs="Arial" w:eastAsia="Arial" w:hAnsi="Arial"/>
          <w:sz w:val="20"/>
          <w:szCs w:val="20"/>
          <w:color w:val="auto"/>
        </w:rPr>
        <w:t>”). If necessary, TSR will be adjusted to reflect stock splits or other changes to capitalization that occur.</w:t>
      </w:r>
    </w:p>
    <w:p>
      <w:pPr>
        <w:sectPr>
          <w:pgSz w:w="11900" w:h="16838" w:orient="portrait"/>
          <w:cols w:equalWidth="0" w:num="1">
            <w:col w:w="11420"/>
          </w:cols>
          <w:pgMar w:left="240" w:top="58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jc w:val="center"/>
        <w:spacing w:after="0"/>
        <w:rPr>
          <w:sz w:val="20"/>
          <w:szCs w:val="20"/>
          <w:color w:val="auto"/>
        </w:rPr>
      </w:pPr>
      <w:r>
        <w:rPr>
          <w:rFonts w:ascii="Arial" w:cs="Arial" w:eastAsia="Arial" w:hAnsi="Arial"/>
          <w:sz w:val="20"/>
          <w:szCs w:val="20"/>
          <w:b w:val="1"/>
          <w:bCs w:val="1"/>
          <w:color w:val="auto"/>
        </w:rPr>
        <w:t>2017 Long-Term Incentive Plan</w:t>
      </w:r>
    </w:p>
    <w:p>
      <w:pPr>
        <w:jc w:val="center"/>
        <w:spacing w:after="0"/>
        <w:rPr>
          <w:sz w:val="20"/>
          <w:szCs w:val="20"/>
          <w:color w:val="auto"/>
        </w:rPr>
      </w:pPr>
      <w:r>
        <w:rPr>
          <w:rFonts w:ascii="Arial" w:cs="Arial" w:eastAsia="Arial" w:hAnsi="Arial"/>
          <w:sz w:val="20"/>
          <w:szCs w:val="20"/>
          <w:b w:val="1"/>
          <w:bCs w:val="1"/>
          <w:color w:val="auto"/>
        </w:rPr>
        <w:t xml:space="preserve">Award Document for </w:t>
      </w:r>
      <w:r>
        <w:rPr>
          <w:rFonts w:ascii="Arial" w:cs="Arial" w:eastAsia="Arial" w:hAnsi="Arial"/>
          <w:sz w:val="20"/>
          <w:szCs w:val="20"/>
          <w:color w:val="auto"/>
        </w:rPr>
        <w:t>[●]</w:t>
      </w:r>
      <w:r>
        <w:rPr>
          <w:rFonts w:ascii="Arial" w:cs="Arial" w:eastAsia="Arial" w:hAnsi="Arial"/>
          <w:sz w:val="20"/>
          <w:szCs w:val="20"/>
          <w:b w:val="1"/>
          <w:bCs w:val="1"/>
          <w:color w:val="auto"/>
        </w:rPr>
        <w:t>Grant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Non-Qualified Stock Options</w:t>
      </w:r>
    </w:p>
    <w:p>
      <w:pPr>
        <w:spacing w:after="0" w:line="33"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Options</w:t>
      </w:r>
      <w:r>
        <w:rPr>
          <w:rFonts w:ascii="Arial" w:cs="Arial" w:eastAsia="Arial" w:hAnsi="Arial"/>
          <w:sz w:val="20"/>
          <w:szCs w:val="20"/>
          <w:color w:val="auto"/>
        </w:rPr>
        <w:t>”) under the General Motors Company 2017 Long-Term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 As the Options vest, you have the right to purchase Shares at the exercise price noted below (“</w:t>
      </w:r>
      <w:r>
        <w:rPr>
          <w:rFonts w:ascii="Arial" w:cs="Arial" w:eastAsia="Arial" w:hAnsi="Arial"/>
          <w:sz w:val="20"/>
          <w:szCs w:val="20"/>
          <w:b w:val="1"/>
          <w:bCs w:val="1"/>
          <w:color w:val="auto"/>
        </w:rPr>
        <w:t>Exercise Price</w:t>
      </w:r>
      <w:r>
        <w:rPr>
          <w:rFonts w:ascii="Arial" w:cs="Arial" w:eastAsia="Arial" w:hAnsi="Arial"/>
          <w:sz w:val="20"/>
          <w:szCs w:val="20"/>
          <w:color w:val="auto"/>
        </w:rPr>
        <w:t>”).</w:t>
      </w:r>
    </w:p>
    <w:p>
      <w:pPr>
        <w:spacing w:after="0" w:line="19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4" w:lineRule="exact"/>
        <w:rPr>
          <w:sz w:val="20"/>
          <w:szCs w:val="20"/>
          <w:color w:val="auto"/>
        </w:rPr>
      </w:pPr>
    </w:p>
    <w:tbl>
      <w:tblPr>
        <w:tblLayout w:type="fixed"/>
        <w:tblInd w:w="170" w:type="dxa"/>
        <w:tblCellMar>
          <w:top w:w="0" w:type="dxa"/>
          <w:left w:w="0" w:type="dxa"/>
          <w:bottom w:w="0" w:type="dxa"/>
          <w:right w:w="0" w:type="dxa"/>
        </w:tblCellMar>
      </w:tblPr>
      <w:tr>
        <w:trPr>
          <w:trHeight w:val="274"/>
        </w:trPr>
        <w:tc>
          <w:tcPr>
            <w:tcW w:w="2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27"/>
        </w:trPr>
        <w:tc>
          <w:tcPr>
            <w:tcW w:w="258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4"/>
              </w:rPr>
              <w:t>Number of Options Granted</w:t>
            </w:r>
          </w:p>
        </w:tc>
        <w:tc>
          <w:tcPr>
            <w:tcW w:w="856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Options</w:t>
            </w:r>
          </w:p>
        </w:tc>
      </w:tr>
      <w:tr>
        <w:trPr>
          <w:trHeight w:val="256"/>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To You</w:t>
            </w:r>
          </w:p>
        </w:tc>
        <w:tc>
          <w:tcPr>
            <w:tcW w:w="8560" w:type="dxa"/>
            <w:vAlign w:val="bottom"/>
            <w:tcBorders>
              <w:right w:val="single" w:sz="8" w:color="auto"/>
            </w:tcBorders>
          </w:tcPr>
          <w:p>
            <w:pPr>
              <w:spacing w:after="0"/>
              <w:rPr>
                <w:sz w:val="22"/>
                <w:szCs w:val="22"/>
                <w:color w:val="auto"/>
              </w:rPr>
            </w:pP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54"/>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Exercise Price</w:t>
            </w: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54"/>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54"/>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Vesting Schedule</w:t>
            </w: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One-third of the Options will vest on the first, second and third anniversaries of the Grant Date as follows:</w:t>
            </w:r>
          </w:p>
        </w:tc>
      </w:tr>
      <w:tr>
        <w:trPr>
          <w:trHeight w:val="425"/>
        </w:trPr>
        <w:tc>
          <w:tcPr>
            <w:tcW w:w="25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One-third on [●]</w:t>
            </w:r>
          </w:p>
        </w:tc>
      </w:tr>
      <w:tr>
        <w:trPr>
          <w:trHeight w:val="230"/>
        </w:trPr>
        <w:tc>
          <w:tcPr>
            <w:tcW w:w="2580" w:type="dxa"/>
            <w:vAlign w:val="bottom"/>
            <w:tcBorders>
              <w:left w:val="single" w:sz="8" w:color="auto"/>
              <w:right w:val="single" w:sz="8" w:color="auto"/>
            </w:tcBorders>
          </w:tcPr>
          <w:p>
            <w:pPr>
              <w:spacing w:after="0"/>
              <w:rPr>
                <w:sz w:val="19"/>
                <w:szCs w:val="19"/>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One-third on [●]</w:t>
            </w:r>
          </w:p>
        </w:tc>
      </w:tr>
      <w:tr>
        <w:trPr>
          <w:trHeight w:val="250"/>
        </w:trPr>
        <w:tc>
          <w:tcPr>
            <w:tcW w:w="25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One-third on [●]</w:t>
            </w:r>
          </w:p>
        </w:tc>
      </w:tr>
      <w:tr>
        <w:trPr>
          <w:trHeight w:val="425"/>
        </w:trPr>
        <w:tc>
          <w:tcPr>
            <w:tcW w:w="25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For purposes of calculating the pro rata portion of the Award as may be required under the terms of the</w:t>
            </w:r>
          </w:p>
        </w:tc>
      </w:tr>
      <w:tr>
        <w:trPr>
          <w:trHeight w:val="250"/>
        </w:trPr>
        <w:tc>
          <w:tcPr>
            <w:tcW w:w="25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Plan, the time period for such proration will be deemed to have commenced on the Grant Date.</w:t>
            </w:r>
          </w:p>
        </w:tc>
      </w:tr>
      <w:tr>
        <w:trPr>
          <w:trHeight w:val="425"/>
        </w:trPr>
        <w:tc>
          <w:tcPr>
            <w:tcW w:w="25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Except as otherwise provided in the Plan and this Award Document, any portion of the Options not vested</w:t>
            </w:r>
          </w:p>
        </w:tc>
      </w:tr>
      <w:tr>
        <w:trPr>
          <w:trHeight w:val="250"/>
        </w:trPr>
        <w:tc>
          <w:tcPr>
            <w:tcW w:w="25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 of a Termination of Service shall be forfeited.</w:t>
            </w:r>
          </w:p>
        </w:tc>
      </w:tr>
      <w:tr>
        <w:trPr>
          <w:trHeight w:val="23"/>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54"/>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Expiration Date</w:t>
            </w: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 upon the close of the New York Stock Exchange.</w:t>
            </w:r>
          </w:p>
        </w:tc>
      </w:tr>
      <w:tr>
        <w:trPr>
          <w:trHeight w:val="446"/>
        </w:trPr>
        <w:tc>
          <w:tcPr>
            <w:tcW w:w="25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r>
        <w:trPr>
          <w:trHeight w:val="239"/>
        </w:trPr>
        <w:tc>
          <w:tcPr>
            <w:tcW w:w="2580" w:type="dxa"/>
            <w:vAlign w:val="bottom"/>
            <w:tcBorders>
              <w:left w:val="single" w:sz="8" w:color="auto"/>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20"/>
          </w:cols>
          <w:pgMar w:left="240" w:top="576" w:right="239" w:bottom="144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5"/>
              </w:rPr>
              <w:t>Unless otherwise prohibited by the Plan, this Award Document, law or administrative rules established</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under the Plan, your Options may be exercised and settled in the following ways:</w:t>
            </w:r>
          </w:p>
        </w:tc>
      </w:tr>
      <w:tr>
        <w:trPr>
          <w:trHeight w:val="446"/>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Buy and Hold - Exercise Options to buy Shares using cash and then hold the Shares;</w:t>
            </w:r>
          </w:p>
        </w:tc>
      </w:tr>
      <w:tr>
        <w:trPr>
          <w:trHeight w:val="425"/>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Cashless - Exercise Options to buy Shares and sell the acquired Shares at the same time without using cash.</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Net proceeds received in cash;</w:t>
            </w:r>
          </w:p>
        </w:tc>
      </w:tr>
      <w:tr>
        <w:trPr>
          <w:trHeight w:val="425"/>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Net Shares - Exercise Options to buy Shares and sell the acquired Shares at the same time without using</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cash. Net proceeds received in Shares;</w:t>
            </w:r>
          </w:p>
        </w:tc>
      </w:tr>
      <w:tr>
        <w:trPr>
          <w:trHeight w:val="446"/>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Stock for Stock - Exercise Options to buy Shares using the value of Shares already owned;</w:t>
            </w:r>
          </w:p>
        </w:tc>
      </w:tr>
      <w:tr>
        <w:trPr>
          <w:trHeight w:val="446"/>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Combination or Other Methods (as may be approved by the Committee).</w:t>
            </w:r>
          </w:p>
        </w:tc>
      </w:tr>
      <w:tr>
        <w:trPr>
          <w:trHeight w:val="438"/>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Notwithstanding the forgoing and the terms of the Plan, the Company reserves the right to limit the form of</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settlement based on your home or host location at the time of exercise. For example, if you are providing</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services in certain specified jurisdictions at the time of exercise, you may only exercise vested Options</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through a cashless exercise. The Company also reserves the right to further modify the form of settlement of</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your Award as it deems appropriate to account for the impact of local law and regulations. For example, the</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Company may adjust settlement to account for unique limitations regarding the provision of equity outside</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United States.</w:t>
            </w:r>
          </w:p>
        </w:tc>
      </w:tr>
      <w:tr>
        <w:trPr>
          <w:trHeight w:val="425"/>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Regardless of the form of settlement, as required by law, the Company will withhold any applicable federal,</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state, local or foreign tax in connection with any exercise of the Options. You are responsible for any taxes</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due upon exercise of the Options.</w:t>
            </w:r>
          </w:p>
        </w:tc>
      </w:tr>
      <w:tr>
        <w:trPr>
          <w:trHeight w:val="239"/>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660" w:type="dxa"/>
            <w:vAlign w:val="bottom"/>
            <w:tcBorders>
              <w:bottom w:val="single" w:sz="8" w:color="auto"/>
              <w:right w:val="single" w:sz="8" w:color="auto"/>
            </w:tcBorders>
          </w:tcPr>
          <w:p>
            <w:pPr>
              <w:spacing w:after="0"/>
              <w:rPr>
                <w:sz w:val="20"/>
                <w:szCs w:val="20"/>
                <w:color w:val="auto"/>
              </w:rPr>
            </w:pPr>
          </w:p>
        </w:tc>
      </w:tr>
      <w:tr>
        <w:trPr>
          <w:trHeight w:val="233"/>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Pursuant and subject to Section 11 of the Plan, as a condition precedent to the vesting and/or exercise of any</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portion of your Award, you shall:</w:t>
            </w:r>
          </w:p>
        </w:tc>
      </w:tr>
      <w:tr>
        <w:trPr>
          <w:trHeight w:val="425"/>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1"/>
              </w:rPr>
              <w:t>•Refrain from engaging in any activity which will cause damage to the Company or is in any</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w w:val="94"/>
              </w:rPr>
              <w:t>manner inimical or in any way contrary to the best interests of the Company, as determined</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pursuant to the Plan; and</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0"/>
              </w:rPr>
              <w:t>•Furnish to the Company such information with respect to the satisfaction of the foregoing as the</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980"/>
              <w:spacing w:after="0"/>
              <w:rPr>
                <w:sz w:val="20"/>
                <w:szCs w:val="20"/>
                <w:color w:val="auto"/>
              </w:rPr>
            </w:pPr>
            <w:r>
              <w:rPr>
                <w:rFonts w:ascii="Arial" w:cs="Arial" w:eastAsia="Arial" w:hAnsi="Arial"/>
                <w:sz w:val="20"/>
                <w:szCs w:val="20"/>
                <w:color w:val="auto"/>
              </w:rPr>
              <w:t>Committee may reasonably request.</w:t>
            </w:r>
          </w:p>
        </w:tc>
      </w:tr>
      <w:tr>
        <w:trPr>
          <w:trHeight w:val="438"/>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In addition, the Committee may require you to enter into such agreements as the Committee considers</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appropriate.</w:t>
            </w:r>
          </w:p>
        </w:tc>
      </w:tr>
      <w:tr>
        <w:trPr>
          <w:trHeight w:val="425"/>
        </w:trPr>
        <w:tc>
          <w:tcPr>
            <w:tcW w:w="2480" w:type="dxa"/>
            <w:vAlign w:val="bottom"/>
            <w:tcBorders>
              <w:left w:val="single" w:sz="8" w:color="auto"/>
              <w:right w:val="single" w:sz="8" w:color="auto"/>
            </w:tcBorders>
          </w:tcPr>
          <w:p>
            <w:pPr>
              <w:spacing w:after="0"/>
              <w:rPr>
                <w:sz w:val="24"/>
                <w:szCs w:val="24"/>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 of</w:t>
            </w:r>
          </w:p>
        </w:tc>
      </w:tr>
      <w:tr>
        <w:trPr>
          <w:trHeight w:val="230"/>
        </w:trPr>
        <w:tc>
          <w:tcPr>
            <w:tcW w:w="248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the unvested portion of your Award and any vested portion of your Award that has not yet been exercised,</w:t>
            </w:r>
          </w:p>
        </w:tc>
      </w:tr>
      <w:tr>
        <w:trPr>
          <w:trHeight w:val="250"/>
        </w:trPr>
        <w:tc>
          <w:tcPr>
            <w:tcW w:w="2480" w:type="dxa"/>
            <w:vAlign w:val="bottom"/>
            <w:tcBorders>
              <w:left w:val="single" w:sz="8" w:color="auto"/>
              <w:right w:val="single" w:sz="8" w:color="auto"/>
            </w:tcBorders>
          </w:tcPr>
          <w:p>
            <w:pPr>
              <w:spacing w:after="0"/>
              <w:rPr>
                <w:sz w:val="21"/>
                <w:szCs w:val="21"/>
                <w:color w:val="auto"/>
              </w:rPr>
            </w:pPr>
          </w:p>
        </w:tc>
        <w:tc>
          <w:tcPr>
            <w:tcW w:w="8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and you will not be entitled to receive any consideration with respect to such cancellation.</w:t>
            </w:r>
          </w:p>
        </w:tc>
      </w:tr>
      <w:tr>
        <w:trPr>
          <w:trHeight w:val="2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86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20"/>
          </w:cols>
          <w:pgMar w:left="400" w:top="714" w:right="37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466090</wp:posOffset>
            </wp:positionV>
            <wp:extent cx="7049135" cy="6329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9135" cy="632904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36"/>
        </w:trPr>
        <w:tc>
          <w:tcPr>
            <w:tcW w:w="2280" w:type="dxa"/>
            <w:vAlign w:val="bottom"/>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8820" w:type="dxa"/>
            <w:vAlign w:val="bottom"/>
          </w:tcPr>
          <w:p>
            <w:pPr>
              <w:ind w:left="200"/>
              <w:spacing w:after="0"/>
              <w:rPr>
                <w:sz w:val="20"/>
                <w:szCs w:val="20"/>
                <w:color w:val="auto"/>
              </w:rPr>
            </w:pPr>
            <w:r>
              <w:rPr>
                <w:rFonts w:ascii="Arial" w:cs="Arial" w:eastAsia="Arial" w:hAnsi="Arial"/>
                <w:sz w:val="20"/>
                <w:szCs w:val="20"/>
                <w:color w:val="auto"/>
                <w:w w:val="97"/>
              </w:rPr>
              <w:t>In exchange for the Options described in this Award Document, except to the extent this provision is</w:t>
            </w:r>
          </w:p>
        </w:tc>
      </w:tr>
      <w:tr>
        <w:trPr>
          <w:trHeight w:val="224"/>
        </w:trPr>
        <w:tc>
          <w:tcPr>
            <w:tcW w:w="2280" w:type="dxa"/>
            <w:vAlign w:val="bottom"/>
          </w:tcPr>
          <w:p>
            <w:pPr>
              <w:spacing w:after="0"/>
              <w:rPr>
                <w:sz w:val="19"/>
                <w:szCs w:val="19"/>
                <w:color w:val="auto"/>
              </w:rPr>
            </w:pPr>
          </w:p>
        </w:tc>
        <w:tc>
          <w:tcPr>
            <w:tcW w:w="8820" w:type="dxa"/>
            <w:vAlign w:val="bottom"/>
          </w:tcPr>
          <w:p>
            <w:pPr>
              <w:ind w:left="200"/>
              <w:spacing w:after="0" w:line="224" w:lineRule="exact"/>
              <w:rPr>
                <w:sz w:val="20"/>
                <w:szCs w:val="20"/>
                <w:color w:val="auto"/>
              </w:rPr>
            </w:pPr>
            <w:r>
              <w:rPr>
                <w:rFonts w:ascii="Arial" w:cs="Arial" w:eastAsia="Arial" w:hAnsi="Arial"/>
                <w:sz w:val="20"/>
                <w:szCs w:val="20"/>
                <w:color w:val="auto"/>
                <w:w w:val="92"/>
              </w:rPr>
              <w:t>expressly unenforceable or unlawful under applicable law, you agree to the following restrictive covenants</w:t>
            </w:r>
          </w:p>
        </w:tc>
      </w:tr>
      <w:tr>
        <w:trPr>
          <w:trHeight w:val="236"/>
        </w:trPr>
        <w:tc>
          <w:tcPr>
            <w:tcW w:w="2280" w:type="dxa"/>
            <w:vAlign w:val="bottom"/>
          </w:tcPr>
          <w:p>
            <w:pPr>
              <w:spacing w:after="0"/>
              <w:rPr>
                <w:sz w:val="20"/>
                <w:szCs w:val="20"/>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Restrictive Covenants</w:t>
            </w:r>
            <w:r>
              <w:rPr>
                <w:rFonts w:ascii="Arial" w:cs="Arial" w:eastAsia="Arial" w:hAnsi="Arial"/>
                <w:sz w:val="20"/>
                <w:szCs w:val="20"/>
                <w:color w:val="auto"/>
                <w:w w:val="91"/>
              </w:rPr>
              <w:t>”) that apply during your employment with the Company and its Subsidiaries, and</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7"/>
              </w:rPr>
              <w:t>for the 12-month period commencing on your Termination of Service, including a Full Career Status</w:t>
            </w:r>
          </w:p>
        </w:tc>
      </w:tr>
      <w:tr>
        <w:trPr>
          <w:trHeight w:val="250"/>
        </w:trPr>
        <w:tc>
          <w:tcPr>
            <w:tcW w:w="2280" w:type="dxa"/>
            <w:vAlign w:val="bottom"/>
          </w:tcPr>
          <w:p>
            <w:pPr>
              <w:spacing w:after="0"/>
              <w:rPr>
                <w:sz w:val="21"/>
                <w:szCs w:val="21"/>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rPr>
              <w:t>Termination:</w:t>
            </w:r>
          </w:p>
        </w:tc>
      </w:tr>
      <w:tr>
        <w:trPr>
          <w:trHeight w:val="425"/>
        </w:trPr>
        <w:tc>
          <w:tcPr>
            <w:tcW w:w="2280" w:type="dxa"/>
            <w:vAlign w:val="bottom"/>
          </w:tcPr>
          <w:p>
            <w:pPr>
              <w:spacing w:after="0"/>
              <w:rPr>
                <w:sz w:val="24"/>
                <w:szCs w:val="24"/>
                <w:color w:val="auto"/>
              </w:rPr>
            </w:pPr>
          </w:p>
        </w:tc>
        <w:tc>
          <w:tcPr>
            <w:tcW w:w="8820" w:type="dxa"/>
            <w:vAlign w:val="bottom"/>
          </w:tcPr>
          <w:p>
            <w:pPr>
              <w:ind w:left="840"/>
              <w:spacing w:after="0"/>
              <w:rPr>
                <w:sz w:val="20"/>
                <w:szCs w:val="20"/>
                <w:color w:val="auto"/>
              </w:rPr>
            </w:pPr>
            <w:r>
              <w:rPr>
                <w:rFonts w:ascii="Arial" w:cs="Arial" w:eastAsia="Arial" w:hAnsi="Arial"/>
                <w:sz w:val="20"/>
                <w:szCs w:val="20"/>
                <w:color w:val="auto"/>
                <w:w w:val="91"/>
              </w:rPr>
              <w:t>•You will not directly or indirectly engage in or perform any engineering, purchasing, design,</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w w:val="97"/>
              </w:rPr>
              <w:t>marketing, manufacturing or any other tasks or functions or provide services in any other</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w w:val="95"/>
              </w:rPr>
              <w:t>capacity (e.g., as an employee, a board member, a manager or a consultant) for any motor</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w w:val="91"/>
              </w:rPr>
              <w:t>vehicle manufacturer (including its parent, subsidiaries, and other affiliates) that competes with</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rPr>
              <w:t>the Company or its Subsidiaries;</w:t>
            </w:r>
          </w:p>
        </w:tc>
      </w:tr>
      <w:tr>
        <w:trPr>
          <w:trHeight w:val="230"/>
        </w:trPr>
        <w:tc>
          <w:tcPr>
            <w:tcW w:w="2280" w:type="dxa"/>
            <w:vAlign w:val="bottom"/>
          </w:tcPr>
          <w:p>
            <w:pPr>
              <w:spacing w:after="0"/>
              <w:rPr>
                <w:sz w:val="19"/>
                <w:szCs w:val="19"/>
                <w:color w:val="auto"/>
              </w:rPr>
            </w:pPr>
          </w:p>
        </w:tc>
        <w:tc>
          <w:tcPr>
            <w:tcW w:w="8820" w:type="dxa"/>
            <w:vAlign w:val="bottom"/>
          </w:tcPr>
          <w:p>
            <w:pPr>
              <w:ind w:left="840"/>
              <w:spacing w:after="0"/>
              <w:rPr>
                <w:sz w:val="20"/>
                <w:szCs w:val="20"/>
                <w:color w:val="auto"/>
              </w:rPr>
            </w:pPr>
            <w:r>
              <w:rPr>
                <w:rFonts w:ascii="Arial" w:cs="Arial" w:eastAsia="Arial" w:hAnsi="Arial"/>
                <w:sz w:val="20"/>
                <w:szCs w:val="20"/>
                <w:color w:val="auto"/>
                <w:w w:val="92"/>
              </w:rPr>
              <w:t>•You will not directly or indirectly, knowingly induce any employee of the Company or any</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w w:val="94"/>
              </w:rPr>
              <w:t>Subsidiary to leave their employment for participation, directly or indirectly, with any existing</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rPr>
              <w:t>or future employer or business venture associated with you; and</w:t>
            </w:r>
          </w:p>
        </w:tc>
      </w:tr>
      <w:tr>
        <w:trPr>
          <w:trHeight w:val="230"/>
        </w:trPr>
        <w:tc>
          <w:tcPr>
            <w:tcW w:w="2280" w:type="dxa"/>
            <w:vAlign w:val="bottom"/>
          </w:tcPr>
          <w:p>
            <w:pPr>
              <w:spacing w:after="0"/>
              <w:rPr>
                <w:sz w:val="19"/>
                <w:szCs w:val="19"/>
                <w:color w:val="auto"/>
              </w:rPr>
            </w:pPr>
          </w:p>
        </w:tc>
        <w:tc>
          <w:tcPr>
            <w:tcW w:w="8820" w:type="dxa"/>
            <w:vAlign w:val="bottom"/>
          </w:tcPr>
          <w:p>
            <w:pPr>
              <w:ind w:left="840"/>
              <w:spacing w:after="0"/>
              <w:rPr>
                <w:sz w:val="20"/>
                <w:szCs w:val="20"/>
                <w:color w:val="auto"/>
              </w:rPr>
            </w:pPr>
            <w:r>
              <w:rPr>
                <w:rFonts w:ascii="Arial" w:cs="Arial" w:eastAsia="Arial" w:hAnsi="Arial"/>
                <w:sz w:val="20"/>
                <w:szCs w:val="20"/>
                <w:color w:val="auto"/>
                <w:w w:val="92"/>
              </w:rPr>
              <w:t>•You will not directly or indirectly solicit any client, customer, or supplier of, or provider to the</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w w:val="95"/>
              </w:rPr>
              <w:t>Company or its Subsidiaries who was a client, customer, supplier or provider for which you</w:t>
            </w:r>
          </w:p>
        </w:tc>
      </w:tr>
      <w:tr>
        <w:trPr>
          <w:trHeight w:val="230"/>
        </w:trPr>
        <w:tc>
          <w:tcPr>
            <w:tcW w:w="2280" w:type="dxa"/>
            <w:vAlign w:val="bottom"/>
          </w:tcPr>
          <w:p>
            <w:pPr>
              <w:spacing w:after="0"/>
              <w:rPr>
                <w:sz w:val="19"/>
                <w:szCs w:val="19"/>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w w:val="92"/>
              </w:rPr>
              <w:t>provided services or supervised services during the 12-month period immediately prior to your</w:t>
            </w:r>
          </w:p>
        </w:tc>
      </w:tr>
      <w:tr>
        <w:trPr>
          <w:trHeight w:val="250"/>
        </w:trPr>
        <w:tc>
          <w:tcPr>
            <w:tcW w:w="2280" w:type="dxa"/>
            <w:vAlign w:val="bottom"/>
          </w:tcPr>
          <w:p>
            <w:pPr>
              <w:spacing w:after="0"/>
              <w:rPr>
                <w:sz w:val="21"/>
                <w:szCs w:val="21"/>
                <w:color w:val="auto"/>
              </w:rPr>
            </w:pPr>
          </w:p>
        </w:tc>
        <w:tc>
          <w:tcPr>
            <w:tcW w:w="8820" w:type="dxa"/>
            <w:vAlign w:val="bottom"/>
          </w:tcPr>
          <w:p>
            <w:pPr>
              <w:ind w:left="1160"/>
              <w:spacing w:after="0"/>
              <w:rPr>
                <w:sz w:val="20"/>
                <w:szCs w:val="20"/>
                <w:color w:val="auto"/>
              </w:rPr>
            </w:pPr>
            <w:r>
              <w:rPr>
                <w:rFonts w:ascii="Arial" w:cs="Arial" w:eastAsia="Arial" w:hAnsi="Arial"/>
                <w:sz w:val="20"/>
                <w:szCs w:val="20"/>
                <w:color w:val="auto"/>
              </w:rPr>
              <w:t>Termination of Service.</w:t>
            </w:r>
          </w:p>
        </w:tc>
      </w:tr>
      <w:tr>
        <w:trPr>
          <w:trHeight w:val="425"/>
        </w:trPr>
        <w:tc>
          <w:tcPr>
            <w:tcW w:w="228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6"/>
              </w:rPr>
              <w:t>You may seek permission from the Company to take action that would otherwise violate one or more</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2"/>
              </w:rPr>
              <w:t>aspects of these Restrictive Covenants, including a request to work in a direct or indirect capacity for any</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1"/>
              </w:rPr>
              <w:t>motor vehicle manufacturer that competes with the Company, but the Company may deny such request in</w:t>
            </w:r>
          </w:p>
        </w:tc>
      </w:tr>
      <w:tr>
        <w:trPr>
          <w:trHeight w:val="250"/>
        </w:trPr>
        <w:tc>
          <w:tcPr>
            <w:tcW w:w="2280" w:type="dxa"/>
            <w:vAlign w:val="bottom"/>
          </w:tcPr>
          <w:p>
            <w:pPr>
              <w:spacing w:after="0"/>
              <w:rPr>
                <w:sz w:val="21"/>
                <w:szCs w:val="21"/>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rPr>
              <w:t>its unfettered discretion and otherwise enforce the provisions of the Restrictive Covenants.</w:t>
            </w:r>
          </w:p>
        </w:tc>
      </w:tr>
      <w:tr>
        <w:trPr>
          <w:trHeight w:val="425"/>
        </w:trPr>
        <w:tc>
          <w:tcPr>
            <w:tcW w:w="228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3"/>
              </w:rPr>
              <w:t>If you violate any of the Restrictive Covenants during its effective period without the Company’s consent,</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5"/>
              </w:rPr>
              <w:t>both the unvested and vested but unexercised portion of your Award will immediately be cancelled. In</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5"/>
              </w:rPr>
              <w:t>addition, you agree to repay to the Company all of the gains resulting from any exercise of the Options</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6"/>
              </w:rPr>
              <w:t>during the period commencing on the date that is 12 months prior to your Termination of Service and</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2"/>
              </w:rPr>
              <w:t>ending on the date that is 12 months following your Termination of Service. To the extent permitted under</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7"/>
              </w:rPr>
              <w:t>applicable law, the Company may also take action at equity or in law to enforce the provisions of the</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3"/>
              </w:rPr>
              <w:t>applicable Restrictive Covenants. Following application of this provision of the Award Document, you will</w:t>
            </w:r>
          </w:p>
        </w:tc>
      </w:tr>
      <w:tr>
        <w:trPr>
          <w:trHeight w:val="230"/>
        </w:trPr>
        <w:tc>
          <w:tcPr>
            <w:tcW w:w="228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w w:val="94"/>
              </w:rPr>
              <w:t>continue to be bound by the obligations, promises and other agreements contained in the Plan and the</w:t>
            </w:r>
          </w:p>
        </w:tc>
      </w:tr>
      <w:tr>
        <w:trPr>
          <w:trHeight w:val="250"/>
        </w:trPr>
        <w:tc>
          <w:tcPr>
            <w:tcW w:w="2280" w:type="dxa"/>
            <w:vAlign w:val="bottom"/>
          </w:tcPr>
          <w:p>
            <w:pPr>
              <w:spacing w:after="0"/>
              <w:rPr>
                <w:sz w:val="21"/>
                <w:szCs w:val="21"/>
                <w:color w:val="auto"/>
              </w:rPr>
            </w:pPr>
          </w:p>
        </w:tc>
        <w:tc>
          <w:tcPr>
            <w:tcW w:w="8820" w:type="dxa"/>
            <w:vAlign w:val="bottom"/>
          </w:tcPr>
          <w:p>
            <w:pPr>
              <w:ind w:left="200"/>
              <w:spacing w:after="0"/>
              <w:rPr>
                <w:sz w:val="20"/>
                <w:szCs w:val="20"/>
                <w:color w:val="auto"/>
              </w:rPr>
            </w:pPr>
            <w:r>
              <w:rPr>
                <w:rFonts w:ascii="Arial" w:cs="Arial" w:eastAsia="Arial" w:hAnsi="Arial"/>
                <w:sz w:val="20"/>
                <w:szCs w:val="20"/>
                <w:color w:val="auto"/>
              </w:rPr>
              <w:t>Award Document.</w:t>
            </w:r>
          </w:p>
        </w:tc>
      </w:tr>
      <w:tr>
        <w:trPr>
          <w:trHeight w:val="23"/>
        </w:trPr>
        <w:tc>
          <w:tcPr>
            <w:tcW w:w="228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27"/>
        </w:trPr>
        <w:tc>
          <w:tcPr>
            <w:tcW w:w="2280" w:type="dxa"/>
            <w:vAlign w:val="bottom"/>
          </w:tcPr>
          <w:p>
            <w:pPr>
              <w:ind w:left="40"/>
              <w:spacing w:after="0" w:line="228" w:lineRule="exact"/>
              <w:rPr>
                <w:sz w:val="20"/>
                <w:szCs w:val="20"/>
                <w:color w:val="auto"/>
              </w:rPr>
            </w:pPr>
            <w:r>
              <w:rPr>
                <w:rFonts w:ascii="Arial" w:cs="Arial" w:eastAsia="Arial" w:hAnsi="Arial"/>
                <w:sz w:val="20"/>
                <w:szCs w:val="20"/>
                <w:b w:val="1"/>
                <w:bCs w:val="1"/>
                <w:color w:val="auto"/>
              </w:rPr>
              <w:t>Other Terms and</w:t>
            </w:r>
          </w:p>
        </w:tc>
        <w:tc>
          <w:tcPr>
            <w:tcW w:w="8820" w:type="dxa"/>
            <w:vAlign w:val="bottom"/>
          </w:tcPr>
          <w:p>
            <w:pPr>
              <w:ind w:left="200"/>
              <w:spacing w:after="0" w:line="228" w:lineRule="exact"/>
              <w:rPr>
                <w:sz w:val="20"/>
                <w:szCs w:val="20"/>
                <w:color w:val="auto"/>
              </w:rPr>
            </w:pPr>
            <w:r>
              <w:rPr>
                <w:rFonts w:ascii="Arial" w:cs="Arial" w:eastAsia="Arial" w:hAnsi="Arial"/>
                <w:sz w:val="20"/>
                <w:szCs w:val="20"/>
                <w:color w:val="auto"/>
                <w:w w:val="92"/>
              </w:rPr>
              <w:t>Refer to the Plan for additional terms and conditions applicable to your Award, including but not limited to</w:t>
            </w:r>
          </w:p>
        </w:tc>
      </w:tr>
      <w:tr>
        <w:trPr>
          <w:trHeight w:val="256"/>
        </w:trPr>
        <w:tc>
          <w:tcPr>
            <w:tcW w:w="2280" w:type="dxa"/>
            <w:vAlign w:val="bottom"/>
          </w:tcPr>
          <w:p>
            <w:pPr>
              <w:ind w:left="40"/>
              <w:spacing w:after="0"/>
              <w:rPr>
                <w:sz w:val="20"/>
                <w:szCs w:val="20"/>
                <w:color w:val="auto"/>
              </w:rPr>
            </w:pPr>
            <w:r>
              <w:rPr>
                <w:rFonts w:ascii="Arial" w:cs="Arial" w:eastAsia="Arial" w:hAnsi="Arial"/>
                <w:sz w:val="20"/>
                <w:szCs w:val="20"/>
                <w:b w:val="1"/>
                <w:bCs w:val="1"/>
                <w:color w:val="auto"/>
                <w:w w:val="96"/>
              </w:rPr>
              <w:t>Conditions of the Award</w:t>
            </w:r>
          </w:p>
        </w:tc>
        <w:tc>
          <w:tcPr>
            <w:tcW w:w="8820" w:type="dxa"/>
            <w:vAlign w:val="bottom"/>
          </w:tcPr>
          <w:p>
            <w:pPr>
              <w:ind w:left="200"/>
              <w:spacing w:after="0"/>
              <w:rPr>
                <w:sz w:val="20"/>
                <w:szCs w:val="20"/>
                <w:color w:val="auto"/>
              </w:rPr>
            </w:pPr>
            <w:r>
              <w:rPr>
                <w:rFonts w:ascii="Arial" w:cs="Arial" w:eastAsia="Arial" w:hAnsi="Arial"/>
                <w:sz w:val="20"/>
                <w:szCs w:val="20"/>
                <w:color w:val="auto"/>
              </w:rPr>
              <w:t>those relating to:</w:t>
            </w:r>
          </w:p>
        </w:tc>
      </w:tr>
    </w:tbl>
    <w:p>
      <w:pPr>
        <w:spacing w:after="0" w:line="195" w:lineRule="exact"/>
        <w:rPr>
          <w:sz w:val="20"/>
          <w:szCs w:val="20"/>
          <w:color w:val="auto"/>
        </w:rPr>
      </w:pPr>
    </w:p>
    <w:p>
      <w:pPr>
        <w:ind w:left="3420" w:hanging="117"/>
        <w:spacing w:after="0"/>
        <w:tabs>
          <w:tab w:leader="none" w:pos="34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 dividends or dividend equivalents will be earned or paid on the Options granted;</w:t>
      </w:r>
    </w:p>
    <w:p>
      <w:pPr>
        <w:spacing w:after="0" w:line="15" w:lineRule="exact"/>
        <w:rPr>
          <w:rFonts w:ascii="Arial" w:cs="Arial" w:eastAsia="Arial" w:hAnsi="Arial"/>
          <w:sz w:val="20"/>
          <w:szCs w:val="20"/>
          <w:color w:val="auto"/>
        </w:rPr>
      </w:pPr>
    </w:p>
    <w:p>
      <w:pPr>
        <w:ind w:left="3620" w:right="980" w:hanging="317"/>
        <w:spacing w:after="0" w:line="266" w:lineRule="auto"/>
        <w:tabs>
          <w:tab w:leader="none" w:pos="34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 of your Termination of Service on your Award, including upon Death, Disability, achievement of Full Career Status and other Termination of Service scenarios;</w:t>
      </w:r>
    </w:p>
    <w:p>
      <w:pPr>
        <w:ind w:left="3620" w:right="300" w:hanging="317"/>
        <w:spacing w:after="0" w:line="239" w:lineRule="auto"/>
        <w:tabs>
          <w:tab w:leader="none" w:pos="3415" w:val="left"/>
        </w:tabs>
        <w:numPr>
          <w:ilvl w:val="0"/>
          <w:numId w:val="21"/>
        </w:numPr>
        <w:rPr>
          <w:rFonts w:ascii="Arial" w:cs="Arial" w:eastAsia="Arial" w:hAnsi="Arial"/>
          <w:sz w:val="20"/>
          <w:szCs w:val="20"/>
          <w:color w:val="auto"/>
        </w:rPr>
      </w:pPr>
      <w:r>
        <w:rPr>
          <w:rFonts w:ascii="Arial" w:cs="Arial" w:eastAsia="Arial" w:hAnsi="Arial"/>
          <w:sz w:val="20"/>
          <w:szCs w:val="20"/>
          <w:color w:val="auto"/>
        </w:rPr>
        <w:t>Your Award being subject to any clawback or recoupment policies of the Company as may be in effect from time to time;</w:t>
      </w:r>
    </w:p>
    <w:p>
      <w:pPr>
        <w:spacing w:after="0" w:line="1" w:lineRule="exact"/>
        <w:rPr>
          <w:rFonts w:ascii="Arial" w:cs="Arial" w:eastAsia="Arial" w:hAnsi="Arial"/>
          <w:sz w:val="20"/>
          <w:szCs w:val="20"/>
          <w:color w:val="auto"/>
        </w:rPr>
      </w:pPr>
    </w:p>
    <w:p>
      <w:pPr>
        <w:ind w:left="3420" w:hanging="117"/>
        <w:spacing w:after="0"/>
        <w:tabs>
          <w:tab w:leader="none" w:pos="34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impact of a Change in Control or other specified corporate event on your Award; and</w:t>
      </w:r>
    </w:p>
    <w:p>
      <w:pPr>
        <w:ind w:left="3420" w:hanging="117"/>
        <w:spacing w:after="0"/>
        <w:tabs>
          <w:tab w:leader="none" w:pos="34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Jurisdiction and governing law.</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Acknowledgements</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186" w:lineRule="exact"/>
        <w:rPr>
          <w:sz w:val="20"/>
          <w:szCs w:val="20"/>
          <w:color w:val="auto"/>
        </w:rPr>
      </w:pPr>
    </w:p>
    <w:p>
      <w:pPr>
        <w:ind w:left="340" w:right="380" w:hanging="332"/>
        <w:spacing w:after="0" w:line="26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w:t>
      </w:r>
    </w:p>
    <w:p>
      <w:pPr>
        <w:sectPr>
          <w:pgSz w:w="11900" w:h="16838" w:orient="portrait"/>
          <w:cols w:equalWidth="0" w:num="1">
            <w:col w:w="11340"/>
          </w:cols>
          <w:pgMar w:left="240" w:top="751" w:right="319" w:bottom="1440" w:gutter="0" w:footer="0" w:header="0"/>
        </w:sectPr>
      </w:pPr>
    </w:p>
    <w:bookmarkStart w:id="59" w:name="page60"/>
    <w:bookmarkEnd w:id="59"/>
    <w:p>
      <w:pPr>
        <w:ind w:left="332"/>
        <w:spacing w:after="0"/>
        <w:rPr>
          <w:sz w:val="20"/>
          <w:szCs w:val="20"/>
          <w:color w:val="auto"/>
        </w:rPr>
      </w:pPr>
      <w:r>
        <w:rPr>
          <w:rFonts w:ascii="Arial" w:cs="Arial" w:eastAsia="Arial" w:hAnsi="Arial"/>
          <w:sz w:val="20"/>
          <w:szCs w:val="20"/>
          <w:color w:val="auto"/>
        </w:rPr>
        <w:t>third party service provider, for all purposes relating to the operation of the Plan in accordance with Section 20 of the Plan.</w:t>
      </w:r>
    </w:p>
    <w:p>
      <w:pPr>
        <w:spacing w:after="0" w:line="229" w:lineRule="exact"/>
        <w:rPr>
          <w:sz w:val="20"/>
          <w:szCs w:val="20"/>
          <w:color w:val="auto"/>
        </w:rPr>
      </w:pPr>
    </w:p>
    <w:p>
      <w:pPr>
        <w:ind w:left="332" w:right="60" w:hanging="332"/>
        <w:spacing w:after="0" w:line="244"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194" w:lineRule="exact"/>
        <w:rPr>
          <w:rFonts w:ascii="Arial" w:cs="Arial" w:eastAsia="Arial" w:hAnsi="Arial"/>
          <w:sz w:val="18"/>
          <w:szCs w:val="18"/>
          <w:color w:val="auto"/>
        </w:rPr>
      </w:pPr>
    </w:p>
    <w:p>
      <w:pPr>
        <w:ind w:left="332" w:right="40" w:hanging="332"/>
        <w:spacing w:after="0" w:line="244"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94" w:lineRule="exact"/>
        <w:rPr>
          <w:rFonts w:ascii="Arial" w:cs="Arial" w:eastAsia="Arial" w:hAnsi="Arial"/>
          <w:sz w:val="18"/>
          <w:szCs w:val="18"/>
          <w:color w:val="auto"/>
        </w:rPr>
      </w:pPr>
    </w:p>
    <w:p>
      <w:pPr>
        <w:ind w:left="332" w:right="20" w:hanging="332"/>
        <w:spacing w:after="0" w:line="244"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94" w:lineRule="exact"/>
        <w:rPr>
          <w:rFonts w:ascii="Arial" w:cs="Arial" w:eastAsia="Arial" w:hAnsi="Arial"/>
          <w:sz w:val="18"/>
          <w:szCs w:val="18"/>
          <w:color w:val="auto"/>
        </w:rPr>
      </w:pPr>
    </w:p>
    <w:p>
      <w:pPr>
        <w:ind w:left="332" w:right="60" w:hanging="332"/>
        <w:spacing w:after="0" w:line="316"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This Award includes Restrictive Covenants and conditions precedent that apply during and following your termination of employment, and the Options described in this Award constitute good and valuable consideration provided in exchange for those Restrictive Covenants.</w:t>
      </w:r>
    </w:p>
    <w:p>
      <w:pPr>
        <w:spacing w:after="0" w:line="130" w:lineRule="exact"/>
        <w:rPr>
          <w:rFonts w:ascii="Arial" w:cs="Arial" w:eastAsia="Arial" w:hAnsi="Arial"/>
          <w:sz w:val="16"/>
          <w:szCs w:val="16"/>
          <w:color w:val="auto"/>
        </w:rPr>
      </w:pPr>
    </w:p>
    <w:p>
      <w:pPr>
        <w:ind w:left="332" w:right="40" w:hanging="332"/>
        <w:spacing w:after="0" w:line="250"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86" w:lineRule="exact"/>
        <w:rPr>
          <w:rFonts w:ascii="Arial" w:cs="Arial" w:eastAsia="Arial" w:hAnsi="Arial"/>
          <w:sz w:val="18"/>
          <w:szCs w:val="18"/>
          <w:color w:val="auto"/>
        </w:rPr>
      </w:pPr>
    </w:p>
    <w:p>
      <w:pPr>
        <w:ind w:left="332" w:right="240" w:hanging="332"/>
        <w:spacing w:after="0" w:line="260"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176" w:lineRule="exact"/>
        <w:rPr>
          <w:rFonts w:ascii="Arial" w:cs="Arial" w:eastAsia="Arial" w:hAnsi="Arial"/>
          <w:sz w:val="18"/>
          <w:szCs w:val="18"/>
          <w:color w:val="auto"/>
        </w:rPr>
      </w:pPr>
    </w:p>
    <w:p>
      <w:pPr>
        <w:ind w:left="332" w:right="20" w:hanging="332"/>
        <w:spacing w:after="0" w:line="282"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8"/>
          <w:szCs w:val="18"/>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61" w:lineRule="exact"/>
        <w:rPr>
          <w:rFonts w:ascii="Arial" w:cs="Arial" w:eastAsia="Arial" w:hAnsi="Arial"/>
          <w:sz w:val="16"/>
          <w:szCs w:val="16"/>
          <w:color w:val="auto"/>
        </w:rPr>
      </w:pPr>
    </w:p>
    <w:p>
      <w:pPr>
        <w:ind w:left="332" w:right="180" w:hanging="332"/>
        <w:spacing w:after="0" w:line="287" w:lineRule="auto"/>
        <w:tabs>
          <w:tab w:leader="none" w:pos="332" w:val="left"/>
        </w:tabs>
        <w:numPr>
          <w:ilvl w:val="0"/>
          <w:numId w:val="23"/>
        </w:numPr>
        <w:rPr>
          <w:rFonts w:ascii="Arial" w:cs="Arial" w:eastAsia="Arial" w:hAnsi="Arial"/>
          <w:sz w:val="17"/>
          <w:szCs w:val="17"/>
          <w:color w:val="auto"/>
        </w:rPr>
      </w:pPr>
      <w:r>
        <w:rPr>
          <w:rFonts w:ascii="Arial" w:cs="Arial" w:eastAsia="Arial" w:hAnsi="Arial"/>
          <w:sz w:val="19"/>
          <w:szCs w:val="19"/>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pacing w:after="0" w:line="152" w:lineRule="exact"/>
        <w:rPr>
          <w:rFonts w:ascii="Arial" w:cs="Arial" w:eastAsia="Arial" w:hAnsi="Arial"/>
          <w:sz w:val="17"/>
          <w:szCs w:val="17"/>
          <w:color w:val="auto"/>
        </w:rPr>
      </w:pPr>
    </w:p>
    <w:p>
      <w:pPr>
        <w:ind w:left="332" w:hanging="332"/>
        <w:spacing w:after="0" w:line="263" w:lineRule="auto"/>
        <w:tabs>
          <w:tab w:leader="none" w:pos="332" w:val="left"/>
        </w:tabs>
        <w:numPr>
          <w:ilvl w:val="0"/>
          <w:numId w:val="23"/>
        </w:numPr>
        <w:rPr>
          <w:rFonts w:ascii="Arial" w:cs="Arial" w:eastAsia="Arial" w:hAnsi="Arial"/>
          <w:sz w:val="17"/>
          <w:szCs w:val="17"/>
          <w:color w:val="auto"/>
        </w:rPr>
      </w:pPr>
      <w:r>
        <w:rPr>
          <w:rFonts w:ascii="Arial" w:cs="Arial" w:eastAsia="Arial" w:hAnsi="Arial"/>
          <w:sz w:val="19"/>
          <w:szCs w:val="19"/>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76" w:lineRule="exact"/>
        <w:rPr>
          <w:rFonts w:ascii="Arial" w:cs="Arial" w:eastAsia="Arial" w:hAnsi="Arial"/>
          <w:sz w:val="17"/>
          <w:szCs w:val="17"/>
          <w:color w:val="auto"/>
        </w:rPr>
      </w:pPr>
    </w:p>
    <w:p>
      <w:pPr>
        <w:ind w:left="332" w:right="180" w:hanging="332"/>
        <w:spacing w:after="0" w:line="260"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This Plan and this Award are governed by the laws of the State of Delaware, without regard to the conflicts of law provisions thereof, and any cause or claim arising with respect to this Award or the subject matter</w:t>
      </w:r>
    </w:p>
    <w:p>
      <w:pPr>
        <w:sectPr>
          <w:pgSz w:w="11900" w:h="16838" w:orient="portrait"/>
          <w:cols w:equalWidth="0" w:num="1">
            <w:col w:w="11412"/>
          </w:cols>
          <w:pgMar w:left="248" w:top="595" w:right="239" w:bottom="1440" w:gutter="0" w:footer="0" w:header="0"/>
        </w:sectPr>
      </w:pPr>
    </w:p>
    <w:bookmarkStart w:id="60" w:name="page61"/>
    <w:bookmarkEnd w:id="60"/>
    <w:p>
      <w:pPr>
        <w:ind w:left="340" w:right="20"/>
        <w:spacing w:after="0" w:line="322" w:lineRule="auto"/>
        <w:rPr>
          <w:sz w:val="20"/>
          <w:szCs w:val="20"/>
          <w:color w:val="auto"/>
        </w:rPr>
      </w:pPr>
      <w:r>
        <w:rPr>
          <w:rFonts w:ascii="Arial" w:cs="Arial" w:eastAsia="Arial" w:hAnsi="Arial"/>
          <w:sz w:val="18"/>
          <w:szCs w:val="18"/>
          <w:color w:val="auto"/>
        </w:rPr>
        <w:t>contained in this Award Document will be exclusively resolved in the Courts of Delaware. The Company will make reasonable efforts so that the Award complies with all applicable federal and state securities laws; provided, however, notwithstanding any other provision of the Award Document, the Options shall not be exercisable if the exercise thereof would result in a violation of any such law.</w:t>
      </w:r>
    </w:p>
    <w:p>
      <w:pPr>
        <w:spacing w:after="0" w:line="139" w:lineRule="exact"/>
        <w:rPr>
          <w:sz w:val="20"/>
          <w:szCs w:val="20"/>
          <w:color w:val="auto"/>
        </w:rPr>
      </w:pPr>
    </w:p>
    <w:p>
      <w:pPr>
        <w:ind w:left="340" w:right="800" w:hanging="332"/>
        <w:spacing w:after="0" w:line="26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76"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1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240" w:hanging="332"/>
        <w:spacing w:after="0" w:line="26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20"/>
          <w:szCs w:val="20"/>
          <w:color w:val="auto"/>
        </w:rPr>
        <w:t>Be bound by and abide by the terms of this Award Document and the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do not accept this Award by [●], this offer will lapse and be incapable of acceptance (unless otherwise agreed to by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w:t>
      </w:r>
    </w:p>
    <w:p>
      <w:pPr>
        <w:sectPr>
          <w:pgSz w:w="11900" w:h="16838" w:orient="portrait"/>
          <w:cols w:equalWidth="0" w:num="1">
            <w:col w:w="11400"/>
          </w:cols>
          <w:pgMar w:left="240" w:top="595" w:right="2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26, 2018</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26, 2018</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March 31, 2018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26,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lvl w:ilvl="1">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lowerLetter"/>
      <w:start w:val="1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endash "/>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12"/>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2019-12-28T23:01:19Z</dcterms:created>
  <dcterms:modified xsi:type="dcterms:W3CDTF">2019-12-28T23:01:19Z</dcterms:modified>
</cp:coreProperties>
</file>