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28, 2025</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General Motors Company</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27-0756180</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300 Renaissance Center</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Detroit, Michigan 48265-3000</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(313) 667-1500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Christopher T. Hatto</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Vice President, Global Business Solutions and Chief Accounting Officer</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General Motors Company</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300 Renaissance Center</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Detroit, Michigan 48265-3000</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(313) 667-1500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i w:val="1"/>
          <w:iCs w:val="1"/>
          <w:color w:val="auto"/>
        </w:rPr>
        <w:t>Copies of all communications, including communications sent to agent for service, should be sent to:</w:t>
      </w:r>
    </w:p>
    <w:p>
      <w:pPr>
        <w:spacing w:after="0" w:line="102"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36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John S. Kim, Esq.</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Keith M. Townsend, Esq.</w:t>
            </w:r>
          </w:p>
        </w:tc>
      </w:tr>
      <w:tr>
        <w:trPr>
          <w:trHeight w:val="203"/>
        </w:trPr>
        <w:tc>
          <w:tcPr>
            <w:tcW w:w="366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General Motors Company</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Elizabeth A. Morgan, Esq.</w:t>
            </w:r>
          </w:p>
        </w:tc>
      </w:tr>
      <w:tr>
        <w:trPr>
          <w:trHeight w:val="202"/>
        </w:trPr>
        <w:tc>
          <w:tcPr>
            <w:tcW w:w="36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300 Renaissance Center</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King &amp; Spalding LLP</w:t>
            </w:r>
          </w:p>
        </w:tc>
      </w:tr>
      <w:tr>
        <w:trPr>
          <w:trHeight w:val="203"/>
        </w:trPr>
        <w:tc>
          <w:tcPr>
            <w:tcW w:w="36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Detroit, Michigan 48265-3000</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1180 Peachtree Street, NE, Suite 1600</w:t>
            </w:r>
          </w:p>
        </w:tc>
      </w:tr>
      <w:tr>
        <w:trPr>
          <w:trHeight w:val="203"/>
        </w:trPr>
        <w:tc>
          <w:tcPr>
            <w:tcW w:w="36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w w:val="99"/>
              </w:rPr>
              <w:t>(313) 667-1500</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Atlanta, GA 30309-3521</w:t>
            </w:r>
          </w:p>
        </w:tc>
      </w:tr>
      <w:tr>
        <w:trPr>
          <w:trHeight w:val="212"/>
        </w:trPr>
        <w:tc>
          <w:tcPr>
            <w:tcW w:w="3660" w:type="dxa"/>
            <w:vAlign w:val="bottom"/>
          </w:tcPr>
          <w:p>
            <w:pPr>
              <w:spacing w:after="0"/>
              <w:rPr>
                <w:sz w:val="18"/>
                <w:szCs w:val="18"/>
                <w:color w:val="auto"/>
              </w:rPr>
            </w:pP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w w:val="99"/>
              </w:rPr>
              <w:t>(404) 572-4600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5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left="120" w:right="2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2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left="120" w:right="3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173990</wp:posOffset>
            </wp:positionV>
            <wp:extent cx="3137535" cy="402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18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28, 2025.</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DOCUMENTS BY REFERENCE</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326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GENERAL MOTORS COMPANY</w:t>
            </w:r>
          </w:p>
        </w:tc>
        <w:tc>
          <w:tcPr>
            <w:tcW w:w="5920" w:type="dxa"/>
            <w:vAlign w:val="bottom"/>
            <w:gridSpan w:val="8"/>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OVERVIEW OF OUR CAPITAL STOCK</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82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53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PREFERRED STOCK</w:t>
            </w:r>
          </w:p>
        </w:tc>
        <w:tc>
          <w:tcPr>
            <w:tcW w:w="52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60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64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5">
        <w:r>
          <w:rPr>
            <w:rFonts w:ascii="Times New Roman" w:cs="Times New Roman" w:eastAsia="Times New Roman" w:hAnsi="Times New Roman"/>
            <w:sz w:val="18"/>
            <w:szCs w:val="18"/>
            <w:u w:val="single" w:color="auto"/>
            <w:color w:val="0000EE"/>
          </w:rPr>
          <w:t>Annual Report on Form 10-K for the fiscal year ended December 31, 2024;</w:t>
        </w:r>
      </w:hyperlink>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2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2024, that are specifically incorporated by reference into our Annual Report on Form 10-K for the year ended December 31, 2023;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2024.</w:t>
        </w:r>
      </w:hyperlink>
    </w:p>
    <w:p>
      <w:pPr>
        <w:spacing w:after="0" w:line="162"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5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Investment in any of the securities involves risk. In addition to all of the other information contained or incorporated by reference into this prospectus and any accompanying prospectus supplement, you should carefully consider the risk factors incorporated by reference from our Annual Report on Form 10-K for the year ended December 31, 2024, as updated by our subsequent filings under the Exchange Act, including Forms 10-Q and 8-K, and the risk factors contained or incorporated by reference into this prospectus and any accompanying prospectus supplement before acquiring any of the securities.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Cruise is our global segment responsible for the development of autonomous vehicle technology. We also provide automotive financing services through General Motors Financial Company, Inc. (GM Financial).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prospectus supplement of a particular offering will identify the use of proceeds for the offering.</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our long-term strategy is dependent on consumer adoptions of EVs;</w:t>
      </w:r>
    </w:p>
    <w:p>
      <w:pPr>
        <w:spacing w:after="0" w:line="12" w:lineRule="exact"/>
        <w:rPr>
          <w:sz w:val="20"/>
          <w:szCs w:val="20"/>
          <w:color w:val="auto"/>
        </w:rPr>
      </w:pPr>
    </w:p>
    <w:p>
      <w:pPr>
        <w:ind w:left="120" w:right="20" w:hanging="4"/>
        <w:spacing w:after="0" w:line="250"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our Annual Report on Form 10-K for the year ended December 31, 2024, as updated by our subsequent filings with the SEC.</w:t>
      </w:r>
    </w:p>
    <w:p>
      <w:pPr>
        <w:spacing w:after="0" w:line="18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January 16, 2025, 995,001,891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the Certificate of Incorporation or the Bylaws. Our Bylaws further provide that the Board of Directors shall call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special meeting upon the written request of the record holders of at least 15%,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(the “indenture”) dated as of September 27, 2013, between us and The Bank of New York Mellon, as trustee, as amended and supplemented by the seventh supplemental indenture, dated as of August 2, 2022, copies of which have been filed as exhibits to the registration statement of which this prospectus is a part and which is incorporated by reference herein, subject to such further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jc w:val="both"/>
        <w:ind w:left="1540" w:right="80" w:hanging="331"/>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54" w:lineRule="auto"/>
        <w:rPr>
          <w:sz w:val="20"/>
          <w:szCs w:val="20"/>
          <w:color w:val="auto"/>
        </w:rPr>
      </w:pPr>
      <w:r>
        <w:rPr>
          <w:rFonts w:ascii="Times New Roman" w:cs="Times New Roman" w:eastAsia="Times New Roman" w:hAnsi="Times New Roman"/>
          <w:sz w:val="18"/>
          <w:szCs w:val="18"/>
          <w:color w:val="auto"/>
        </w:rPr>
        <w:t>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80" w:right="60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080" w:right="4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dollars (or such other currency or composite currency in which such debt securities are denominated) in an amount sufficient;</w:t>
      </w:r>
    </w:p>
    <w:p>
      <w:pPr>
        <w:spacing w:after="0" w:line="142" w:lineRule="exact"/>
        <w:rPr>
          <w:rFonts w:ascii="Times New Roman" w:cs="Times New Roman" w:eastAsia="Times New Roman" w:hAnsi="Times New Roman"/>
          <w:sz w:val="17"/>
          <w:szCs w:val="17"/>
          <w:color w:val="auto"/>
        </w:rPr>
      </w:pPr>
    </w:p>
    <w:p>
      <w:pPr>
        <w:ind w:left="1540" w:right="580" w:hanging="33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20" w:hanging="331"/>
        <w:spacing w:after="0" w:line="276" w:lineRule="auto"/>
        <w:tabs>
          <w:tab w:leader="none" w:pos="15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such cash and eligible obligations in an amount sufficient, in each case, in the opinion of a nationally recognized firm of independent certified public accountants, expressed in a written certification delivered to the trustee, to pay and discharge</w:t>
      </w:r>
    </w:p>
    <w:p>
      <w:pPr>
        <w:jc w:val="both"/>
        <w:ind w:left="15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1" w:lineRule="exact"/>
        <w:rPr>
          <w:rFonts w:ascii="Times New Roman" w:cs="Times New Roman" w:eastAsia="Times New Roman" w:hAnsi="Times New Roman"/>
          <w:sz w:val="17"/>
          <w:szCs w:val="17"/>
          <w:color w:val="auto"/>
        </w:rPr>
      </w:pPr>
    </w:p>
    <w:p>
      <w:pPr>
        <w:ind w:left="1080" w:right="2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9"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080" w:right="24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80" w:right="6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81" w:lineRule="exact"/>
        <w:rPr>
          <w:sz w:val="20"/>
          <w:szCs w:val="20"/>
          <w:color w:val="auto"/>
        </w:rPr>
      </w:pPr>
    </w:p>
    <w:p>
      <w:pPr>
        <w:ind w:left="1080" w:right="5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80" w:right="60" w:hanging="532"/>
        <w:spacing w:after="0" w:line="25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080" w:right="2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jc w:val="both"/>
        <w:ind w:left="1080" w:right="440" w:hanging="532"/>
        <w:spacing w:after="0" w:line="31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45" w:lineRule="exact"/>
        <w:rPr>
          <w:rFonts w:ascii="Times New Roman" w:cs="Times New Roman" w:eastAsia="Times New Roman" w:hAnsi="Times New Roman"/>
          <w:sz w:val="17"/>
          <w:szCs w:val="17"/>
          <w:color w:val="auto"/>
        </w:rPr>
      </w:pPr>
    </w:p>
    <w:p>
      <w:pPr>
        <w:ind w:left="1080" w:right="1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60" w:hanging="532"/>
        <w:spacing w:after="0" w:line="26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6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80" w:right="4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8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 only if:</w:t>
      </w:r>
    </w:p>
    <w:p>
      <w:pPr>
        <w:spacing w:after="0" w:line="67" w:lineRule="exact"/>
        <w:rPr>
          <w:sz w:val="20"/>
          <w:szCs w:val="20"/>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16, 2025, there were no shares of preferred stock outstanding. The terms of any shares of preferred stock offered pursuant to this prospectus will be set forth in an applicable prospectus supplement.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16, 2025, 995,001,891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16, 2025, there were no shares of preferred stock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King &amp; Spalding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General Motors Company and subsidiaries appearing in General Motors Company’s Annual Report (Form 10-K) for the year ended December 31, 2024, and the effectiveness of General Motors Company and subsidiaries’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https://www.sec.gov.</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we have incurred or expect to incur in connection with the sale of the securities registered pursuant to this registration statement.</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costs</w:t>
            </w:r>
          </w:p>
        </w:tc>
        <w:tc>
          <w:tcPr>
            <w:tcW w:w="2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because the registration fee is being deferred pursuant to Rule 456(b).</w:t>
      </w:r>
    </w:p>
    <w:p>
      <w:pPr>
        <w:spacing w:after="0" w:line="27"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ectPr>
          <w:pgSz w:w="11900" w:h="16838" w:orient="portrait"/>
          <w:cols w:equalWidth="0" w:num="1">
            <w:col w:w="10720"/>
          </w:cols>
          <w:pgMar w:left="320" w:top="455" w:right="8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Section 145 of the Delaware General Corporation Law, General Motors Company (General Motors) is empowered to indemnify its directors and officers as provided therein.</w:t>
      </w:r>
    </w:p>
    <w:p>
      <w:pPr>
        <w:spacing w:after="0" w:line="162"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Article V of its Amended and Restated Bylaws (the Bylaws), General Motors shall indemnify and advance expenses to every current or former director and officer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below with respect to proceedings to enforce rights to indemnification, General Motors shall not be required to indemnify a person in connection with a proceeding (or part thereof) initiated by such person if the proceeding (or part thereof) was not authorized by the Board of Directors of General Motors. For purposes of these provisions, “officer” means a person elected or appointed to an officer position by resolution of the Board of Directors of General Motors or an authorized committee thereof.</w:t>
      </w:r>
    </w:p>
    <w:p>
      <w:pPr>
        <w:spacing w:after="0" w:line="19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General Motors shall pay the expenses of an indemnitee incurred in defending any proceeding in advance of its final disposition (advancement of expenses);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Article V of the Bylaws or applicable law. If a claim for indemnification or advancement of expenses by an indemnitee under Article V of the Bylaws is not paid in full within ninety days after a written claim therefor has been received by General Motors, the indemnitee may file suit to recover the unpaid amount of such claim and, if successful in whole or in part, shall be entitled to be paid the expense of prosecuting such claim. In any such action, General Motors shall have the burden of proving that the indemnitee was not entitled to the requested indemnification or advancement of expenses under applicable law.</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76"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ectPr>
          <w:pgSz w:w="11900" w:h="16838" w:orient="portrait"/>
          <w:cols w:equalWidth="0" w:num="1">
            <w:col w:w="11040"/>
          </w:cols>
          <w:pgMar w:left="320" w:top="455"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8"/>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0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Restated Certificate of Incorporation of General Motors Company dated December 9, 2010, incorporated herein by reference to</w:t>
              </w:r>
            </w:hyperlink>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Exhibit 3.2 to the Current Report on Form 8-K of General Motors Company filed December 13, 2010</w:t>
              </w:r>
            </w:hyperlink>
          </w:p>
        </w:tc>
        <w:tc>
          <w:tcPr>
            <w:tcW w:w="190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0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General Motors Company Amended and Restated Bylaws, as amended October 4, 2024, incorporated herein by reference to</w:t>
              </w:r>
            </w:hyperlink>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3.1 to the Current Report on Form 8-K of General Motors Company filed October 9, 2024</w:t>
              </w:r>
            </w:hyperlink>
          </w:p>
        </w:tc>
        <w:tc>
          <w:tcPr>
            <w:tcW w:w="480" w:type="dxa"/>
            <w:vAlign w:val="bottom"/>
            <w:gridSpan w:val="6"/>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0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Indenture, dated as of September 27, 2013, between General Motors Company and The Bank of New York Mellon, as trustee,</w:t>
              </w:r>
            </w:hyperlink>
          </w:p>
        </w:tc>
        <w:tc>
          <w:tcPr>
            <w:tcW w:w="34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60" w:type="dxa"/>
            <w:vAlign w:val="bottom"/>
            <w:gridSpan w:val="16"/>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herein by reference to Exhibit 4.2 to the Registration Statement on Form S-3 (No. 333-195601) of General Motors</w:t>
              </w:r>
            </w:hyperlink>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Company filed April 30, 2014</w:t>
              </w:r>
            </w:hyperlink>
          </w:p>
        </w:tc>
        <w:tc>
          <w:tcPr>
            <w:tcW w:w="7000" w:type="dxa"/>
            <w:vAlign w:val="bottom"/>
            <w:tcBorders>
              <w:top w:val="single" w:sz="8" w:color="0000EE"/>
            </w:tcBorders>
            <w:gridSpan w:val="12"/>
          </w:tcPr>
          <w:p>
            <w:pPr>
              <w:spacing w:after="0"/>
              <w:rPr>
                <w:sz w:val="17"/>
                <w:szCs w:val="17"/>
                <w:color w:val="auto"/>
              </w:rPr>
            </w:pPr>
          </w:p>
        </w:tc>
        <w:tc>
          <w:tcPr>
            <w:tcW w:w="280" w:type="dxa"/>
            <w:vAlign w:val="bottom"/>
            <w:gridSpan w:val="3"/>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0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Seventh Supplemental Indenture, dated as of August 2, 2022, to the Indenture, dated as of September 27, 2013, between General</w:t>
              </w:r>
            </w:hyperlink>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Motors Company and The Bank of New York Mellon, as trustee, incorporated herein by reference to Exhibit 4.2 to the Current</w:t>
              </w:r>
            </w:hyperlink>
          </w:p>
        </w:tc>
        <w:tc>
          <w:tcPr>
            <w:tcW w:w="16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Report on Form 8-K of General Motors Company filed August 2, 2022</w:t>
              </w:r>
            </w:hyperlink>
          </w:p>
        </w:tc>
        <w:tc>
          <w:tcPr>
            <w:tcW w:w="4340" w:type="dxa"/>
            <w:vAlign w:val="bottom"/>
            <w:gridSpan w:val="9"/>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Supplemental Indenture for Debt Securities†</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Certificate of Designations for Preferred Stock†</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0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King &amp; Spalding LLP*</w:t>
            </w:r>
          </w:p>
        </w:tc>
        <w:tc>
          <w:tcPr>
            <w:tcW w:w="6940" w:type="dxa"/>
            <w:vAlign w:val="bottom"/>
            <w:gridSpan w:val="14"/>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0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King &amp; Spalding LLP (included in Exhibit 5.1)</w:t>
            </w:r>
          </w:p>
        </w:tc>
        <w:tc>
          <w:tcPr>
            <w:tcW w:w="160" w:type="dxa"/>
            <w:vAlign w:val="bottom"/>
            <w:tcBorders>
              <w:top w:val="single" w:sz="8" w:color="0000EE"/>
            </w:tcBorders>
            <w:gridSpan w:val="2"/>
          </w:tcPr>
          <w:p>
            <w:pPr>
              <w:spacing w:after="0"/>
              <w:rPr>
                <w:sz w:val="24"/>
                <w:szCs w:val="24"/>
                <w:color w:val="auto"/>
              </w:rPr>
            </w:pPr>
          </w:p>
        </w:tc>
        <w:tc>
          <w:tcPr>
            <w:tcW w:w="5060" w:type="dxa"/>
            <w:vAlign w:val="bottom"/>
            <w:gridSpan w:val="11"/>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0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Powers of Attorney for Directors of General Motors Company*</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80" w:type="dxa"/>
            <w:vAlign w:val="bottom"/>
            <w:gridSpan w:val="10"/>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Form T-1 Statement of Eligibility under the Trust Indenture Act of 1939, as amended, of The Bank of New York Mellon, as trustee,</w:t>
            </w:r>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 respect of the Indenture dated as of September 27, 2013*</w:t>
            </w:r>
          </w:p>
        </w:tc>
        <w:tc>
          <w:tcPr>
            <w:tcW w:w="5160" w:type="dxa"/>
            <w:vAlign w:val="bottom"/>
            <w:gridSpan w:val="12"/>
          </w:tcPr>
          <w:p>
            <w:pPr>
              <w:spacing w:after="0"/>
              <w:rPr>
                <w:sz w:val="17"/>
                <w:szCs w:val="17"/>
                <w:color w:val="auto"/>
              </w:rPr>
            </w:pPr>
          </w:p>
        </w:tc>
      </w:tr>
    </w:tbl>
    <w:p>
      <w:pPr>
        <w:spacing w:after="0" w:line="117" w:lineRule="exact"/>
        <w:rPr>
          <w:sz w:val="20"/>
          <w:szCs w:val="20"/>
          <w:color w:val="auto"/>
        </w:rPr>
      </w:pPr>
    </w:p>
    <w:p>
      <w:pPr>
        <w:ind w:left="1640" w:hanging="1524"/>
        <w:spacing w:after="0"/>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as an exhibit to a Current Report on Form 8-K and incorporated herein by reference or by post-effective amendment.</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hanging="439"/>
        <w:spacing w:after="0" w:line="255" w:lineRule="auto"/>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registration statement is on Form S-3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right="20" w:hanging="533"/>
        <w:spacing w:after="0" w:line="254" w:lineRule="auto"/>
        <w:tabs>
          <w:tab w:leader="none" w:pos="20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080" w:right="80"/>
        <w:spacing w:after="0" w:line="261" w:lineRule="auto"/>
        <w:rPr>
          <w:sz w:val="20"/>
          <w:szCs w:val="20"/>
          <w:color w:val="auto"/>
        </w:rPr>
      </w:pP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85" w:lineRule="exact"/>
        <w:rPr>
          <w:sz w:val="20"/>
          <w:szCs w:val="20"/>
          <w:color w:val="auto"/>
        </w:rPr>
      </w:pPr>
    </w:p>
    <w:p>
      <w:pPr>
        <w:ind w:left="1080" w:right="12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2080" w:right="40" w:hanging="533"/>
        <w:spacing w:after="0" w:line="256" w:lineRule="auto"/>
        <w:tabs>
          <w:tab w:leader="none" w:pos="20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09" w:lineRule="exact"/>
        <w:rPr>
          <w:rFonts w:ascii="Times New Roman" w:cs="Times New Roman" w:eastAsia="Times New Roman" w:hAnsi="Times New Roman"/>
          <w:sz w:val="18"/>
          <w:szCs w:val="18"/>
          <w:color w:val="auto"/>
        </w:rPr>
      </w:pPr>
    </w:p>
    <w:p>
      <w:pPr>
        <w:ind w:left="2080" w:right="60" w:hanging="533"/>
        <w:spacing w:after="0" w:line="266" w:lineRule="auto"/>
        <w:tabs>
          <w:tab w:leader="none" w:pos="20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January 28, 2025.</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Mary T. Barra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Chair and Chief Executive Officer</w:t>
      </w:r>
    </w:p>
    <w:p>
      <w:pPr>
        <w:sectPr>
          <w:pgSz w:w="11900" w:h="16838" w:orient="portrait"/>
          <w:cols w:equalWidth="0" w:num="1">
            <w:col w:w="10720"/>
          </w:cols>
          <w:pgMar w:left="320" w:top="455" w:right="8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3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T. BARRA</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Mary T. Barra</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JACOBSON</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Paul A. Jacobson</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Global Business Solutions and Chief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178"/>
        </w:trPr>
        <w:tc>
          <w:tcPr>
            <w:tcW w:w="43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Christopher T. Hatto</w:t>
            </w:r>
          </w:p>
        </w:tc>
        <w:tc>
          <w:tcPr>
            <w:tcW w:w="120" w:type="dxa"/>
            <w:vAlign w:val="bottom"/>
          </w:tcPr>
          <w:p>
            <w:pPr>
              <w:spacing w:after="0"/>
              <w:rPr>
                <w:sz w:val="15"/>
                <w:szCs w:val="15"/>
                <w:color w:val="auto"/>
              </w:rPr>
            </w:pPr>
          </w:p>
        </w:tc>
        <w:tc>
          <w:tcPr>
            <w:tcW w:w="456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Accounting Officer</w:t>
            </w:r>
          </w:p>
        </w:tc>
        <w:tc>
          <w:tcPr>
            <w:tcW w:w="2020" w:type="dxa"/>
            <w:vAlign w:val="bottom"/>
          </w:tcPr>
          <w:p>
            <w:pPr>
              <w:spacing w:after="0"/>
              <w:rPr>
                <w:sz w:val="15"/>
                <w:szCs w:val="15"/>
                <w:color w:val="auto"/>
              </w:rPr>
            </w:pPr>
          </w:p>
        </w:tc>
      </w:t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Lead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Patricia F. Russo</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Wesley G. Bush</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Joanne C. Crevoiserat</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Linda R. Gooden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Joseph Jimenez</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Alfred F. Kelly Jr.</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Jonathan McNeill</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Judith A. Miscik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Mark A. Tatum</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Jan E. Tighe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2025</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Devin N. Wenig</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340" w:right="140" w:hanging="224"/>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or her name hereto, does execute this Registration Statement on behalf of the persons identified above pursuant to a power of attorney.</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S. Kim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-130810</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Attorney-in-Fact</w:t>
      </w:r>
    </w:p>
    <w:p>
      <w:pPr>
        <w:sectPr>
          <w:pgSz w:w="11900" w:h="16838" w:orient="portrait"/>
          <w:cols w:equalWidth="0" w:num="1">
            <w:col w:w="11140"/>
          </w:cols>
          <w:pgMar w:left="320" w:top="455"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0"/>
          </w:cols>
          <w:pgMar w:left="440" w:top="117" w:right="439" w:bottom="1440" w:gutter="0" w:footer="0" w:header="0"/>
        </w:sectPr>
      </w:pPr>
    </w:p>
    <w:p>
      <w:pPr>
        <w:spacing w:after="0" w:line="2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80005" cy="248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58000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1180 Peachtree Street N.E. Ste. 1600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30309-3521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+1 404 572 4600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+1 404 572 5100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www.kslaw.com</w:t>
      </w:r>
    </w:p>
    <w:p>
      <w:pPr>
        <w:spacing w:after="0" w:line="200" w:lineRule="exact"/>
        <w:rPr>
          <w:sz w:val="20"/>
          <w:szCs w:val="20"/>
          <w:color w:val="auto"/>
        </w:rPr>
      </w:pPr>
    </w:p>
    <w:p>
      <w:pPr>
        <w:sectPr>
          <w:pgSz w:w="11900" w:h="16838" w:orient="portrait"/>
          <w:cols w:equalWidth="0" w:num="2">
            <w:col w:w="6540" w:space="720"/>
            <w:col w:w="3760"/>
          </w:cols>
          <w:pgMar w:left="440" w:top="117" w:right="4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We have acted as counsel to General Motors Company, a Delaware corporation (the “Corporation”), in connection with the preparation and filing of a Registration Statement on Form S-3 (the “Registration Statement”) with the Securities and Exchange Commission under the Securities Act of 1933, as amended (the “Securities Act”). The Registration Statement relates to the registration under the Securities Act of the offer and sale, from time to time pursuant to Rule 415 under the Securities Act, of an indeterminate aggregate offering price of the following (collectively, the “Securities”): (i) shares of the Corporation’s common stock, par value $0.01 per share (“Common Stock”); (ii) shares of the Corporation’s preferred stock, par value $0.01 per share (“Preferred Stock”); (iii) warrants to purchase Common Stock, Preferred Stock or Debt Securities (as defined below) or any combination thereof (“Warrants”); and (iv) debt securities of the Corporation to be issued under the indenture, dated September 27, 2013 (the “Indenture”), between the Corporation and The Bank of New York Mellon, and any applicable amendment or supplement thereto (the “Debt Securities”).</w:t>
      </w:r>
    </w:p>
    <w:p>
      <w:pPr>
        <w:spacing w:after="0" w:line="17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documents submitted to us as certified, conformed or photographic copies and, as to certificates of public officials, we have assumed the same to have been properly given and to be accurate. As to matters of fact material to this opinion, we have relied, without independent verification, upon certificates, statements and representations of public officials and representatives of the Corporation.</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also assumed that (i) any supplemental indenture setting forth the terms of the Debt Securities and Guarantees to be issued, any contract governing or establishing the terms of the Depositary Shares, Warrants, Purchase Contracts or Units will be the valid and binding obligations of each party thereto (other than the Corporation) enforceable against each party thereto (other than the Corporation) in accordance with their respective terms, (ii) the execution and delivery of, and performance by the Corporation pursuant to, any Security (A) require no</w:t>
      </w:r>
    </w:p>
    <w:p>
      <w:pPr>
        <w:sectPr>
          <w:pgSz w:w="11900" w:h="16838" w:orient="portrait"/>
          <w:cols w:equalWidth="0" w:num="1">
            <w:col w:w="11020"/>
          </w:cols>
          <w:pgMar w:left="440" w:top="117"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action by or in respect of, or filing with, any governmental body, agency or official and (B) do not contravene, or constitute a default under, any provision of applicable law or regulation or any judgment, injunction, order or decree or any agreement or other instrument binding upon the Corporation, (iii) any contract governing or establishing the terms of the Warrants will be governed by the laws of the State of New York, and (iv) any Securities issuable upon conversion, exchange or exercise of any Security being offered or issued will be duly authorized, created and, if appropriate, reserved for issuance upon such conversion, exchange or exercise.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foregoing, and subject to the additional assumptions, qualifications and limitations set forth below, we are of the opinion that:</w:t>
      </w:r>
    </w:p>
    <w:p>
      <w:pPr>
        <w:spacing w:after="0" w:line="117" w:lineRule="exact"/>
        <w:rPr>
          <w:sz w:val="20"/>
          <w:szCs w:val="20"/>
          <w:color w:val="auto"/>
        </w:rPr>
      </w:pPr>
    </w:p>
    <w:p>
      <w:pPr>
        <w:ind w:left="440" w:firstLine="419"/>
        <w:spacing w:after="0" w:line="258"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when (i) the terms of their issuance and sale, and all related matters, have been duly authorized and established by all necessary corporate action and (ii) such shares of Common Stock have been duly delivered to the purchasers thereof upon the payment of the consideration therefor (which consideration is not less than the par value of the Common Stock), will be duly authorized, validly issued, fully paid and non-assessable. The shares of Common Stock covered by the opinion in this paragraph include any shares of Common Stock that may be issued as part of any Units or upon the conversion, exchange, exercise or otherwise pursuant to the terms of any other Securities.</w:t>
      </w:r>
    </w:p>
    <w:p>
      <w:pPr>
        <w:spacing w:after="0" w:line="75" w:lineRule="exact"/>
        <w:rPr>
          <w:rFonts w:ascii="Times New Roman" w:cs="Times New Roman" w:eastAsia="Times New Roman" w:hAnsi="Times New Roman"/>
          <w:sz w:val="18"/>
          <w:szCs w:val="18"/>
          <w:color w:val="auto"/>
        </w:rPr>
      </w:pPr>
    </w:p>
    <w:p>
      <w:pPr>
        <w:ind w:left="440" w:right="200" w:firstLine="419"/>
        <w:spacing w:after="0" w:line="273" w:lineRule="auto"/>
        <w:tabs>
          <w:tab w:leader="none" w:pos="111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Preferred Stock, when (i) the terms of the series of such shares of Preferred Stock and of their issuance and sale, and all related matters, have been duly authorized and established by all necessary corporate action, (ii) a Certificate of Designations setting forth the powers, designations, preferences, rights, qualifications, limitations and restrictions of the series of such shares of Preferred Stock has been duly filed with the Secretary of State of the State of Delaware, and (iii) such shares of Preferred Stock have been duly delivered to the purchasers thereof upon the payment of the consideration therefor (which consideration is not less than the par value of the Preferred Stock), will be duly authorized, validly issued, fully paid and non-assessable. The shares of Preferred Stock covered by the opinion in this paragraph include any shares of Preferred Stock that may be issued upon the conversion, exchange, exercise or otherwise pursuant to the terms of any other Securities.</w:t>
      </w:r>
    </w:p>
    <w:p>
      <w:pPr>
        <w:spacing w:after="0" w:line="63" w:lineRule="exact"/>
        <w:rPr>
          <w:rFonts w:ascii="Times New Roman" w:cs="Times New Roman" w:eastAsia="Times New Roman" w:hAnsi="Times New Roman"/>
          <w:sz w:val="17"/>
          <w:szCs w:val="17"/>
          <w:color w:val="auto"/>
        </w:rPr>
      </w:pPr>
    </w:p>
    <w:p>
      <w:pPr>
        <w:ind w:left="440" w:right="40" w:firstLine="419"/>
        <w:spacing w:after="0" w:line="254"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when (i) the terms of such Warrants, of any contract governing or establishing the terms of such Warrants and of the issuance and sale of such Warrants, and all related matters including the issuance and sale of the Common Stock, Preferred Stock or Debt Securities issuable upon exercise of such Warrants, have been duly authorized and established by all necessary corporate action, (ii) any contract governing or establishing the terms of the Warrants has been duly authorized, executed and delivered by the Corporation, (iii) if such Warrants are exercisable for Common Stock, the actions described in paragraph (1) above have been taken, (iv) if such Warrants are exercisable for Preferred Stock, the actions described in paragraph (2) above have been taken, (v) if such Warrants are exercisable for Debt Securities, the actions described in paragraph (4) below have been taken, and (vi) such Warrants have been duly executed by the Corporation and countersigned in accordance with the terms of any contract governing or establishing the terms of such</w:t>
      </w:r>
    </w:p>
    <w:p>
      <w:pPr>
        <w:sectPr>
          <w:pgSz w:w="11900" w:h="16838" w:orient="portrait"/>
          <w:cols w:equalWidth="0" w:num="1">
            <w:col w:w="11020"/>
          </w:cols>
          <w:pgMar w:left="440" w:top="270"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Warrants and duly delivered to the purchasers thereof upon the payment of the consideration therefor, will constitute valid and binding obligations of the Corporation enforceable against the Corporation in accordance with their terms, subject, as to the enforcement of remedies, to bankruptcy, insolvency, reorganization, moratorium and similar laws affecting the rights and remedies of creditors generally and to the effect of general principles of equity. The Warrants covered by the opinion in this paragraph include any Warrants that may be issued pursuant to the terms of any other Securities.</w:t>
      </w:r>
    </w:p>
    <w:p>
      <w:pPr>
        <w:spacing w:after="0" w:line="75" w:lineRule="exact"/>
        <w:rPr>
          <w:sz w:val="20"/>
          <w:szCs w:val="20"/>
          <w:color w:val="auto"/>
        </w:rPr>
      </w:pPr>
    </w:p>
    <w:p>
      <w:pPr>
        <w:ind w:left="1120" w:hanging="261"/>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Securities, when (i) any supplemental indenture setting forth the terms of such series of Debt Securities has been duly</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executed and delivered by the Corporation, (ii) the terms of such series of Debt Securities and of their issuance and sale, and all related matters, have been duly authorized and established by all necessary corporate action in accordance with the Indenture, and (iii) such Debt Securities have been duly executed by the Corporation and authenticated in accordance with the terms of the Indenture (and any applicable supplemental indenture) and duly delivered to the purchasers thereof upon the payment of the consideration therefor, will constitute valid and binding obligations of the Corporation enforceable against the Corporation in accordance with their terms, subject, as to the enforcement of remedies, to bankruptcy, insolvency, reorganization, moratorium and similar laws affecting the rights and remedies of creditors generally and to the effect of general principles of equity. The Debt Securities covered by the opinion in this paragraph include any Debt Securities that may be issued pursuant to the terms of any other Securities.</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limited in all respects to the federal laws of the United States of America, the laws of the State of New York and the General Corporation Law of the State of Delaware,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Corporation in connection with the matters addressed herein.</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us under the caption “Legal Matters” in the Prospectus that forms a part thereof. In giving such consent, we do not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King &amp; Spalding LLP</w:t>
      </w:r>
    </w:p>
    <w:p>
      <w:pPr>
        <w:sectPr>
          <w:pgSz w:w="11900" w:h="16838" w:orient="portrait"/>
          <w:cols w:equalWidth="0" w:num="1">
            <w:col w:w="11000"/>
          </w:cols>
          <w:pgMar w:left="440" w:top="270" w:right="4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General Motors Company for the registration of debt securities, preferred stock, common stock and warrants and to the incorporation by reference therein of our reports dated January 28, 2025,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2024,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ectPr>
          <w:pgSz w:w="11900" w:h="16838" w:orient="portrait"/>
          <w:cols w:equalWidth="0" w:num="1">
            <w:col w:w="11020"/>
          </w:cols>
          <w:pgMar w:left="440" w:top="117" w:right="439" w:bottom="1440" w:gutter="0" w:footer="0" w:header="0"/>
        </w:sectPr>
      </w:pPr>
    </w:p>
    <w:bookmarkStart w:id="39" w:name="page40"/>
    <w:bookmarkEnd w:id="39"/>
    <w:p>
      <w:pPr>
        <w:ind w:left="1008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117"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Print</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80" w:hanging="424"/>
        <w:spacing w:after="0" w:line="262" w:lineRule="auto"/>
        <w:tabs>
          <w:tab w:leader="none" w:pos="424" w:val="left"/>
        </w:tabs>
        <w:numPr>
          <w:ilvl w:val="0"/>
          <w:numId w:val="35"/>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48"/>
        </w:trPr>
        <w:tc>
          <w:tcPr>
            <w:tcW w:w="7400" w:type="dxa"/>
            <w:vAlign w:val="bottom"/>
            <w:gridSpan w:val="3"/>
          </w:tcPr>
          <w:p>
            <w:pPr>
              <w:jc w:val="center"/>
              <w:ind w:right="186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620" w:type="dxa"/>
            <w:vAlign w:val="bottom"/>
          </w:tcPr>
          <w:p>
            <w:pPr>
              <w:jc w:val="center"/>
              <w:ind w:right="16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240 Greenwich Street, New York, N.Y.</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w w:val="97"/>
              </w:rPr>
              <w:t>10286</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0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General Motors Company</w:t>
            </w:r>
          </w:p>
        </w:tc>
        <w:tc>
          <w:tcPr>
            <w:tcW w:w="3620" w:type="dxa"/>
            <w:vAlign w:val="bottom"/>
          </w:tcPr>
          <w:p>
            <w:pPr>
              <w:spacing w:after="0"/>
              <w:rPr>
                <w:sz w:val="24"/>
                <w:szCs w:val="24"/>
                <w:color w:val="auto"/>
              </w:rPr>
            </w:pPr>
          </w:p>
        </w:tc>
      </w:tr>
      <w:tr>
        <w:trPr>
          <w:trHeight w:val="190"/>
        </w:trPr>
        <w:tc>
          <w:tcPr>
            <w:tcW w:w="7400" w:type="dxa"/>
            <w:vAlign w:val="bottom"/>
            <w:gridSpan w:val="3"/>
          </w:tcPr>
          <w:p>
            <w:pPr>
              <w:jc w:val="center"/>
              <w:ind w:left="3541"/>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c>
          <w:tcPr>
            <w:tcW w:w="362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68"/>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149"/>
        </w:trPr>
        <w:tc>
          <w:tcPr>
            <w:tcW w:w="7400" w:type="dxa"/>
            <w:vAlign w:val="bottom"/>
            <w:gridSpan w:val="3"/>
          </w:tcPr>
          <w:p>
            <w:pPr>
              <w:jc w:val="center"/>
              <w:ind w:right="1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20" w:type="dxa"/>
            <w:vAlign w:val="bottom"/>
          </w:tcPr>
          <w:p>
            <w:pPr>
              <w:jc w:val="center"/>
              <w:ind w:right="16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300 Renaissance Center</w:t>
            </w:r>
          </w:p>
        </w:tc>
        <w:tc>
          <w:tcPr>
            <w:tcW w:w="3620" w:type="dxa"/>
            <w:vAlign w:val="bottom"/>
          </w:tcPr>
          <w:p>
            <w:pPr>
              <w:spacing w:after="0"/>
              <w:rPr>
                <w:sz w:val="24"/>
                <w:szCs w:val="24"/>
                <w:color w:val="auto"/>
              </w:rPr>
            </w:pPr>
          </w:p>
        </w:tc>
      </w:tr>
      <w:tr>
        <w:trPr>
          <w:trHeight w:val="227"/>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Detroit, Michigan</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48265-3000</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62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620" w:type="dxa"/>
            <w:vAlign w:val="bottom"/>
          </w:tcPr>
          <w:p>
            <w:pPr>
              <w:spacing w:after="0"/>
              <w:rPr>
                <w:sz w:val="16"/>
                <w:szCs w:val="16"/>
                <w:color w:val="auto"/>
              </w:rPr>
            </w:pPr>
          </w:p>
        </w:tc>
      </w:tr>
      <w:tr>
        <w:trPr>
          <w:trHeight w:val="226"/>
        </w:trPr>
        <w:tc>
          <w:tcPr>
            <w:tcW w:w="4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52" w:name="page53"/>
    <w:bookmarkEnd w:id="52"/>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824"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6"/>
                <w:szCs w:val="16"/>
                <w:color w:val="auto"/>
              </w:rPr>
            </w:pPr>
          </w:p>
        </w:tc>
        <w:tc>
          <w:tcPr>
            <w:tcW w:w="4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color w:val="auto"/>
              </w:rPr>
              <w:t>Address</w:t>
            </w:r>
          </w:p>
        </w:tc>
      </w:tr>
      <w:tr>
        <w:trPr>
          <w:trHeight w:val="191"/>
        </w:trPr>
        <w:tc>
          <w:tcPr>
            <w:tcW w:w="20" w:type="dxa"/>
            <w:vAlign w:val="bottom"/>
          </w:tcPr>
          <w:p>
            <w:pPr>
              <w:spacing w:after="0"/>
              <w:rPr>
                <w:sz w:val="16"/>
                <w:szCs w:val="16"/>
                <w:color w:val="auto"/>
              </w:rPr>
            </w:pPr>
          </w:p>
        </w:tc>
        <w:tc>
          <w:tcPr>
            <w:tcW w:w="4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Superintendent of the Department of Financial Services of the</w:t>
            </w:r>
          </w:p>
        </w:tc>
        <w:tc>
          <w:tcPr>
            <w:tcW w:w="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One State Street, New York, N.Y.</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New York</w:t>
            </w: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10004-1417, and Albany, N.Y.</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12223</w:t>
            </w:r>
          </w:p>
        </w:tc>
      </w:tr>
      <w:tr>
        <w:trPr>
          <w:trHeight w:val="31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 Liberty Street, New York, N.Y.</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10045</w:t>
            </w:r>
          </w:p>
        </w:tc>
      </w:tr>
      <w:tr>
        <w:trPr>
          <w:trHeight w:val="31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550 17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NW</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30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Clearing House Association L.L.C.</w:t>
            </w: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Broad Street</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 York, N.Y. 10004</w:t>
            </w:r>
          </w:p>
        </w:tc>
      </w:tr>
    </w:tbl>
    <w:p>
      <w:pPr>
        <w:spacing w:after="0" w:line="221" w:lineRule="exact"/>
        <w:rPr>
          <w:sz w:val="20"/>
          <w:szCs w:val="20"/>
          <w:color w:val="auto"/>
        </w:rPr>
      </w:pPr>
    </w:p>
    <w:p>
      <w:pPr>
        <w:ind w:left="964" w:hanging="532"/>
        <w:spacing w:after="0"/>
        <w:tabs>
          <w:tab w:leader="none" w:pos="9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w:t>
      </w:r>
    </w:p>
    <w:p>
      <w:pPr>
        <w:spacing w:after="0" w:line="127"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17" w:lineRule="exact"/>
        <w:rPr>
          <w:rFonts w:ascii="Times New Roman" w:cs="Times New Roman" w:eastAsia="Times New Roman" w:hAnsi="Times New Roman"/>
          <w:sz w:val="18"/>
          <w:szCs w:val="18"/>
          <w:b w:val="1"/>
          <w:bCs w:val="1"/>
          <w:color w:val="auto"/>
        </w:rPr>
      </w:pPr>
    </w:p>
    <w:p>
      <w:pPr>
        <w:ind w:left="444" w:right="506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64" w:lineRule="exact"/>
        <w:rPr>
          <w:rFonts w:ascii="Times New Roman" w:cs="Times New Roman" w:eastAsia="Times New Roman" w:hAnsi="Times New Roman"/>
          <w:sz w:val="18"/>
          <w:szCs w:val="18"/>
          <w:b w:val="1"/>
          <w:bCs w:val="1"/>
          <w:color w:val="auto"/>
        </w:rPr>
      </w:pPr>
    </w:p>
    <w:p>
      <w:pPr>
        <w:ind w:left="964" w:right="60" w:hanging="532"/>
        <w:spacing w:after="0" w:line="277" w:lineRule="auto"/>
        <w:tabs>
          <w:tab w:leader="none" w:pos="96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0"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4"/>
          </w:cols>
          <w:pgMar w:left="436" w:top="266" w:right="499" w:bottom="1440" w:gutter="0" w:footer="0" w:header="0"/>
        </w:sectPr>
      </w:pPr>
    </w:p>
    <w:bookmarkStart w:id="53" w:name="page54"/>
    <w:bookmarkEnd w:id="53"/>
    <w:p>
      <w:pPr>
        <w:ind w:left="532" w:hanging="532"/>
        <w:spacing w:after="0"/>
        <w:tabs>
          <w:tab w:leader="none" w:pos="5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p>
      <w:pPr>
        <w:ind w:left="532" w:right="900" w:hanging="532"/>
        <w:spacing w:after="0" w:line="282" w:lineRule="auto"/>
        <w:tabs>
          <w:tab w:leader="none" w:pos="5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with Registration Statement No. 333-229519).</w:t>
      </w:r>
    </w:p>
    <w:p>
      <w:pPr>
        <w:spacing w:after="0" w:line="6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94" w:lineRule="exact"/>
        <w:rPr>
          <w:rFonts w:ascii="Times New Roman" w:cs="Times New Roman" w:eastAsia="Times New Roman" w:hAnsi="Times New Roman"/>
          <w:sz w:val="18"/>
          <w:szCs w:val="18"/>
          <w:color w:val="auto"/>
        </w:rPr>
      </w:pPr>
    </w:p>
    <w:p>
      <w:pPr>
        <w:ind w:left="5032" w:hanging="106"/>
        <w:spacing w:after="0"/>
        <w:tabs>
          <w:tab w:leader="none" w:pos="50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192"/>
          </w:cols>
          <w:pgMar w:left="868" w:top="270" w:right="8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Pittsburgh, and State of Pennsylvania, on the 24th day of January,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Nathaniel Henkle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Nathaniel Henkle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Agent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20"/>
          </w:cols>
          <w:pgMar w:left="440" w:top="27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September 30, 2024, published in accordance with a call made by the Federal Reserve Bank of this District pursuant to the provisions of the Federal Reserve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110,102,000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44,947,000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96,741,000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19,655,000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36,315,000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 on loans and leases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36,040,000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5,851,000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fixed assets (including right-of-use assets)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6,925,000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18,449,000</w:t>
            </w: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348,079,000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195,220,000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65,207,000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130,013,000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104,758,000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3,534,000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101,224,000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(includes mortgage indebtedness)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319,501,000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12,438,000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17,456,000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28,578,000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28,578,000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348,079,000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57" w:name="page58"/>
    <w:bookmarkEnd w:id="57"/>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Dermot McDonogh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Robin A. Vince</w:t>
            </w:r>
          </w:p>
        </w:tc>
        <w:tc>
          <w:tcPr>
            <w:tcW w:w="360" w:type="dxa"/>
            <w:vAlign w:val="bottom"/>
            <w:tcBorders>
              <w:top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7"/>
                <w:szCs w:val="17"/>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Jeffrey A. Goldstein</w:t>
            </w:r>
          </w:p>
        </w:tc>
        <w:tc>
          <w:tcPr>
            <w:tcW w:w="360" w:type="dxa"/>
            <w:vAlign w:val="bottom"/>
            <w:tcBorders>
              <w:right w:val="single" w:sz="8" w:color="auto"/>
            </w:tcBorders>
          </w:tcPr>
          <w:p>
            <w:pPr>
              <w:spacing w:after="0"/>
              <w:rPr>
                <w:sz w:val="18"/>
                <w:szCs w:val="18"/>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Directors</w:t>
            </w:r>
          </w:p>
        </w:tc>
      </w:tr>
      <w:tr>
        <w:trPr>
          <w:trHeight w:val="24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Joseph J. Echevarria</w:t>
            </w:r>
          </w:p>
        </w:tc>
        <w:tc>
          <w:tcPr>
            <w:tcW w:w="360" w:type="dxa"/>
            <w:vAlign w:val="bottom"/>
            <w:tcBorders>
              <w:bottom w:val="single" w:sz="8" w:color="auto"/>
              <w:right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General Motors Company</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18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Paid in</w:t>
            </w:r>
          </w:p>
        </w:tc>
        <w:tc>
          <w:tcPr>
            <w:tcW w:w="0" w:type="dxa"/>
            <w:vAlign w:val="bottom"/>
          </w:tcPr>
          <w:p>
            <w:pPr>
              <w:spacing w:after="0"/>
              <w:rPr>
                <w:sz w:val="1"/>
                <w:szCs w:val="1"/>
                <w:color w:val="auto"/>
              </w:rPr>
            </w:pPr>
          </w:p>
        </w:tc>
      </w:tr>
      <w:tr>
        <w:trPr>
          <w:trHeight w:val="140"/>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Proposed</w:t>
            </w:r>
          </w:p>
        </w:tc>
        <w:tc>
          <w:tcPr>
            <w:tcW w:w="7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Carry</w:t>
            </w:r>
          </w:p>
        </w:tc>
        <w:tc>
          <w:tcPr>
            <w:tcW w:w="8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4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 with Unsold</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4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Securities to</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Be Carried</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center"/>
              <w:ind w:left="27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Debt</w:t>
            </w:r>
          </w:p>
        </w:tc>
        <w:tc>
          <w:tcPr>
            <w:tcW w:w="10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66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18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center"/>
              <w:ind w:left="29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issued at indeterminate prices.</w:t>
      </w:r>
    </w:p>
    <w:p>
      <w:pPr>
        <w:ind w:left="424" w:right="600" w:hanging="424"/>
        <w:spacing w:after="0" w:line="255"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on Rule 456(b) and Rule 457(r) under the Securities Act, the registrant hereby defers payment of the registration fee required in connection with this registration statement. Separate consideration may or may not be received for securities that are issuable on exercise, conversion or exchange of other securities.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6"/>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Roman"/>
      <w:start w:val="1"/>
    </w:lvl>
    <w:lvl w:ilvl="1">
      <w:lvlJc w:val="left"/>
      <w:lvlText w:val="•"/>
      <w:numFmt w:val="bullet"/>
      <w:start w:val="1"/>
    </w:lvl>
  </w:abstractNum>
  <w:abstractNum w:abstractNumId="10">
    <w:nsid w:val="189A769B"/>
    <w:multiLevelType w:val="hybridMultilevel"/>
    <w:lvl w:ilvl="0">
      <w:lvlJc w:val="left"/>
      <w:lvlText w:val="(%1)"/>
      <w:numFmt w:val="lowerRoman"/>
      <w:start w:val="2"/>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Roman"/>
      <w:start w:val="1"/>
    </w:lvl>
    <w:lvl w:ilvl="1">
      <w:lvlJc w:val="left"/>
      <w:lvlText w:val="•"/>
      <w:numFmt w:val="bullet"/>
      <w:start w:val="1"/>
    </w:lvl>
  </w:abstractNum>
  <w:abstractNum w:abstractNumId="13">
    <w:nsid w:val="2CA88611"/>
    <w:multiLevelType w:val="hybridMultilevel"/>
    <w:lvl w:ilvl="0">
      <w:lvlJc w:val="left"/>
      <w:lvlText w:val="(%1)"/>
      <w:numFmt w:val="lowerRoman"/>
      <w:start w:val="1"/>
    </w:lvl>
    <w:lvl w:ilvl="1">
      <w:lvlJc w:val="left"/>
      <w:lvlText w:val="•"/>
      <w:numFmt w:val="bullet"/>
      <w:start w:val="1"/>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Roman"/>
      <w:start w:val="2"/>
    </w:lvl>
  </w:abstractNum>
  <w:abstractNum w:abstractNumId="16">
    <w:nsid w:val="3A95F874"/>
    <w:multiLevelType w:val="hybridMultilevel"/>
    <w:lvl w:ilvl="0">
      <w:lvlJc w:val="left"/>
      <w:lvlText w:val="(%1)"/>
      <w:numFmt w:val="lowerRoman"/>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Roman"/>
      <w:start w:val="15"/>
    </w:lvl>
  </w:abstractNum>
  <w:abstractNum w:abstractNumId="19">
    <w:nsid w:val="7C3DBD3D"/>
    <w:multiLevelType w:val="hybridMultilevel"/>
    <w:lvl w:ilvl="0">
      <w:lvlJc w:val="left"/>
      <w:lvlText w:val="(%1)"/>
      <w:numFmt w:val="lowerRoman"/>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07"/>
    </w:lvl>
  </w:abstractNum>
  <w:abstractNum w:abstractNumId="28">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5072367"/>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30">
    <w:nsid w:val="3804823E"/>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2"/>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4"/>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9">
    <w:nsid w:val="153EA438"/>
    <w:multiLevelType w:val="hybridMultilevel"/>
    <w:lvl w:ilvl="0">
      <w:lvlJc w:val="left"/>
      <w:lvlText w:val="%1."/>
      <w:numFmt w:val="decimal"/>
      <w:start w:val="4"/>
    </w:lvl>
  </w:abstractNum>
  <w:abstractNum w:abstractNumId="40">
    <w:nsid w:val="3855585C"/>
    <w:multiLevelType w:val="hybridMultilevel"/>
    <w:lvl w:ilvl="0">
      <w:lvlJc w:val="left"/>
      <w:lvlText w:val="%1."/>
      <w:numFmt w:val="decimal"/>
      <w:start w:val="6"/>
    </w:lvl>
    <w:lvl w:ilvl="1">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jpe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25" Type="http://schemas.openxmlformats.org/officeDocument/2006/relationships/hyperlink" Target="http://www.sec.gov/ix?doc=/Archives/edgar/data/1467858/000146785825000032/gm-20241231.htm" TargetMode="External"/><Relationship Id="rId26" Type="http://schemas.openxmlformats.org/officeDocument/2006/relationships/hyperlink" Target="http://www.sec.gov/Archives/edgar/data/1467858/000119312524108581/d648661ddef14a.htm" TargetMode="External"/><Relationship Id="rId27" Type="http://schemas.openxmlformats.org/officeDocument/2006/relationships/hyperlink" Target="http://www.sec.gov/Archives/edgar/data/1467858/000146785825000032/ex-41x12312024.htm" TargetMode="External"/><Relationship Id="rId55" Type="http://schemas.openxmlformats.org/officeDocument/2006/relationships/hyperlink" Target="http://www.sec.gov/Archives/edgar/data/1467858/000119312510279214/dex32.htm" TargetMode="External"/><Relationship Id="rId56" Type="http://schemas.openxmlformats.org/officeDocument/2006/relationships/hyperlink" Target="http://www.sec.gov/Archives/edgar/data/1467858/000119312524235250/d895658dex31.htm" TargetMode="External"/><Relationship Id="rId57" Type="http://schemas.openxmlformats.org/officeDocument/2006/relationships/hyperlink" Target="http://www.sec.gov/Archives/edgar/data/1467858/000146785814000133/ex42043014indenture.htm" TargetMode="External"/><Relationship Id="rId58" Type="http://schemas.openxmlformats.org/officeDocument/2006/relationships/hyperlink" Target="http://www.sec.gov/Archives/edgar/data/1467858/000119312522210038/d38092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2025-01-28T16:15:03Z</dcterms:created>
  <dcterms:modified xsi:type="dcterms:W3CDTF">2025-01-28T16:15:03Z</dcterms:modified>
</cp:coreProperties>
</file>