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3349.xml.htm"/>
      <w:bookmarkStart w:id="1" w:name="kswkform4_1708553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Glidden Craig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GC</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39,903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290,290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276,759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and July 1, 2021, the Reporting Person received a grant of Performance Stock Units ("PSUs"). Under the grants, the PSUs could be earned based on the achievement of certain financial targets. The PSUs vested on February 18, 2024, and were awarded in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Glidden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00309"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3365</Characters>
  <CharactersWithSpaces>3919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