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3,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April 3, 2012</w:t>
      </w:r>
    </w:p>
    <w:p>
      <w:pPr>
        <w:sectPr>
          <w:pgSz w:w="11900" w:h="16838" w:orient="portrait"/>
          <w:cols w:equalWidth="0" w:num="1">
            <w:col w:w="10219"/>
          </w:cols>
          <w:pgMar w:left="240" w:top="1229" w:right="1440" w:bottom="1440" w:gutter="0" w:footer="0" w:header="0"/>
        </w:sectPr>
      </w:pPr>
    </w:p>
    <w:bookmarkStart w:id="2" w:name="page3"/>
    <w:bookmarkEnd w:id="2"/>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April 3, 2012, General Motors Company (GM) issued a news release announcing March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April 3, 2012</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820"/>
          </w:cols>
          <w:pgMar w:left="240" w:top="1440" w:right="8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100" w:type="dxa"/>
            <w:vAlign w:val="bottom"/>
            <w:vMerge w:val="restart"/>
          </w:tcPr>
          <w:p>
            <w:pPr>
              <w:spacing w:after="0"/>
              <w:rPr>
                <w:sz w:val="20"/>
                <w:szCs w:val="20"/>
                <w:color w:val="auto"/>
              </w:rPr>
            </w:pPr>
            <w:r>
              <w:rPr>
                <w:rFonts w:ascii="Arial" w:cs="Arial" w:eastAsia="Arial" w:hAnsi="Arial"/>
                <w:sz w:val="18"/>
                <w:szCs w:val="18"/>
                <w:color w:val="auto"/>
              </w:rPr>
              <w:t>Date: April 5, 2012</w:t>
            </w:r>
          </w:p>
        </w:tc>
        <w:tc>
          <w:tcPr>
            <w:tcW w:w="2300" w:type="dxa"/>
            <w:vAlign w:val="bottom"/>
            <w:vMerge w:val="restart"/>
          </w:tcPr>
          <w:p>
            <w:pPr>
              <w:ind w:left="170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1013"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2232660</wp:posOffset>
            </wp:positionH>
            <wp:positionV relativeFrom="page">
              <wp:posOffset>671830</wp:posOffset>
            </wp:positionV>
            <wp:extent cx="3104515"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1045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April 3, 2012, 10 a.m. EDT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Chevrolet and GMC Drive GM's March Sales up 12 percent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Buick and Cadillac retail sales increase</w:t>
      </w:r>
    </w:p>
    <w:p>
      <w:pPr>
        <w:spacing w:after="0" w:line="207"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reported total March sales of 231,052 vehicles in the United States, up 12</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year over year. The monthly total includes a record 100,000 cars and crossovers that achieve an EPA-estimated 30 mpg highway rating or better.</w:t>
      </w:r>
    </w:p>
    <w:p>
      <w:pPr>
        <w:spacing w:after="0" w:line="19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economic recovery and a deep bench of fuel-efficient cars and crossovers have been driving our sales for more than a year, but the combined impact has never been stronger than it was in March,” said Don Johnson, vice president, U.S. Sales Operations. “Since the last time fuel prices spiked, both the economy and GM's product portfolio are undeniably stronger. We're now strong across the board in cars, crossovers and trucks.”</w:t>
      </w:r>
    </w:p>
    <w:p>
      <w:pPr>
        <w:spacing w:after="0" w:line="207" w:lineRule="exact"/>
        <w:rPr>
          <w:sz w:val="20"/>
          <w:szCs w:val="20"/>
          <w:color w:val="auto"/>
        </w:rPr>
      </w:pPr>
    </w:p>
    <w:p>
      <w:pPr>
        <w:ind w:right="620"/>
        <w:spacing w:after="0" w:line="272" w:lineRule="auto"/>
        <w:rPr>
          <w:sz w:val="20"/>
          <w:szCs w:val="20"/>
          <w:color w:val="auto"/>
        </w:rPr>
      </w:pPr>
      <w:r>
        <w:rPr>
          <w:rFonts w:ascii="Arial" w:cs="Arial" w:eastAsia="Arial" w:hAnsi="Arial"/>
          <w:sz w:val="19"/>
          <w:szCs w:val="19"/>
          <w:color w:val="auto"/>
        </w:rPr>
        <w:t>Total GM passenger car sales increased 22 percent, with small and compact car sales up a combined 62 percent. Compact crossover sales were up 47 percent and mid-size car sales were up 38 percent. Full-size pickup sales were up 14 percent.</w:t>
      </w:r>
    </w:p>
    <w:p>
      <w:pPr>
        <w:spacing w:after="0" w:line="180"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The Chevrolet brand increased its sales 17 percent year over year, and every Chevrolet car line was up. Sales of the Sonic have increased steadily since it launched in August 2011, with March reaching 8,251 vehicles. Volt sales of 2,289 were 50 percent higher than December 2011, which had been the vehicle's best month since launch. Cruze deliveries of 21,607 marked the car's seventh month of sales exceeding 20,000 units and its seventh consecutive month of higher year-over-year sales.</w:t>
      </w:r>
    </w:p>
    <w:p>
      <w:pPr>
        <w:spacing w:after="0" w:line="20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Other March highlights include a 12 percent year-over-year increase in GMC sales driven by strong Sierra and Terrain results, a 34 percent increase in Chevrolet Equinox sales, a 15 percent increase in Cadillac CTS sales, and a very strong month for the new Buick Verano, with sales of 2,497 units.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retail deliveries increased 14 percent compared with March 2011 and accounted for 74 percent of GM sales.</w:t>
      </w:r>
    </w:p>
    <w:p>
      <w:pPr>
        <w:spacing w:after="0"/>
        <w:rPr>
          <w:sz w:val="20"/>
          <w:szCs w:val="20"/>
          <w:color w:val="auto"/>
        </w:rPr>
      </w:pPr>
      <w:r>
        <w:rPr>
          <w:rFonts w:ascii="Arial" w:cs="Arial" w:eastAsia="Arial" w:hAnsi="Arial"/>
          <w:sz w:val="20"/>
          <w:szCs w:val="20"/>
          <w:color w:val="auto"/>
        </w:rPr>
        <w:t>Deliveries to fleets increased 6 percent.</w:t>
      </w:r>
    </w:p>
    <w:p>
      <w:pPr>
        <w:spacing w:after="0" w:line="334" w:lineRule="exact"/>
        <w:rPr>
          <w:sz w:val="20"/>
          <w:szCs w:val="20"/>
          <w:color w:val="auto"/>
        </w:rPr>
      </w:pPr>
    </w:p>
    <w:tbl>
      <w:tblPr>
        <w:tblLayout w:type="fixed"/>
        <w:tblInd w:w="430" w:type="dxa"/>
        <w:tblCellMar>
          <w:top w:w="0" w:type="dxa"/>
          <w:left w:w="0" w:type="dxa"/>
          <w:bottom w:w="0" w:type="dxa"/>
          <w:right w:w="0" w:type="dxa"/>
        </w:tblCellMar>
      </w:tblPr>
      <w:tr>
        <w:trPr>
          <w:trHeight w:val="184"/>
        </w:trPr>
        <w:tc>
          <w:tcPr>
            <w:tcW w:w="1360" w:type="dxa"/>
            <w:vAlign w:val="bottom"/>
            <w:tcBorders>
              <w:top w:val="single" w:sz="8" w:color="auto"/>
              <w:left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4"/>
                <w:szCs w:val="14"/>
                <w:b w:val="1"/>
                <w:bCs w:val="1"/>
                <w:i w:val="1"/>
                <w:iCs w:val="1"/>
                <w:color w:val="auto"/>
                <w:w w:val="93"/>
              </w:rPr>
              <w:t>March 2012 Total</w:t>
            </w:r>
          </w:p>
        </w:tc>
        <w:tc>
          <w:tcPr>
            <w:tcW w:w="118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w w:val="94"/>
              </w:rPr>
              <w:t>Total Change vs.</w:t>
            </w:r>
          </w:p>
        </w:tc>
        <w:tc>
          <w:tcPr>
            <w:tcW w:w="1140" w:type="dxa"/>
            <w:vAlign w:val="bottom"/>
            <w:tcBorders>
              <w:top w:val="single" w:sz="8" w:color="auto"/>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March 2012</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March 2012 Retail</w:t>
            </w:r>
          </w:p>
        </w:tc>
        <w:tc>
          <w:tcPr>
            <w:tcW w:w="920" w:type="dxa"/>
            <w:vAlign w:val="bottom"/>
            <w:tcBorders>
              <w:top w:val="single" w:sz="8" w:color="auto"/>
              <w:right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9"/>
              </w:rPr>
              <w:t>CYTD</w:t>
            </w:r>
          </w:p>
        </w:tc>
        <w:tc>
          <w:tcPr>
            <w:tcW w:w="940" w:type="dxa"/>
            <w:vAlign w:val="bottom"/>
            <w:tcBorders>
              <w:top w:val="single" w:sz="8" w:color="auto"/>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i w:val="1"/>
                <w:iCs w:val="1"/>
                <w:color w:val="auto"/>
              </w:rPr>
              <w:t>CYTD 2012</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CYTD 2012</w:t>
            </w:r>
          </w:p>
        </w:tc>
        <w:tc>
          <w:tcPr>
            <w:tcW w:w="0" w:type="dxa"/>
            <w:vAlign w:val="bottom"/>
          </w:tcPr>
          <w:p>
            <w:pPr>
              <w:spacing w:after="0"/>
              <w:rPr>
                <w:sz w:val="1"/>
                <w:szCs w:val="1"/>
                <w:color w:val="auto"/>
              </w:rPr>
            </w:pPr>
          </w:p>
        </w:tc>
      </w:tr>
      <w:tr>
        <w:trPr>
          <w:trHeight w:val="81"/>
        </w:trPr>
        <w:tc>
          <w:tcPr>
            <w:tcW w:w="1360" w:type="dxa"/>
            <w:vAlign w:val="bottom"/>
            <w:tcBorders>
              <w:left w:val="single" w:sz="8" w:color="auto"/>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b w:val="1"/>
                <w:bCs w:val="1"/>
                <w:i w:val="1"/>
                <w:iCs w:val="1"/>
                <w:color w:val="auto"/>
                <w:w w:val="93"/>
              </w:rPr>
              <w:t>Highlights</w:t>
            </w:r>
          </w:p>
        </w:tc>
        <w:tc>
          <w:tcPr>
            <w:tcW w:w="114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b w:val="1"/>
                <w:bCs w:val="1"/>
                <w:i w:val="1"/>
                <w:iCs w:val="1"/>
                <w:color w:val="auto"/>
                <w:w w:val="86"/>
              </w:rPr>
              <w:t>Sales Change vs.</w:t>
            </w:r>
          </w:p>
        </w:tc>
        <w:tc>
          <w:tcPr>
            <w:tcW w:w="920" w:type="dxa"/>
            <w:vAlign w:val="bottom"/>
            <w:tcBorders>
              <w:right w:val="single" w:sz="8" w:color="auto"/>
            </w:tcBorders>
            <w:vMerge w:val="restart"/>
          </w:tcPr>
          <w:p>
            <w:pPr>
              <w:jc w:val="right"/>
              <w:ind w:right="208"/>
              <w:spacing w:after="0" w:line="154" w:lineRule="exact"/>
              <w:rPr>
                <w:sz w:val="20"/>
                <w:szCs w:val="20"/>
                <w:color w:val="auto"/>
              </w:rPr>
            </w:pPr>
            <w:r>
              <w:rPr>
                <w:rFonts w:ascii="Arial" w:cs="Arial" w:eastAsia="Arial" w:hAnsi="Arial"/>
                <w:sz w:val="14"/>
                <w:szCs w:val="14"/>
                <w:b w:val="1"/>
                <w:bCs w:val="1"/>
                <w:i w:val="1"/>
                <w:iCs w:val="1"/>
                <w:color w:val="auto"/>
              </w:rPr>
              <w:t>CYTD</w:t>
            </w:r>
          </w:p>
        </w:tc>
        <w:tc>
          <w:tcPr>
            <w:tcW w:w="1320" w:type="dxa"/>
            <w:vAlign w:val="bottom"/>
            <w:tcBorders>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b w:val="1"/>
                <w:bCs w:val="1"/>
                <w:i w:val="1"/>
                <w:iCs w:val="1"/>
                <w:color w:val="auto"/>
              </w:rPr>
              <w:t>Total Sales</w:t>
            </w:r>
          </w:p>
        </w:tc>
        <w:tc>
          <w:tcPr>
            <w:tcW w:w="94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b w:val="1"/>
                <w:bCs w:val="1"/>
                <w:i w:val="1"/>
                <w:iCs w:val="1"/>
                <w:color w:val="auto"/>
              </w:rPr>
              <w:t>Retail Sales</w:t>
            </w:r>
          </w:p>
        </w:tc>
        <w:tc>
          <w:tcPr>
            <w:tcW w:w="0" w:type="dxa"/>
            <w:vAlign w:val="bottom"/>
          </w:tcPr>
          <w:p>
            <w:pPr>
              <w:spacing w:after="0"/>
              <w:rPr>
                <w:sz w:val="1"/>
                <w:szCs w:val="1"/>
                <w:color w:val="auto"/>
              </w:rPr>
            </w:pPr>
          </w:p>
        </w:tc>
      </w:tr>
      <w:tr>
        <w:trPr>
          <w:trHeight w:val="73"/>
        </w:trPr>
        <w:tc>
          <w:tcPr>
            <w:tcW w:w="136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i w:val="1"/>
                <w:iCs w:val="1"/>
                <w:color w:val="auto"/>
              </w:rPr>
              <w:t>Sales</w:t>
            </w:r>
          </w:p>
        </w:tc>
        <w:tc>
          <w:tcPr>
            <w:tcW w:w="118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i w:val="1"/>
                <w:iCs w:val="1"/>
                <w:color w:val="auto"/>
              </w:rPr>
              <w:t>March 2011</w:t>
            </w:r>
          </w:p>
        </w:tc>
        <w:tc>
          <w:tcPr>
            <w:tcW w:w="114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i w:val="1"/>
                <w:iCs w:val="1"/>
                <w:color w:val="auto"/>
              </w:rPr>
              <w:t>Retail Sales</w:t>
            </w:r>
          </w:p>
        </w:tc>
        <w:tc>
          <w:tcPr>
            <w:tcW w:w="13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94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i w:val="1"/>
                <w:iCs w:val="1"/>
                <w:color w:val="auto"/>
                <w:w w:val="99"/>
              </w:rPr>
              <w:t>Retail Sales</w:t>
            </w:r>
          </w:p>
        </w:tc>
        <w:tc>
          <w:tcPr>
            <w:tcW w:w="13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36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w w:val="94"/>
              </w:rPr>
              <w:t>March 2011</w:t>
            </w:r>
          </w:p>
        </w:tc>
        <w:tc>
          <w:tcPr>
            <w:tcW w:w="92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i w:val="1"/>
                <w:iCs w:val="1"/>
                <w:color w:val="auto"/>
              </w:rPr>
              <w:t>Total Sales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rPr>
              <w:t>Change vs. 2011</w:t>
            </w:r>
          </w:p>
        </w:tc>
        <w:tc>
          <w:tcPr>
            <w:tcW w:w="940" w:type="dxa"/>
            <w:vAlign w:val="bottom"/>
            <w:tcBorders>
              <w:right w:val="single" w:sz="8" w:color="auto"/>
            </w:tcBorders>
            <w:vMerge w:val="continue"/>
          </w:tcPr>
          <w:p>
            <w:pPr>
              <w:spacing w:after="0"/>
              <w:rPr>
                <w:sz w:val="9"/>
                <w:szCs w:val="9"/>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i w:val="1"/>
                <w:iCs w:val="1"/>
                <w:color w:val="auto"/>
              </w:rPr>
              <w:t>Change vs. 2011</w:t>
            </w:r>
          </w:p>
        </w:tc>
        <w:tc>
          <w:tcPr>
            <w:tcW w:w="0" w:type="dxa"/>
            <w:vAlign w:val="bottom"/>
          </w:tcPr>
          <w:p>
            <w:pPr>
              <w:spacing w:after="0"/>
              <w:rPr>
                <w:sz w:val="1"/>
                <w:szCs w:val="1"/>
                <w:color w:val="auto"/>
              </w:rPr>
            </w:pPr>
          </w:p>
        </w:tc>
      </w:tr>
      <w:tr>
        <w:trPr>
          <w:trHeight w:val="101"/>
        </w:trPr>
        <w:tc>
          <w:tcPr>
            <w:tcW w:w="1360" w:type="dxa"/>
            <w:vAlign w:val="bottom"/>
            <w:tcBorders>
              <w:left w:val="single" w:sz="8" w:color="auto"/>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vMerge w:val="continue"/>
          </w:tcPr>
          <w:p>
            <w:pPr>
              <w:spacing w:after="0"/>
              <w:rPr>
                <w:sz w:val="8"/>
                <w:szCs w:val="8"/>
                <w:color w:val="auto"/>
              </w:rPr>
            </w:pPr>
          </w:p>
        </w:tc>
        <w:tc>
          <w:tcPr>
            <w:tcW w:w="920" w:type="dxa"/>
            <w:vAlign w:val="bottom"/>
            <w:tcBorders>
              <w:bottom w:val="single" w:sz="8" w:color="auto"/>
              <w:right w:val="single" w:sz="8" w:color="auto"/>
            </w:tcBorders>
            <w:vMerge w:val="continue"/>
          </w:tcPr>
          <w:p>
            <w:pPr>
              <w:spacing w:after="0"/>
              <w:rPr>
                <w:sz w:val="8"/>
                <w:szCs w:val="8"/>
                <w:color w:val="auto"/>
              </w:rPr>
            </w:pPr>
          </w:p>
        </w:tc>
        <w:tc>
          <w:tcPr>
            <w:tcW w:w="132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Chevrolet</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173,073</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118,134</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448,134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301,217</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7"/>
              </w:rPr>
              <w:t>GMC</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34,337</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30,348</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91,884</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79,528</w:t>
            </w:r>
          </w:p>
        </w:tc>
        <w:tc>
          <w:tcPr>
            <w:tcW w:w="13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3"/>
              </w:rPr>
              <w:t>Buick</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13,105</w:t>
            </w:r>
          </w:p>
        </w:tc>
        <w:tc>
          <w:tcPr>
            <w:tcW w:w="11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(16.3%)</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12,642</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37,336</w:t>
            </w:r>
          </w:p>
        </w:tc>
        <w:tc>
          <w:tcPr>
            <w:tcW w:w="13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(16.5%)</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35,376</w:t>
            </w:r>
          </w:p>
        </w:tc>
        <w:tc>
          <w:tcPr>
            <w:tcW w:w="13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6"/>
              </w:rPr>
              <w:t>Cadillac</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10,537</w:t>
            </w:r>
          </w:p>
        </w:tc>
        <w:tc>
          <w:tcPr>
            <w:tcW w:w="11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(13.4%)</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10,303</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30,996</w:t>
            </w:r>
          </w:p>
        </w:tc>
        <w:tc>
          <w:tcPr>
            <w:tcW w:w="13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(23.6%)</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29,852</w:t>
            </w:r>
          </w:p>
        </w:tc>
        <w:tc>
          <w:tcPr>
            <w:tcW w:w="13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231,052</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1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171,427</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608,320</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9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445,973</w:t>
            </w:r>
          </w:p>
        </w:tc>
        <w:tc>
          <w:tcPr>
            <w:tcW w:w="13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Total sales at Buick and Cadillac were down in total for the month, but retail sales were higher. Buick's</w:t>
      </w:r>
    </w:p>
    <w:p>
      <w:pPr>
        <w:sectPr>
          <w:pgSz w:w="11900" w:h="16838" w:orient="portrait"/>
          <w:cols w:equalWidth="0" w:num="1">
            <w:col w:w="11420"/>
          </w:cols>
          <w:pgMar w:left="240" w:top="1440" w:right="239" w:bottom="1440" w:gutter="0" w:footer="0" w:header="0"/>
        </w:sectPr>
      </w:pPr>
    </w:p>
    <w:bookmarkStart w:id="5" w:name="page6"/>
    <w:bookmarkEnd w:id="5"/>
    <w:p>
      <w:pPr>
        <w:spacing w:after="0" w:line="247" w:lineRule="auto"/>
        <w:rPr>
          <w:sz w:val="20"/>
          <w:szCs w:val="20"/>
          <w:color w:val="auto"/>
        </w:rPr>
      </w:pPr>
      <w:r>
        <w:rPr>
          <w:rFonts w:ascii="Arial" w:cs="Arial" w:eastAsia="Arial" w:hAnsi="Arial"/>
          <w:sz w:val="20"/>
          <w:szCs w:val="20"/>
          <w:color w:val="auto"/>
        </w:rPr>
        <w:t>retail sales were up 6 percent on the strength the all-new Verano and the 36-mpg LaCrosse with eAssist. Cadillac retail sales were up 2 percent on the strength of an 18 percent gain by the CTS and continued strong retail sales of the SRX and Escalade.</w:t>
      </w:r>
    </w:p>
    <w:p>
      <w:pPr>
        <w:spacing w:after="0" w:line="202"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GM is continuing to aggressively roll out new products to sustain its momentum. At the New York International Auto Show this week, the company will unveil five new or redesigned vehicles, including 2013 Chevrolet Traverse, Cadillac SRX, Buick Enclave and GMC Terrain Denali crossovers, as well as the all-new 2014 Chevrolet Impala sedan.</w:t>
      </w:r>
    </w:p>
    <w:p>
      <w:pPr>
        <w:spacing w:after="0" w:line="206"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By the end of 2012, GM will have all-new or redesigned cars and crossovers in segments that represent 60 percent of the retail light vehicle industry.</w:t>
      </w:r>
    </w:p>
    <w:p>
      <w:pPr>
        <w:spacing w:after="0" w:line="200" w:lineRule="exact"/>
        <w:rPr>
          <w:sz w:val="20"/>
          <w:szCs w:val="20"/>
          <w:color w:val="auto"/>
        </w:rPr>
      </w:pPr>
    </w:p>
    <w:p>
      <w:pPr>
        <w:spacing w:after="0" w:line="337" w:lineRule="exact"/>
        <w:rPr>
          <w:sz w:val="20"/>
          <w:szCs w:val="20"/>
          <w:color w:val="auto"/>
        </w:rPr>
      </w:pPr>
    </w:p>
    <w:tbl>
      <w:tblPr>
        <w:tblLayout w:type="fixed"/>
        <w:tblInd w:w="1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64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i w:val="1"/>
                <w:iCs w:val="1"/>
                <w:color w:val="auto"/>
                <w:w w:val="88"/>
              </w:rPr>
              <w:t>Inventory</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w:t>
            </w:r>
          </w:p>
        </w:tc>
        <w:tc>
          <w:tcPr>
            <w:tcW w:w="17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Days Supply (selling days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left="243"/>
              <w:spacing w:after="0"/>
              <w:rPr>
                <w:sz w:val="20"/>
                <w:szCs w:val="20"/>
                <w:color w:val="auto"/>
              </w:rPr>
            </w:pPr>
            <w:r>
              <w:rPr>
                <w:rFonts w:ascii="Arial" w:cs="Arial" w:eastAsia="Arial" w:hAnsi="Arial"/>
                <w:sz w:val="14"/>
                <w:szCs w:val="14"/>
                <w:b w:val="1"/>
                <w:bCs w:val="1"/>
                <w:color w:val="auto"/>
              </w:rPr>
              <w:t>Units @</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Days Supply (selling days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Borders>
              <w:left w:val="single" w:sz="8" w:color="auto"/>
              <w:right w:val="single" w:sz="8" w:color="auto"/>
            </w:tcBorders>
            <w:gridSpan w:val="2"/>
            <w:vMerge w:val="continue"/>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Feb. 29, 2012</w:t>
            </w:r>
          </w:p>
        </w:tc>
        <w:tc>
          <w:tcPr>
            <w:tcW w:w="260" w:type="dxa"/>
            <w:vAlign w:val="bottom"/>
          </w:tcPr>
          <w:p>
            <w:pPr>
              <w:spacing w:after="0"/>
              <w:rPr>
                <w:sz w:val="11"/>
                <w:szCs w:val="11"/>
                <w:color w:val="auto"/>
              </w:rPr>
            </w:pPr>
          </w:p>
        </w:tc>
        <w:tc>
          <w:tcPr>
            <w:tcW w:w="1440" w:type="dxa"/>
            <w:vAlign w:val="bottom"/>
            <w:tcBorders>
              <w:right w:val="single" w:sz="8" w:color="auto"/>
            </w:tcBorders>
            <w:vMerge w:val="restart"/>
          </w:tcPr>
          <w:p>
            <w:pPr>
              <w:jc w:val="center"/>
              <w:ind w:right="222"/>
              <w:spacing w:after="0"/>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1"/>
                <w:szCs w:val="11"/>
                <w:color w:val="auto"/>
              </w:rPr>
            </w:pPr>
          </w:p>
        </w:tc>
        <w:tc>
          <w:tcPr>
            <w:tcW w:w="1200" w:type="dxa"/>
            <w:vAlign w:val="bottom"/>
            <w:gridSpan w:val="3"/>
            <w:vMerge w:val="restart"/>
          </w:tcPr>
          <w:p>
            <w:pPr>
              <w:jc w:val="center"/>
              <w:ind w:left="23"/>
              <w:spacing w:after="0"/>
              <w:rPr>
                <w:sz w:val="20"/>
                <w:szCs w:val="20"/>
                <w:color w:val="auto"/>
              </w:rPr>
            </w:pPr>
            <w:r>
              <w:rPr>
                <w:rFonts w:ascii="Arial" w:cs="Arial" w:eastAsia="Arial" w:hAnsi="Arial"/>
                <w:sz w:val="14"/>
                <w:szCs w:val="14"/>
                <w:b w:val="1"/>
                <w:bCs w:val="1"/>
                <w:color w:val="auto"/>
              </w:rPr>
              <w:t>March 31, 2012</w:t>
            </w:r>
          </w:p>
        </w:tc>
        <w:tc>
          <w:tcPr>
            <w:tcW w:w="32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restart"/>
          </w:tcPr>
          <w:p>
            <w:pPr>
              <w:jc w:val="center"/>
              <w:ind w:right="3"/>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54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vMerge w:val="continue"/>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1"/>
              </w:rPr>
              <w:t>All Vehicles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667,096</w:t>
            </w:r>
          </w:p>
        </w:tc>
        <w:tc>
          <w:tcPr>
            <w:tcW w:w="1700" w:type="dxa"/>
            <w:vAlign w:val="bottom"/>
            <w:tcBorders>
              <w:right w:val="single" w:sz="8" w:color="auto"/>
            </w:tcBorders>
            <w:gridSpan w:val="2"/>
          </w:tcPr>
          <w:p>
            <w:pPr>
              <w:jc w:val="right"/>
              <w:ind w:right="702"/>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9"/>
                <w:szCs w:val="19"/>
                <w:color w:val="auto"/>
              </w:rPr>
            </w:pPr>
          </w:p>
        </w:tc>
        <w:tc>
          <w:tcPr>
            <w:tcW w:w="980" w:type="dxa"/>
            <w:vAlign w:val="bottom"/>
            <w:gridSpan w:val="2"/>
          </w:tcPr>
          <w:p>
            <w:pPr>
              <w:jc w:val="center"/>
              <w:ind w:left="243"/>
              <w:spacing w:after="0"/>
              <w:rPr>
                <w:sz w:val="20"/>
                <w:szCs w:val="20"/>
                <w:color w:val="auto"/>
              </w:rPr>
            </w:pPr>
            <w:r>
              <w:rPr>
                <w:rFonts w:ascii="Arial" w:cs="Arial" w:eastAsia="Arial" w:hAnsi="Arial"/>
                <w:sz w:val="16"/>
                <w:szCs w:val="16"/>
                <w:color w:val="auto"/>
                <w:w w:val="93"/>
              </w:rPr>
              <w:t>713,008</w:t>
            </w:r>
          </w:p>
        </w:tc>
        <w:tc>
          <w:tcPr>
            <w:tcW w:w="2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jc w:val="right"/>
              <w:ind w:right="763"/>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i w:val="1"/>
                <w:iCs w:val="1"/>
                <w:color w:val="auto"/>
                <w:w w:val="93"/>
              </w:rPr>
              <w:t>Full-size Pickups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210,463</w:t>
            </w:r>
          </w:p>
        </w:tc>
        <w:tc>
          <w:tcPr>
            <w:tcW w:w="1700" w:type="dxa"/>
            <w:vAlign w:val="bottom"/>
            <w:tcBorders>
              <w:right w:val="single" w:sz="8" w:color="auto"/>
            </w:tcBorders>
            <w:gridSpan w:val="2"/>
          </w:tcPr>
          <w:p>
            <w:pPr>
              <w:jc w:val="right"/>
              <w:ind w:right="662"/>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8"/>
                <w:szCs w:val="18"/>
                <w:color w:val="auto"/>
              </w:rPr>
            </w:pPr>
          </w:p>
        </w:tc>
        <w:tc>
          <w:tcPr>
            <w:tcW w:w="980" w:type="dxa"/>
            <w:vAlign w:val="bottom"/>
            <w:gridSpan w:val="2"/>
          </w:tcPr>
          <w:p>
            <w:pPr>
              <w:jc w:val="center"/>
              <w:ind w:left="243"/>
              <w:spacing w:after="0"/>
              <w:rPr>
                <w:sz w:val="20"/>
                <w:szCs w:val="20"/>
                <w:color w:val="auto"/>
              </w:rPr>
            </w:pPr>
            <w:r>
              <w:rPr>
                <w:rFonts w:ascii="Arial" w:cs="Arial" w:eastAsia="Arial" w:hAnsi="Arial"/>
                <w:sz w:val="16"/>
                <w:szCs w:val="16"/>
                <w:color w:val="auto"/>
                <w:w w:val="93"/>
              </w:rPr>
              <w:t>231,594</w:t>
            </w:r>
          </w:p>
        </w:tc>
        <w:tc>
          <w:tcPr>
            <w:tcW w:w="2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723"/>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000000"/>
          </w:tcPr>
          <w:p>
            <w:pPr>
              <w:spacing w:after="0"/>
              <w:rPr>
                <w:sz w:val="20"/>
                <w:szCs w:val="20"/>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Industry Sales</w:t>
            </w:r>
          </w:p>
        </w:tc>
        <w:tc>
          <w:tcPr>
            <w:tcW w:w="100" w:type="dxa"/>
            <w:vAlign w:val="bottom"/>
          </w:tcPr>
          <w:p>
            <w:pPr>
              <w:spacing w:after="0"/>
              <w:rPr>
                <w:sz w:val="20"/>
                <w:szCs w:val="20"/>
                <w:color w:val="auto"/>
              </w:rPr>
            </w:pPr>
          </w:p>
        </w:tc>
        <w:tc>
          <w:tcPr>
            <w:tcW w:w="1700" w:type="dxa"/>
            <w:vAlign w:val="bottom"/>
          </w:tcPr>
          <w:p>
            <w:pPr>
              <w:jc w:val="center"/>
              <w:ind w:left="62"/>
              <w:spacing w:after="0"/>
              <w:rPr>
                <w:sz w:val="20"/>
                <w:szCs w:val="20"/>
                <w:color w:val="auto"/>
              </w:rPr>
            </w:pPr>
            <w:r>
              <w:rPr>
                <w:rFonts w:ascii="Arial" w:cs="Arial" w:eastAsia="Arial" w:hAnsi="Arial"/>
                <w:sz w:val="16"/>
                <w:szCs w:val="16"/>
                <w:b w:val="1"/>
                <w:bCs w:val="1"/>
                <w:color w:val="auto"/>
                <w:w w:val="94"/>
              </w:rPr>
              <w:t>March SAAR (est.)</w:t>
            </w:r>
          </w:p>
        </w:tc>
        <w:tc>
          <w:tcPr>
            <w:tcW w:w="26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Q1 2012 SAAR (est.)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583"/>
              <w:spacing w:after="0"/>
              <w:rPr>
                <w:sz w:val="20"/>
                <w:szCs w:val="20"/>
                <w:color w:val="auto"/>
              </w:rPr>
            </w:pPr>
            <w:r>
              <w:rPr>
                <w:rFonts w:ascii="Arial" w:cs="Arial" w:eastAsia="Arial" w:hAnsi="Arial"/>
                <w:sz w:val="16"/>
                <w:szCs w:val="16"/>
                <w:b w:val="1"/>
                <w:bCs w:val="1"/>
                <w:color w:val="auto"/>
                <w:w w:val="93"/>
              </w:rPr>
              <w:t>Full Year 2012 (est.)</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shd w:val="clear" w:color="auto" w:fill="000000"/>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000000"/>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Light Vehicles</w:t>
            </w:r>
          </w:p>
        </w:tc>
        <w:tc>
          <w:tcPr>
            <w:tcW w:w="100" w:type="dxa"/>
            <w:vAlign w:val="bottom"/>
          </w:tcPr>
          <w:p>
            <w:pPr>
              <w:spacing w:after="0"/>
              <w:rPr>
                <w:sz w:val="18"/>
                <w:szCs w:val="18"/>
                <w:color w:val="auto"/>
              </w:rPr>
            </w:pPr>
          </w:p>
        </w:tc>
        <w:tc>
          <w:tcPr>
            <w:tcW w:w="1700" w:type="dxa"/>
            <w:vAlign w:val="bottom"/>
          </w:tcPr>
          <w:p>
            <w:pPr>
              <w:jc w:val="center"/>
              <w:ind w:left="42"/>
              <w:spacing w:after="0"/>
              <w:rPr>
                <w:sz w:val="20"/>
                <w:szCs w:val="20"/>
                <w:color w:val="auto"/>
              </w:rPr>
            </w:pPr>
            <w:r>
              <w:rPr>
                <w:rFonts w:ascii="Arial" w:cs="Arial" w:eastAsia="Arial" w:hAnsi="Arial"/>
                <w:sz w:val="16"/>
                <w:szCs w:val="16"/>
                <w:color w:val="auto"/>
                <w:w w:val="96"/>
              </w:rPr>
              <w:t>14.3 million</w:t>
            </w:r>
          </w:p>
        </w:tc>
        <w:tc>
          <w:tcPr>
            <w:tcW w:w="260" w:type="dxa"/>
            <w:vAlign w:val="bottom"/>
            <w:tcBorders>
              <w:right w:val="single" w:sz="8" w:color="auto"/>
            </w:tcBorders>
          </w:tcPr>
          <w:p>
            <w:pPr>
              <w:spacing w:after="0"/>
              <w:rPr>
                <w:sz w:val="18"/>
                <w:szCs w:val="18"/>
                <w:color w:val="auto"/>
              </w:rPr>
            </w:pPr>
          </w:p>
        </w:tc>
        <w:tc>
          <w:tcPr>
            <w:tcW w:w="1620" w:type="dxa"/>
            <w:vAlign w:val="bottom"/>
            <w:gridSpan w:val="2"/>
          </w:tcPr>
          <w:p>
            <w:pPr>
              <w:jc w:val="center"/>
              <w:ind w:left="462"/>
              <w:spacing w:after="0"/>
              <w:rPr>
                <w:sz w:val="20"/>
                <w:szCs w:val="20"/>
                <w:color w:val="auto"/>
              </w:rPr>
            </w:pPr>
            <w:r>
              <w:rPr>
                <w:rFonts w:ascii="Arial" w:cs="Arial" w:eastAsia="Arial" w:hAnsi="Arial"/>
                <w:sz w:val="16"/>
                <w:szCs w:val="16"/>
                <w:color w:val="auto"/>
                <w:w w:val="98"/>
              </w:rPr>
              <w:t>14.5 million</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right w:val="single" w:sz="8" w:color="auto"/>
            </w:tcBorders>
            <w:gridSpan w:val="3"/>
          </w:tcPr>
          <w:p>
            <w:pPr>
              <w:jc w:val="center"/>
              <w:ind w:right="363"/>
              <w:spacing w:after="0"/>
              <w:rPr>
                <w:sz w:val="20"/>
                <w:szCs w:val="20"/>
                <w:color w:val="auto"/>
              </w:rPr>
            </w:pPr>
            <w:r>
              <w:rPr>
                <w:rFonts w:ascii="Arial" w:cs="Arial" w:eastAsia="Arial" w:hAnsi="Arial"/>
                <w:sz w:val="16"/>
                <w:szCs w:val="16"/>
                <w:color w:val="auto"/>
                <w:w w:val="97"/>
              </w:rPr>
              <w:t>13.5 million - 14.0 million</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shd w:val="clear" w:color="auto" w:fill="000000"/>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00"/>
          </w:cols>
          <w:pgMar w:left="240" w:top="595"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GM U.S. Deliveries for March 2012</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99"/>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March</w:t>
            </w:r>
          </w:p>
        </w:tc>
        <w:tc>
          <w:tcPr>
            <w:tcW w:w="10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24"/>
                <w:szCs w:val="24"/>
                <w:color w:val="auto"/>
              </w:rPr>
            </w:pPr>
          </w:p>
        </w:tc>
      </w:tr>
      <w:tr>
        <w:trPr>
          <w:trHeight w:val="289"/>
        </w:trPr>
        <w:tc>
          <w:tcPr>
            <w:tcW w:w="2480" w:type="dxa"/>
            <w:vAlign w:val="bottom"/>
            <w:tcBorders>
              <w:left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98"/>
              </w:rPr>
              <w:t>January - March</w:t>
            </w:r>
          </w:p>
        </w:tc>
        <w:tc>
          <w:tcPr>
            <w:tcW w:w="940" w:type="dxa"/>
            <w:vAlign w:val="bottom"/>
            <w:tcBorders>
              <w:bottom w:val="single" w:sz="8" w:color="auto"/>
              <w:right w:val="single" w:sz="8" w:color="auto"/>
            </w:tcBorders>
          </w:tcPr>
          <w:p>
            <w:pPr>
              <w:spacing w:after="0"/>
              <w:rPr>
                <w:sz w:val="24"/>
                <w:szCs w:val="24"/>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3,659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4,899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(25.3)</w:t>
            </w:r>
          </w:p>
        </w:tc>
        <w:tc>
          <w:tcPr>
            <w:tcW w:w="1040" w:type="dxa"/>
            <w:vAlign w:val="bottom"/>
          </w:tcPr>
          <w:p>
            <w:pPr>
              <w:jc w:val="right"/>
              <w:spacing w:after="0"/>
              <w:rPr>
                <w:sz w:val="20"/>
                <w:szCs w:val="20"/>
                <w:color w:val="auto"/>
              </w:rPr>
            </w:pPr>
            <w:r>
              <w:rPr>
                <w:rFonts w:ascii="Arial" w:cs="Arial" w:eastAsia="Arial" w:hAnsi="Arial"/>
                <w:sz w:val="14"/>
                <w:szCs w:val="14"/>
                <w:color w:val="auto"/>
              </w:rPr>
              <w:t>10,950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14,445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4,237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4,839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(12.4)</w:t>
            </w:r>
          </w:p>
        </w:tc>
        <w:tc>
          <w:tcPr>
            <w:tcW w:w="1040" w:type="dxa"/>
            <w:vAlign w:val="bottom"/>
          </w:tcPr>
          <w:p>
            <w:pPr>
              <w:jc w:val="right"/>
              <w:spacing w:after="0"/>
              <w:rPr>
                <w:sz w:val="20"/>
                <w:szCs w:val="20"/>
                <w:color w:val="auto"/>
              </w:rPr>
            </w:pPr>
            <w:r>
              <w:rPr>
                <w:rFonts w:ascii="Arial" w:cs="Arial" w:eastAsia="Arial" w:hAnsi="Arial"/>
                <w:sz w:val="14"/>
                <w:szCs w:val="14"/>
                <w:color w:val="auto"/>
              </w:rPr>
              <w:t>13,478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12,939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Lucerne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2,282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(95.5)</w:t>
            </w:r>
          </w:p>
        </w:tc>
        <w:tc>
          <w:tcPr>
            <w:tcW w:w="1040" w:type="dxa"/>
            <w:vAlign w:val="bottom"/>
          </w:tcPr>
          <w:p>
            <w:pPr>
              <w:jc w:val="right"/>
              <w:spacing w:after="0"/>
              <w:rPr>
                <w:sz w:val="20"/>
                <w:szCs w:val="20"/>
                <w:color w:val="auto"/>
              </w:rPr>
            </w:pPr>
            <w:r>
              <w:rPr>
                <w:rFonts w:ascii="Arial" w:cs="Arial" w:eastAsia="Arial" w:hAnsi="Arial"/>
                <w:sz w:val="14"/>
                <w:szCs w:val="14"/>
                <w:color w:val="auto"/>
              </w:rPr>
              <w:t>828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7,672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(89.2)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2,609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3,643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(28.4)</w:t>
            </w:r>
          </w:p>
        </w:tc>
        <w:tc>
          <w:tcPr>
            <w:tcW w:w="1040" w:type="dxa"/>
            <w:vAlign w:val="bottom"/>
          </w:tcPr>
          <w:p>
            <w:pPr>
              <w:jc w:val="right"/>
              <w:spacing w:after="0"/>
              <w:rPr>
                <w:sz w:val="20"/>
                <w:szCs w:val="20"/>
                <w:color w:val="auto"/>
              </w:rPr>
            </w:pPr>
            <w:r>
              <w:rPr>
                <w:rFonts w:ascii="Arial" w:cs="Arial" w:eastAsia="Arial" w:hAnsi="Arial"/>
                <w:sz w:val="14"/>
                <w:szCs w:val="14"/>
                <w:color w:val="auto"/>
              </w:rPr>
              <w:t>7,100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9,683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(26.7)</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2,497</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13,105</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15,663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37,336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44,739</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(16.5)</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4,485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3,904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14.9</w:t>
            </w:r>
          </w:p>
        </w:tc>
        <w:tc>
          <w:tcPr>
            <w:tcW w:w="1040" w:type="dxa"/>
            <w:vAlign w:val="bottom"/>
          </w:tcPr>
          <w:p>
            <w:pPr>
              <w:jc w:val="right"/>
              <w:spacing w:after="0"/>
              <w:rPr>
                <w:sz w:val="20"/>
                <w:szCs w:val="20"/>
                <w:color w:val="auto"/>
              </w:rPr>
            </w:pPr>
            <w:r>
              <w:rPr>
                <w:rFonts w:ascii="Arial" w:cs="Arial" w:eastAsia="Arial" w:hAnsi="Arial"/>
                <w:sz w:val="14"/>
                <w:szCs w:val="14"/>
                <w:color w:val="auto"/>
              </w:rPr>
              <w:t>12,074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14,299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(15.6)</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1,580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(95.0)</w:t>
            </w:r>
          </w:p>
        </w:tc>
        <w:tc>
          <w:tcPr>
            <w:tcW w:w="1040" w:type="dxa"/>
            <w:vAlign w:val="bottom"/>
          </w:tcPr>
          <w:p>
            <w:pPr>
              <w:jc w:val="right"/>
              <w:spacing w:after="0"/>
              <w:rPr>
                <w:sz w:val="20"/>
                <w:szCs w:val="20"/>
                <w:color w:val="auto"/>
              </w:rPr>
            </w:pPr>
            <w:r>
              <w:rPr>
                <w:rFonts w:ascii="Arial" w:cs="Arial" w:eastAsia="Arial" w:hAnsi="Arial"/>
                <w:sz w:val="14"/>
                <w:szCs w:val="14"/>
                <w:color w:val="auto"/>
              </w:rPr>
              <w:t>236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4,457</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1,010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1,201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(15.9)</w:t>
            </w:r>
          </w:p>
        </w:tc>
        <w:tc>
          <w:tcPr>
            <w:tcW w:w="1040" w:type="dxa"/>
            <w:vAlign w:val="bottom"/>
          </w:tcPr>
          <w:p>
            <w:pPr>
              <w:jc w:val="right"/>
              <w:spacing w:after="0"/>
              <w:rPr>
                <w:sz w:val="20"/>
                <w:szCs w:val="20"/>
                <w:color w:val="auto"/>
              </w:rPr>
            </w:pPr>
            <w:r>
              <w:rPr>
                <w:rFonts w:ascii="Arial" w:cs="Arial" w:eastAsia="Arial" w:hAnsi="Arial"/>
                <w:sz w:val="14"/>
                <w:szCs w:val="14"/>
                <w:color w:val="auto"/>
              </w:rPr>
              <w:t>3,006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3,994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656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632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3.8</w:t>
            </w:r>
          </w:p>
        </w:tc>
        <w:tc>
          <w:tcPr>
            <w:tcW w:w="1040" w:type="dxa"/>
            <w:vAlign w:val="bottom"/>
          </w:tcPr>
          <w:p>
            <w:pPr>
              <w:jc w:val="right"/>
              <w:spacing w:after="0"/>
              <w:rPr>
                <w:sz w:val="20"/>
                <w:szCs w:val="20"/>
                <w:color w:val="auto"/>
              </w:rPr>
            </w:pPr>
            <w:r>
              <w:rPr>
                <w:rFonts w:ascii="Arial" w:cs="Arial" w:eastAsia="Arial" w:hAnsi="Arial"/>
                <w:sz w:val="14"/>
                <w:szCs w:val="14"/>
                <w:color w:val="auto"/>
              </w:rPr>
              <w:t>1,877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1,980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1040" w:type="dxa"/>
            <w:vAlign w:val="bottom"/>
          </w:tcPr>
          <w:p>
            <w:pPr>
              <w:jc w:val="right"/>
              <w:spacing w:after="0"/>
              <w:rPr>
                <w:sz w:val="20"/>
                <w:szCs w:val="20"/>
                <w:color w:val="auto"/>
              </w:rPr>
            </w:pPr>
            <w:r>
              <w:rPr>
                <w:rFonts w:ascii="Arial" w:cs="Arial" w:eastAsia="Arial" w:hAnsi="Arial"/>
                <w:sz w:val="14"/>
                <w:szCs w:val="14"/>
                <w:color w:val="auto"/>
              </w:rPr>
              <w:t>394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469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4,143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4,221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1040" w:type="dxa"/>
            <w:vAlign w:val="bottom"/>
          </w:tcPr>
          <w:p>
            <w:pPr>
              <w:jc w:val="right"/>
              <w:spacing w:after="0"/>
              <w:rPr>
                <w:sz w:val="20"/>
                <w:szCs w:val="20"/>
                <w:color w:val="auto"/>
              </w:rPr>
            </w:pPr>
            <w:r>
              <w:rPr>
                <w:rFonts w:ascii="Arial" w:cs="Arial" w:eastAsia="Arial" w:hAnsi="Arial"/>
                <w:sz w:val="14"/>
                <w:szCs w:val="14"/>
                <w:color w:val="auto"/>
              </w:rPr>
              <w:t>13,292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13,959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475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(94.1)</w:t>
            </w: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1,353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(93.6)</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XLR</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10,537</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12,164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30,966</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40,512</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(23.6)</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2,083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1,655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25.9</w:t>
            </w:r>
          </w:p>
        </w:tc>
        <w:tc>
          <w:tcPr>
            <w:tcW w:w="1040" w:type="dxa"/>
            <w:vAlign w:val="bottom"/>
          </w:tcPr>
          <w:p>
            <w:pPr>
              <w:jc w:val="right"/>
              <w:spacing w:after="0"/>
              <w:rPr>
                <w:sz w:val="20"/>
                <w:szCs w:val="20"/>
                <w:color w:val="auto"/>
              </w:rPr>
            </w:pPr>
            <w:r>
              <w:rPr>
                <w:rFonts w:ascii="Arial" w:cs="Arial" w:eastAsia="Arial" w:hAnsi="Arial"/>
                <w:sz w:val="14"/>
                <w:szCs w:val="14"/>
                <w:color w:val="auto"/>
              </w:rPr>
              <w:t>5,494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4,466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23.0</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Aveo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2,715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(99.7)</w:t>
            </w: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8,214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9,292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8,964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3.7</w:t>
            </w:r>
          </w:p>
        </w:tc>
        <w:tc>
          <w:tcPr>
            <w:tcW w:w="1040" w:type="dxa"/>
            <w:vAlign w:val="bottom"/>
          </w:tcPr>
          <w:p>
            <w:pPr>
              <w:jc w:val="right"/>
              <w:spacing w:after="0"/>
              <w:rPr>
                <w:sz w:val="20"/>
                <w:szCs w:val="20"/>
                <w:color w:val="auto"/>
              </w:rPr>
            </w:pPr>
            <w:r>
              <w:rPr>
                <w:rFonts w:ascii="Arial" w:cs="Arial" w:eastAsia="Arial" w:hAnsi="Arial"/>
                <w:sz w:val="14"/>
                <w:szCs w:val="14"/>
                <w:color w:val="auto"/>
              </w:rPr>
              <w:t>21,924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19,972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2,670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7,220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Cobalt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642</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3,652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2,561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42.6</w:t>
            </w:r>
          </w:p>
        </w:tc>
        <w:tc>
          <w:tcPr>
            <w:tcW w:w="1040" w:type="dxa"/>
            <w:vAlign w:val="bottom"/>
          </w:tcPr>
          <w:p>
            <w:pPr>
              <w:jc w:val="right"/>
              <w:spacing w:after="0"/>
              <w:rPr>
                <w:sz w:val="20"/>
                <w:szCs w:val="20"/>
                <w:color w:val="auto"/>
              </w:rPr>
            </w:pPr>
            <w:r>
              <w:rPr>
                <w:rFonts w:ascii="Arial" w:cs="Arial" w:eastAsia="Arial" w:hAnsi="Arial"/>
                <w:sz w:val="14"/>
                <w:szCs w:val="14"/>
                <w:color w:val="auto"/>
              </w:rPr>
              <w:t>10,056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7,371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1,376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1,163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18.3</w:t>
            </w:r>
          </w:p>
        </w:tc>
        <w:tc>
          <w:tcPr>
            <w:tcW w:w="1040" w:type="dxa"/>
            <w:vAlign w:val="bottom"/>
          </w:tcPr>
          <w:p>
            <w:pPr>
              <w:jc w:val="right"/>
              <w:spacing w:after="0"/>
              <w:rPr>
                <w:sz w:val="20"/>
                <w:szCs w:val="20"/>
                <w:color w:val="auto"/>
              </w:rPr>
            </w:pPr>
            <w:r>
              <w:rPr>
                <w:rFonts w:ascii="Arial" w:cs="Arial" w:eastAsia="Arial" w:hAnsi="Arial"/>
                <w:sz w:val="14"/>
                <w:szCs w:val="14"/>
                <w:color w:val="auto"/>
              </w:rPr>
              <w:t>2,932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2,839</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21,607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18,018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19.9</w:t>
            </w:r>
          </w:p>
        </w:tc>
        <w:tc>
          <w:tcPr>
            <w:tcW w:w="1040" w:type="dxa"/>
            <w:vAlign w:val="bottom"/>
          </w:tcPr>
          <w:p>
            <w:pPr>
              <w:jc w:val="right"/>
              <w:spacing w:after="0"/>
              <w:rPr>
                <w:sz w:val="20"/>
                <w:szCs w:val="20"/>
                <w:color w:val="auto"/>
              </w:rPr>
            </w:pPr>
            <w:r>
              <w:rPr>
                <w:rFonts w:ascii="Arial" w:cs="Arial" w:eastAsia="Arial" w:hAnsi="Arial"/>
                <w:sz w:val="14"/>
                <w:szCs w:val="14"/>
                <w:color w:val="auto"/>
              </w:rPr>
              <w:t>57,083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50,205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20,064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14,949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34.2</w:t>
            </w:r>
          </w:p>
        </w:tc>
        <w:tc>
          <w:tcPr>
            <w:tcW w:w="1040" w:type="dxa"/>
            <w:vAlign w:val="bottom"/>
          </w:tcPr>
          <w:p>
            <w:pPr>
              <w:jc w:val="right"/>
              <w:spacing w:after="0"/>
              <w:rPr>
                <w:sz w:val="20"/>
                <w:szCs w:val="20"/>
                <w:color w:val="auto"/>
              </w:rPr>
            </w:pPr>
            <w:r>
              <w:rPr>
                <w:rFonts w:ascii="Arial" w:cs="Arial" w:eastAsia="Arial" w:hAnsi="Arial"/>
                <w:sz w:val="14"/>
                <w:szCs w:val="14"/>
                <w:color w:val="auto"/>
              </w:rPr>
              <w:t>51,577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43,230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19.3</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5,878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5,851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0.5</w:t>
            </w:r>
          </w:p>
        </w:tc>
        <w:tc>
          <w:tcPr>
            <w:tcW w:w="1040" w:type="dxa"/>
            <w:vAlign w:val="bottom"/>
          </w:tcPr>
          <w:p>
            <w:pPr>
              <w:jc w:val="right"/>
              <w:spacing w:after="0"/>
              <w:rPr>
                <w:sz w:val="20"/>
                <w:szCs w:val="20"/>
                <w:color w:val="auto"/>
              </w:rPr>
            </w:pPr>
            <w:r>
              <w:rPr>
                <w:rFonts w:ascii="Arial" w:cs="Arial" w:eastAsia="Arial" w:hAnsi="Arial"/>
                <w:sz w:val="14"/>
                <w:szCs w:val="14"/>
                <w:color w:val="auto"/>
              </w:rPr>
              <w:t>15,667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15,145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HHR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7,428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21,213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19,035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18,063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5.4</w:t>
            </w:r>
          </w:p>
        </w:tc>
        <w:tc>
          <w:tcPr>
            <w:tcW w:w="1040" w:type="dxa"/>
            <w:vAlign w:val="bottom"/>
          </w:tcPr>
          <w:p>
            <w:pPr>
              <w:jc w:val="right"/>
              <w:spacing w:after="0"/>
              <w:rPr>
                <w:sz w:val="20"/>
                <w:szCs w:val="20"/>
                <w:color w:val="auto"/>
              </w:rPr>
            </w:pPr>
            <w:r>
              <w:rPr>
                <w:rFonts w:ascii="Arial" w:cs="Arial" w:eastAsia="Arial" w:hAnsi="Arial"/>
                <w:sz w:val="14"/>
                <w:szCs w:val="14"/>
                <w:color w:val="auto"/>
              </w:rPr>
              <w:t>50,377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49,541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Kodiak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23,887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15,551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53.6</w:t>
            </w:r>
          </w:p>
        </w:tc>
        <w:tc>
          <w:tcPr>
            <w:tcW w:w="1040" w:type="dxa"/>
            <w:vAlign w:val="bottom"/>
          </w:tcPr>
          <w:p>
            <w:pPr>
              <w:jc w:val="right"/>
              <w:spacing w:after="0"/>
              <w:rPr>
                <w:sz w:val="20"/>
                <w:szCs w:val="20"/>
                <w:color w:val="auto"/>
              </w:rPr>
            </w:pPr>
            <w:r>
              <w:rPr>
                <w:rFonts w:ascii="Arial" w:cs="Arial" w:eastAsia="Arial" w:hAnsi="Arial"/>
                <w:sz w:val="14"/>
                <w:szCs w:val="14"/>
                <w:color w:val="auto"/>
              </w:rPr>
              <w:t>58,550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48,745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36,491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32,555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12.1</w:t>
            </w:r>
          </w:p>
        </w:tc>
        <w:tc>
          <w:tcPr>
            <w:tcW w:w="1040" w:type="dxa"/>
            <w:vAlign w:val="bottom"/>
          </w:tcPr>
          <w:p>
            <w:pPr>
              <w:jc w:val="right"/>
              <w:spacing w:after="0"/>
              <w:rPr>
                <w:sz w:val="20"/>
                <w:szCs w:val="20"/>
                <w:color w:val="auto"/>
              </w:rPr>
            </w:pPr>
            <w:r>
              <w:rPr>
                <w:rFonts w:ascii="Arial" w:cs="Arial" w:eastAsia="Arial" w:hAnsi="Arial"/>
                <w:sz w:val="14"/>
                <w:szCs w:val="14"/>
                <w:color w:val="auto"/>
              </w:rPr>
              <w:t>95,638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92,455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3.4</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8,251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21,863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3,653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2,959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23.5</w:t>
            </w:r>
          </w:p>
        </w:tc>
        <w:tc>
          <w:tcPr>
            <w:tcW w:w="1040" w:type="dxa"/>
            <w:vAlign w:val="bottom"/>
          </w:tcPr>
          <w:p>
            <w:pPr>
              <w:jc w:val="right"/>
              <w:spacing w:after="0"/>
              <w:rPr>
                <w:sz w:val="20"/>
                <w:szCs w:val="20"/>
                <w:color w:val="auto"/>
              </w:rPr>
            </w:pPr>
            <w:r>
              <w:rPr>
                <w:rFonts w:ascii="Arial" w:cs="Arial" w:eastAsia="Arial" w:hAnsi="Arial"/>
                <w:sz w:val="14"/>
                <w:szCs w:val="14"/>
                <w:color w:val="auto"/>
              </w:rPr>
              <w:t>9,892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7,685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28.7</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5,626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6,844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(17.8)</w:t>
            </w:r>
          </w:p>
        </w:tc>
        <w:tc>
          <w:tcPr>
            <w:tcW w:w="1040" w:type="dxa"/>
            <w:vAlign w:val="bottom"/>
          </w:tcPr>
          <w:p>
            <w:pPr>
              <w:jc w:val="right"/>
              <w:spacing w:after="0"/>
              <w:rPr>
                <w:sz w:val="20"/>
                <w:szCs w:val="20"/>
                <w:color w:val="auto"/>
              </w:rPr>
            </w:pPr>
            <w:r>
              <w:rPr>
                <w:rFonts w:ascii="Arial" w:cs="Arial" w:eastAsia="Arial" w:hAnsi="Arial"/>
                <w:sz w:val="14"/>
                <w:szCs w:val="14"/>
                <w:color w:val="auto"/>
              </w:rPr>
              <w:t>13,833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17,193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(19.5)</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TrailBlazer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7,085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8,230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(13.9)</w:t>
            </w:r>
          </w:p>
        </w:tc>
        <w:tc>
          <w:tcPr>
            <w:tcW w:w="1040" w:type="dxa"/>
            <w:vAlign w:val="bottom"/>
          </w:tcPr>
          <w:p>
            <w:pPr>
              <w:jc w:val="right"/>
              <w:spacing w:after="0"/>
              <w:rPr>
                <w:sz w:val="20"/>
                <w:szCs w:val="20"/>
                <w:color w:val="auto"/>
              </w:rPr>
            </w:pPr>
            <w:r>
              <w:rPr>
                <w:rFonts w:ascii="Arial" w:cs="Arial" w:eastAsia="Arial" w:hAnsi="Arial"/>
                <w:sz w:val="14"/>
                <w:szCs w:val="14"/>
                <w:color w:val="auto"/>
              </w:rPr>
              <w:t>21,691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26,368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(17.7)</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2,289</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608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276.5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3,915</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1,210</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223.6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173,073</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148,197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16.8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448,134</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416,505</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7.6</w:t>
            </w:r>
          </w:p>
        </w:tc>
      </w:tr>
      <w:tr>
        <w:trPr>
          <w:trHeight w:val="258"/>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5,649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6,418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(12.0)</w:t>
            </w:r>
          </w:p>
        </w:tc>
        <w:tc>
          <w:tcPr>
            <w:tcW w:w="1040" w:type="dxa"/>
            <w:vAlign w:val="bottom"/>
          </w:tcPr>
          <w:p>
            <w:pPr>
              <w:jc w:val="right"/>
              <w:spacing w:after="0"/>
              <w:rPr>
                <w:sz w:val="20"/>
                <w:szCs w:val="20"/>
                <w:color w:val="auto"/>
              </w:rPr>
            </w:pPr>
            <w:r>
              <w:rPr>
                <w:rFonts w:ascii="Arial" w:cs="Arial" w:eastAsia="Arial" w:hAnsi="Arial"/>
                <w:sz w:val="14"/>
                <w:szCs w:val="14"/>
                <w:color w:val="auto"/>
              </w:rPr>
              <w:t>17,149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19,688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(12.9)</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941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765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23.0</w:t>
            </w:r>
          </w:p>
        </w:tc>
        <w:tc>
          <w:tcPr>
            <w:tcW w:w="1040" w:type="dxa"/>
            <w:vAlign w:val="bottom"/>
          </w:tcPr>
          <w:p>
            <w:pPr>
              <w:jc w:val="right"/>
              <w:spacing w:after="0"/>
              <w:rPr>
                <w:sz w:val="20"/>
                <w:szCs w:val="20"/>
                <w:color w:val="auto"/>
              </w:rPr>
            </w:pPr>
            <w:r>
              <w:rPr>
                <w:rFonts w:ascii="Arial" w:cs="Arial" w:eastAsia="Arial" w:hAnsi="Arial"/>
                <w:sz w:val="14"/>
                <w:szCs w:val="14"/>
                <w:color w:val="auto"/>
              </w:rPr>
              <w:t>3,064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2,224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37.8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Envoy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2,074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1,300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59.5</w:t>
            </w:r>
          </w:p>
        </w:tc>
        <w:tc>
          <w:tcPr>
            <w:tcW w:w="1040" w:type="dxa"/>
            <w:vAlign w:val="bottom"/>
          </w:tcPr>
          <w:p>
            <w:pPr>
              <w:jc w:val="right"/>
              <w:spacing w:after="0"/>
              <w:rPr>
                <w:sz w:val="20"/>
                <w:szCs w:val="20"/>
                <w:color w:val="auto"/>
              </w:rPr>
            </w:pPr>
            <w:r>
              <w:rPr>
                <w:rFonts w:ascii="Arial" w:cs="Arial" w:eastAsia="Arial" w:hAnsi="Arial"/>
                <w:sz w:val="14"/>
                <w:szCs w:val="14"/>
                <w:color w:val="auto"/>
              </w:rPr>
              <w:t>5,038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2,691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87.2</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13,849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11,622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19.2</w:t>
            </w:r>
          </w:p>
        </w:tc>
        <w:tc>
          <w:tcPr>
            <w:tcW w:w="1040" w:type="dxa"/>
            <w:vAlign w:val="bottom"/>
          </w:tcPr>
          <w:p>
            <w:pPr>
              <w:jc w:val="right"/>
              <w:spacing w:after="0"/>
              <w:rPr>
                <w:sz w:val="20"/>
                <w:szCs w:val="20"/>
                <w:color w:val="auto"/>
              </w:rPr>
            </w:pPr>
            <w:r>
              <w:rPr>
                <w:rFonts w:ascii="Arial" w:cs="Arial" w:eastAsia="Arial" w:hAnsi="Arial"/>
                <w:sz w:val="14"/>
                <w:szCs w:val="14"/>
                <w:color w:val="auto"/>
              </w:rPr>
              <w:t>34,672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33,945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8,461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6,301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34.3</w:t>
            </w:r>
          </w:p>
        </w:tc>
        <w:tc>
          <w:tcPr>
            <w:tcW w:w="1040" w:type="dxa"/>
            <w:vAlign w:val="bottom"/>
          </w:tcPr>
          <w:p>
            <w:pPr>
              <w:jc w:val="right"/>
              <w:spacing w:after="0"/>
              <w:rPr>
                <w:sz w:val="20"/>
                <w:szCs w:val="20"/>
                <w:color w:val="auto"/>
              </w:rPr>
            </w:pPr>
            <w:r>
              <w:rPr>
                <w:rFonts w:ascii="Arial" w:cs="Arial" w:eastAsia="Arial" w:hAnsi="Arial"/>
                <w:sz w:val="14"/>
                <w:szCs w:val="14"/>
                <w:color w:val="auto"/>
              </w:rPr>
              <w:t>22,196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19,860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11.8</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4/5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Topkick 6/7/8 Series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1,970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2,671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(26.2)</w:t>
            </w:r>
          </w:p>
        </w:tc>
        <w:tc>
          <w:tcPr>
            <w:tcW w:w="1040" w:type="dxa"/>
            <w:vAlign w:val="bottom"/>
          </w:tcPr>
          <w:p>
            <w:pPr>
              <w:jc w:val="right"/>
              <w:spacing w:after="0"/>
              <w:rPr>
                <w:sz w:val="20"/>
                <w:szCs w:val="20"/>
                <w:color w:val="auto"/>
              </w:rPr>
            </w:pPr>
            <w:r>
              <w:rPr>
                <w:rFonts w:ascii="Arial" w:cs="Arial" w:eastAsia="Arial" w:hAnsi="Arial"/>
                <w:sz w:val="14"/>
                <w:szCs w:val="14"/>
                <w:color w:val="auto"/>
              </w:rPr>
              <w:t>6,117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7,564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(19.1)</w:t>
            </w:r>
          </w:p>
        </w:tc>
      </w:tr>
      <w:tr>
        <w:trPr>
          <w:trHeight w:val="276"/>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1,393</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1,520</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4,816</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(24.3)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34,337</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30,597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91,884</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90,789</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w:t>
            </w:r>
          </w:p>
        </w:tc>
      </w:tr>
      <w:tr>
        <w:trPr>
          <w:trHeight w:val="291"/>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231,052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206,621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608,320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592,545</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2.7</w:t>
            </w:r>
          </w:p>
        </w:tc>
      </w:tr>
    </w:tbl>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 28 selling days for the March period this year and 27 for last year.</w:t>
      </w:r>
    </w:p>
    <w:sectPr>
      <w:pgSz w:w="11900" w:h="16838" w:orient="portrait"/>
      <w:cols w:equalWidth="0" w:num="1">
        <w:col w:w="9440"/>
      </w:cols>
      <w:pgMar w:left="1240" w:top="576" w:right="1219" w:bottom="4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2019-12-11T08:34:13Z</dcterms:created>
  <dcterms:modified xsi:type="dcterms:W3CDTF">2019-12-11T08:34:13Z</dcterms:modified>
</cp:coreProperties>
</file>