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1 )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General Motors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37045V100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37045V100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Capital Research Global Investors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95-1411037</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 ]</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95,121,786</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95,124,907</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95,124,907 Beneficial ownership disclaimed pursuant to Rule 13d-4</w:t>
            </w: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6.6%</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560" w:right="7740" w:hanging="647"/>
        <w:spacing w:after="0" w:line="334" w:lineRule="auto"/>
        <w:tabs>
          <w:tab w:leader="none" w:pos="156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General Motors Co.</w:t>
      </w:r>
    </w:p>
    <w:p>
      <w:pPr>
        <w:spacing w:after="0" w:line="12" w:lineRule="exact"/>
        <w:rPr>
          <w:rFonts w:ascii="Arial" w:cs="Arial" w:eastAsia="Arial" w:hAnsi="Arial"/>
          <w:sz w:val="19"/>
          <w:szCs w:val="19"/>
          <w:b w:val="1"/>
          <w:bCs w:val="1"/>
          <w:color w:val="auto"/>
        </w:rPr>
      </w:pPr>
    </w:p>
    <w:p>
      <w:pPr>
        <w:jc w:val="both"/>
        <w:ind w:left="1560" w:right="5140" w:hanging="647"/>
        <w:spacing w:after="0" w:line="334" w:lineRule="auto"/>
        <w:tabs>
          <w:tab w:leader="none" w:pos="156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Issuer's Principal Executive Offices </w:t>
      </w:r>
      <w:r>
        <w:rPr>
          <w:rFonts w:ascii="Arial" w:cs="Arial" w:eastAsia="Arial" w:hAnsi="Arial"/>
          <w:sz w:val="19"/>
          <w:szCs w:val="19"/>
          <w:color w:val="auto"/>
        </w:rPr>
        <w:t>300 Renaissance Center, Detroit, MI 48265-3000</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560" w:hanging="647"/>
        <w:spacing w:after="0"/>
        <w:tabs>
          <w:tab w:leader="none" w:pos="15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560"/>
        <w:spacing w:after="0"/>
        <w:rPr>
          <w:rFonts w:ascii="Arial" w:cs="Arial" w:eastAsia="Arial" w:hAnsi="Arial"/>
          <w:sz w:val="22"/>
          <w:szCs w:val="22"/>
          <w:b w:val="1"/>
          <w:bCs w:val="1"/>
          <w:color w:val="auto"/>
        </w:rPr>
      </w:pPr>
      <w:r>
        <w:rPr>
          <w:rFonts w:ascii="Arial" w:cs="Arial" w:eastAsia="Arial" w:hAnsi="Arial"/>
          <w:sz w:val="22"/>
          <w:szCs w:val="22"/>
          <w:color w:val="auto"/>
        </w:rPr>
        <w:t>Capital Research Global Investors</w:t>
      </w:r>
    </w:p>
    <w:p>
      <w:pPr>
        <w:spacing w:after="0" w:line="101" w:lineRule="exact"/>
        <w:rPr>
          <w:rFonts w:ascii="Arial" w:cs="Arial" w:eastAsia="Arial" w:hAnsi="Arial"/>
          <w:sz w:val="22"/>
          <w:szCs w:val="22"/>
          <w:b w:val="1"/>
          <w:bCs w:val="1"/>
          <w:color w:val="auto"/>
        </w:rPr>
      </w:pPr>
    </w:p>
    <w:p>
      <w:pPr>
        <w:ind w:left="1560" w:right="4060" w:hanging="647"/>
        <w:spacing w:after="0" w:line="334" w:lineRule="auto"/>
        <w:tabs>
          <w:tab w:leader="none" w:pos="15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333 South Hope Street, 55th Fl, Los Angeles, CA 90071</w:t>
      </w:r>
    </w:p>
    <w:p>
      <w:pPr>
        <w:spacing w:after="0" w:line="12" w:lineRule="exact"/>
        <w:rPr>
          <w:rFonts w:ascii="Arial" w:cs="Arial" w:eastAsia="Arial" w:hAnsi="Arial"/>
          <w:sz w:val="19"/>
          <w:szCs w:val="19"/>
          <w:b w:val="1"/>
          <w:bCs w:val="1"/>
          <w:color w:val="auto"/>
        </w:rPr>
      </w:pPr>
    </w:p>
    <w:p>
      <w:pPr>
        <w:ind w:left="1560" w:right="8420" w:hanging="647"/>
        <w:spacing w:after="0" w:line="334" w:lineRule="auto"/>
        <w:tabs>
          <w:tab w:leader="none" w:pos="15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N/A</w:t>
      </w:r>
    </w:p>
    <w:p>
      <w:pPr>
        <w:spacing w:after="0" w:line="12" w:lineRule="exact"/>
        <w:rPr>
          <w:rFonts w:ascii="Arial" w:cs="Arial" w:eastAsia="Arial" w:hAnsi="Arial"/>
          <w:sz w:val="19"/>
          <w:szCs w:val="19"/>
          <w:b w:val="1"/>
          <w:bCs w:val="1"/>
          <w:color w:val="auto"/>
        </w:rPr>
      </w:pPr>
    </w:p>
    <w:p>
      <w:pPr>
        <w:ind w:left="1560" w:right="7060" w:hanging="647"/>
        <w:spacing w:after="0" w:line="334" w:lineRule="auto"/>
        <w:tabs>
          <w:tab w:leader="none" w:pos="15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560" w:right="7980" w:hanging="647"/>
        <w:spacing w:after="0" w:line="334" w:lineRule="auto"/>
        <w:tabs>
          <w:tab w:leader="none" w:pos="15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37045V100</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020"/>
          </w:cols>
          <w:pgMar w:left="400" w:top="423" w:right="479" w:bottom="0" w:gutter="0" w:footer="0" w:header="0"/>
        </w:sectPr>
      </w:pPr>
    </w:p>
    <w:p>
      <w:pPr>
        <w:spacing w:after="0" w:line="131" w:lineRule="exact"/>
        <w:rPr>
          <w:sz w:val="20"/>
          <w:szCs w:val="20"/>
          <w:color w:val="auto"/>
        </w:rPr>
      </w:pPr>
    </w:p>
    <w:p>
      <w:pPr>
        <w:ind w:left="920"/>
        <w:spacing w:after="0"/>
        <w:tabs>
          <w:tab w:leader="none" w:pos="15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4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4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4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4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54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4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4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54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4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80a-8).</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56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ind w:right="360"/>
        <w:spacing w:after="0" w:line="250" w:lineRule="auto"/>
        <w:rPr>
          <w:sz w:val="20"/>
          <w:szCs w:val="20"/>
          <w:color w:val="auto"/>
        </w:rPr>
      </w:pPr>
      <w:r>
        <w:rPr>
          <w:rFonts w:ascii="Arial" w:cs="Arial" w:eastAsia="Arial" w:hAnsi="Arial"/>
          <w:sz w:val="22"/>
          <w:szCs w:val="22"/>
          <w:color w:val="auto"/>
        </w:rPr>
        <w:t>A savings association as defined in Section 3(b) of the Federal Deposit Insurance Act (12 U.S.C. 1813);</w:t>
      </w:r>
    </w:p>
    <w:p>
      <w:pPr>
        <w:spacing w:after="0" w:line="94"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502" w:lineRule="exact"/>
        <w:rPr>
          <w:sz w:val="20"/>
          <w:szCs w:val="20"/>
          <w:color w:val="auto"/>
        </w:rPr>
      </w:pPr>
    </w:p>
    <w:p>
      <w:pPr>
        <w:sectPr>
          <w:pgSz w:w="11900" w:h="16838" w:orient="portrait"/>
          <w:cols w:equalWidth="0" w:num="2">
            <w:col w:w="1980" w:space="320"/>
            <w:col w:w="8720"/>
          </w:cols>
          <w:pgMar w:left="400" w:top="423" w:right="479" w:bottom="0" w:gutter="0" w:footer="0" w:header="0"/>
          <w:type w:val="continuous"/>
        </w:sect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23" w:right="479" w:bottom="0" w:gutter="0" w:footer="0" w:header="0"/>
          <w:type w:val="continuous"/>
        </w:sectPr>
      </w:pPr>
    </w:p>
    <w:p>
      <w:pPr>
        <w:spacing w:after="0" w:line="94" w:lineRule="exact"/>
        <w:rPr>
          <w:sz w:val="20"/>
          <w:szCs w:val="20"/>
          <w:color w:val="auto"/>
        </w:rPr>
      </w:pPr>
    </w:p>
    <w:p>
      <w:pPr>
        <w:ind w:left="1560" w:hanging="647"/>
        <w:spacing w:after="0"/>
        <w:tabs>
          <w:tab w:leader="none" w:pos="1560" w:val="left"/>
        </w:tabs>
        <w:numPr>
          <w:ilvl w:val="0"/>
          <w:numId w:val="4"/>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560"/>
        <w:spacing w:after="0"/>
        <w:rPr>
          <w:rFonts w:ascii="Arial" w:cs="Arial" w:eastAsia="Arial" w:hAnsi="Arial"/>
          <w:sz w:val="22"/>
          <w:szCs w:val="22"/>
          <w:color w:val="auto"/>
        </w:rPr>
      </w:pPr>
      <w:r>
        <w:rPr>
          <w:rFonts w:ascii="Arial" w:cs="Arial" w:eastAsia="Arial" w:hAnsi="Arial"/>
          <w:sz w:val="22"/>
          <w:szCs w:val="22"/>
          <w:color w:val="auto"/>
        </w:rPr>
        <w:t>95,124,907 **</w:t>
      </w:r>
    </w:p>
    <w:p>
      <w:pPr>
        <w:spacing w:after="0" w:line="125" w:lineRule="exact"/>
        <w:rPr>
          <w:rFonts w:ascii="Arial" w:cs="Arial" w:eastAsia="Arial" w:hAnsi="Arial"/>
          <w:sz w:val="22"/>
          <w:szCs w:val="22"/>
          <w:color w:val="auto"/>
        </w:rPr>
      </w:pPr>
    </w:p>
    <w:p>
      <w:pPr>
        <w:ind w:left="1560" w:hanging="647"/>
        <w:spacing w:after="0"/>
        <w:tabs>
          <w:tab w:leader="none" w:pos="1560" w:val="left"/>
        </w:tabs>
        <w:numPr>
          <w:ilvl w:val="0"/>
          <w:numId w:val="4"/>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560"/>
        <w:spacing w:after="0"/>
        <w:rPr>
          <w:rFonts w:ascii="Arial" w:cs="Arial" w:eastAsia="Arial" w:hAnsi="Arial"/>
          <w:sz w:val="22"/>
          <w:szCs w:val="22"/>
          <w:color w:val="auto"/>
        </w:rPr>
      </w:pPr>
      <w:r>
        <w:rPr>
          <w:rFonts w:ascii="Arial" w:cs="Arial" w:eastAsia="Arial" w:hAnsi="Arial"/>
          <w:sz w:val="22"/>
          <w:szCs w:val="22"/>
          <w:color w:val="auto"/>
        </w:rPr>
        <w:t>6.6%</w:t>
      </w:r>
    </w:p>
    <w:p>
      <w:pPr>
        <w:spacing w:after="0" w:line="125" w:lineRule="exact"/>
        <w:rPr>
          <w:rFonts w:ascii="Arial" w:cs="Arial" w:eastAsia="Arial" w:hAnsi="Arial"/>
          <w:sz w:val="22"/>
          <w:szCs w:val="22"/>
          <w:color w:val="auto"/>
        </w:rPr>
      </w:pPr>
    </w:p>
    <w:p>
      <w:pPr>
        <w:ind w:left="1560" w:hanging="647"/>
        <w:spacing w:after="0"/>
        <w:tabs>
          <w:tab w:leader="none" w:pos="1560" w:val="left"/>
        </w:tabs>
        <w:numPr>
          <w:ilvl w:val="0"/>
          <w:numId w:val="4"/>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300" w:hanging="739"/>
        <w:spacing w:after="0"/>
        <w:tabs>
          <w:tab w:leader="none" w:pos="2300" w:val="left"/>
        </w:tabs>
        <w:numPr>
          <w:ilvl w:val="1"/>
          <w:numId w:val="4"/>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300" w:hanging="739"/>
        <w:spacing w:after="0"/>
        <w:tabs>
          <w:tab w:leader="none" w:pos="2300" w:val="left"/>
        </w:tabs>
        <w:numPr>
          <w:ilvl w:val="1"/>
          <w:numId w:val="4"/>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300" w:hanging="739"/>
        <w:spacing w:after="0" w:line="183" w:lineRule="auto"/>
        <w:tabs>
          <w:tab w:leader="none" w:pos="2300" w:val="left"/>
        </w:tabs>
        <w:numPr>
          <w:ilvl w:val="1"/>
          <w:numId w:val="4"/>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300" w:right="800" w:hanging="739"/>
        <w:spacing w:after="0" w:line="183" w:lineRule="auto"/>
        <w:tabs>
          <w:tab w:leader="none" w:pos="2300" w:val="left"/>
        </w:tabs>
        <w:numPr>
          <w:ilvl w:val="1"/>
          <w:numId w:val="4"/>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9"/>
          <w:szCs w:val="19"/>
          <w:color w:val="auto"/>
        </w:rPr>
        <w:t>95,121,786</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95,124,907</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6" w:lineRule="exact"/>
        <w:rPr>
          <w:sz w:val="20"/>
          <w:szCs w:val="20"/>
          <w:color w:val="auto"/>
        </w:rPr>
      </w:pPr>
    </w:p>
    <w:p>
      <w:pPr>
        <w:sectPr>
          <w:pgSz w:w="11900" w:h="16838" w:orient="portrait"/>
          <w:cols w:equalWidth="0" w:num="2">
            <w:col w:w="6500" w:space="260"/>
            <w:col w:w="4260"/>
          </w:cols>
          <w:pgMar w:left="400" w:top="423" w:right="479" w:bottom="0" w:gutter="0" w:footer="0" w:header="0"/>
          <w:type w:val="continuous"/>
        </w:sectPr>
      </w:pPr>
    </w:p>
    <w:p>
      <w:pPr>
        <w:ind w:right="40"/>
        <w:spacing w:after="0" w:line="287" w:lineRule="auto"/>
        <w:rPr>
          <w:sz w:val="20"/>
          <w:szCs w:val="20"/>
          <w:color w:val="auto"/>
        </w:rPr>
      </w:pPr>
      <w:r>
        <w:rPr>
          <w:rFonts w:ascii="Arial" w:cs="Arial" w:eastAsia="Arial" w:hAnsi="Arial"/>
          <w:sz w:val="19"/>
          <w:szCs w:val="19"/>
          <w:color w:val="auto"/>
        </w:rPr>
        <w:t>**Capital Research Global Investors ("CRGI") is a division of Capital Research and Management Company ("CRMC"), as well as its investment management subsidiaries and affiliates Capital Bank and Trust Company, Capital International, Inc., Capital International Limited, Capital International Sarl, Capital International K.K., and Capital Group Private Client Services, Inc. (together with CRMC, the "investment management entities"). CRGI's divisions of each of the investment management</w:t>
      </w:r>
    </w:p>
    <w:p>
      <w:pPr>
        <w:sectPr>
          <w:pgSz w:w="11900" w:h="16838" w:orient="portrait"/>
          <w:cols w:equalWidth="0" w:num="1">
            <w:col w:w="11020"/>
          </w:cols>
          <w:pgMar w:left="400" w:top="423" w:right="479" w:bottom="0" w:gutter="0" w:footer="0" w:header="0"/>
          <w:type w:val="continuous"/>
        </w:sectPr>
      </w:pPr>
    </w:p>
    <w:bookmarkStart w:id="3" w:name="page4"/>
    <w:bookmarkEnd w:id="3"/>
    <w:p>
      <w:pPr>
        <w:ind w:right="280"/>
        <w:spacing w:after="0" w:line="329" w:lineRule="auto"/>
        <w:rPr>
          <w:sz w:val="20"/>
          <w:szCs w:val="20"/>
          <w:color w:val="auto"/>
        </w:rPr>
      </w:pPr>
      <w:r>
        <w:rPr>
          <w:rFonts w:ascii="Arial" w:cs="Arial" w:eastAsia="Arial" w:hAnsi="Arial"/>
          <w:sz w:val="19"/>
          <w:szCs w:val="19"/>
          <w:color w:val="auto"/>
        </w:rPr>
        <w:t>entities collectively provide investment management services under the name "Capital Research Global Investors." CRGI is deemed to be the beneficial owner of 95,124,907 shares or 6.6% of the 1,451,860,294 shares believed to be outstanding.</w:t>
      </w:r>
    </w:p>
    <w:p>
      <w:pPr>
        <w:spacing w:after="0" w:line="17"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920" w:right="28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ind w:left="920" w:right="36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8" w:right="499" w:bottom="1440" w:gutter="0" w:footer="0" w:header="0"/>
        </w:sectPr>
      </w:pPr>
    </w:p>
    <w:bookmarkStart w:id="4" w:name="page5"/>
    <w:bookmarkEnd w:id="4"/>
    <w:p>
      <w:pPr>
        <w:ind w:left="388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020"/>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Capital Research Global Investors</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Donald H. Rolfe</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Date: February 14, 2022</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Name: Donald H. Rolfe</w:t>
      </w:r>
    </w:p>
    <w:p>
      <w:pPr>
        <w:spacing w:after="0" w:line="44" w:lineRule="exact"/>
        <w:rPr>
          <w:sz w:val="20"/>
          <w:szCs w:val="20"/>
          <w:color w:val="auto"/>
        </w:rPr>
      </w:pPr>
    </w:p>
    <w:p>
      <w:pPr>
        <w:ind w:left="600"/>
        <w:spacing w:after="0" w:line="250" w:lineRule="auto"/>
        <w:rPr>
          <w:sz w:val="20"/>
          <w:szCs w:val="20"/>
          <w:color w:val="auto"/>
        </w:rPr>
      </w:pPr>
      <w:r>
        <w:rPr>
          <w:rFonts w:ascii="Arial" w:cs="Arial" w:eastAsia="Arial" w:hAnsi="Arial"/>
          <w:sz w:val="22"/>
          <w:szCs w:val="22"/>
          <w:color w:val="auto"/>
        </w:rPr>
        <w:t>Title: Senior Vice President and Senior Counsel, Fund Business Management Group, Capital Research and Management Company</w:t>
      </w:r>
    </w:p>
    <w:sectPr>
      <w:pgSz w:w="11900" w:h="16838" w:orient="portrait"/>
      <w:cols w:equalWidth="0" w:num="1">
        <w:col w:w="9840"/>
      </w:cols>
      <w:pgMar w:left="1440" w:top="409"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2]"/>
      <w:numFmt w:val="upperLetter"/>
      <w:start w:val="24"/>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2022-02-12T01:47:06Z</dcterms:created>
  <dcterms:modified xsi:type="dcterms:W3CDTF">2022-02-12T01:47:06Z</dcterms:modified>
</cp:coreProperties>
</file>