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PURSUANT TO SECTION 13 OR 15(d)</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Date of Report (Date of earliest event reported) October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100" w:type="dxa"/>
            <w:vAlign w:val="bottom"/>
          </w:tcPr>
          <w:p>
            <w:pPr>
              <w:jc w:val="center"/>
              <w:ind w:right="240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ind w:left="220"/>
              <w:spacing w:after="0"/>
              <w:rPr>
                <w:sz w:val="20"/>
                <w:szCs w:val="20"/>
                <w:color w:val="auto"/>
              </w:rPr>
            </w:pPr>
            <w:r>
              <w:rPr>
                <w:rFonts w:ascii="Arial" w:cs="Arial" w:eastAsia="Arial" w:hAnsi="Arial"/>
                <w:sz w:val="18"/>
                <w:szCs w:val="18"/>
                <w:b w:val="1"/>
                <w:bCs w:val="1"/>
                <w:color w:val="auto"/>
              </w:rPr>
              <w:t>001-34960</w:t>
            </w:r>
          </w:p>
        </w:tc>
        <w:tc>
          <w:tcPr>
            <w:tcW w:w="2520" w:type="dxa"/>
            <w:vAlign w:val="bottom"/>
          </w:tcPr>
          <w:p>
            <w:pPr>
              <w:jc w:val="center"/>
              <w:ind w:left="1301"/>
              <w:spacing w:after="0"/>
              <w:rPr>
                <w:sz w:val="20"/>
                <w:szCs w:val="20"/>
                <w:color w:val="auto"/>
              </w:rPr>
            </w:pPr>
            <w:r>
              <w:rPr>
                <w:rFonts w:ascii="Arial" w:cs="Arial" w:eastAsia="Arial" w:hAnsi="Arial"/>
                <w:sz w:val="18"/>
                <w:szCs w:val="18"/>
                <w:b w:val="1"/>
                <w:bCs w:val="1"/>
                <w:color w:val="auto"/>
                <w:w w:val="89"/>
              </w:rPr>
              <w:t>27-0756180</w:t>
            </w:r>
          </w:p>
        </w:tc>
      </w:tr>
      <w:tr>
        <w:trPr>
          <w:trHeight w:val="180"/>
        </w:trPr>
        <w:tc>
          <w:tcPr>
            <w:tcW w:w="4100" w:type="dxa"/>
            <w:vAlign w:val="bottom"/>
          </w:tcPr>
          <w:p>
            <w:pPr>
              <w:jc w:val="center"/>
              <w:ind w:right="2381"/>
              <w:spacing w:after="0"/>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2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4100" w:type="dxa"/>
            <w:vAlign w:val="bottom"/>
          </w:tcPr>
          <w:p>
            <w:pPr>
              <w:jc w:val="center"/>
              <w:ind w:right="2381"/>
              <w:spacing w:after="0"/>
              <w:rPr>
                <w:sz w:val="20"/>
                <w:szCs w:val="20"/>
                <w:color w:val="auto"/>
              </w:rPr>
            </w:pPr>
            <w:r>
              <w:rPr>
                <w:rFonts w:ascii="Arial" w:cs="Arial" w:eastAsia="Arial" w:hAnsi="Arial"/>
                <w:sz w:val="14"/>
                <w:szCs w:val="14"/>
                <w:b w:val="1"/>
                <w:bCs w:val="1"/>
                <w:color w:val="auto"/>
                <w:w w:val="92"/>
              </w:rPr>
              <w:t>of incorporation)</w:t>
            </w:r>
          </w:p>
        </w:tc>
        <w:tc>
          <w:tcPr>
            <w:tcW w:w="240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6"/>
              </w:rPr>
              <w:t>Identification No.)</w:t>
            </w:r>
          </w:p>
        </w:tc>
      </w:tr>
      <w:tr>
        <w:trPr>
          <w:trHeight w:val="525"/>
        </w:trPr>
        <w:tc>
          <w:tcPr>
            <w:tcW w:w="650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520" w:type="dxa"/>
            <w:vAlign w:val="bottom"/>
          </w:tcPr>
          <w:p>
            <w:pPr>
              <w:jc w:val="center"/>
              <w:ind w:left="1301"/>
              <w:spacing w:after="0"/>
              <w:rPr>
                <w:sz w:val="20"/>
                <w:szCs w:val="20"/>
                <w:color w:val="auto"/>
              </w:rPr>
            </w:pPr>
            <w:r>
              <w:rPr>
                <w:rFonts w:ascii="Arial" w:cs="Arial" w:eastAsia="Arial" w:hAnsi="Arial"/>
                <w:sz w:val="18"/>
                <w:szCs w:val="18"/>
                <w:b w:val="1"/>
                <w:bCs w:val="1"/>
                <w:color w:val="auto"/>
                <w:w w:val="89"/>
              </w:rPr>
              <w:t>48265-3000</w:t>
            </w:r>
          </w:p>
        </w:tc>
      </w:tr>
      <w:tr>
        <w:trPr>
          <w:trHeight w:val="218"/>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spacing w:after="0"/>
              <w:rPr>
                <w:sz w:val="18"/>
                <w:szCs w:val="18"/>
                <w:color w:val="auto"/>
              </w:rPr>
            </w:pP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firstLine="45"/>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65" w:right="239" w:bottom="1440" w:gutter="0" w:footer="0" w:header="0"/>
        </w:sectPr>
      </w:pPr>
    </w:p>
    <w:bookmarkStart w:id="1" w:name="page2"/>
    <w:bookmarkEnd w:id="1"/>
    <w:p>
      <w:pPr>
        <w:ind w:left="1420" w:right="320" w:hanging="1377"/>
        <w:spacing w:after="0" w:line="267" w:lineRule="auto"/>
        <w:tabs>
          <w:tab w:leader="none" w:pos="140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10" w:lineRule="exact"/>
        <w:rPr>
          <w:sz w:val="20"/>
          <w:szCs w:val="20"/>
          <w:color w:val="auto"/>
        </w:rPr>
      </w:pPr>
    </w:p>
    <w:p>
      <w:pPr>
        <w:jc w:val="both"/>
        <w:ind w:firstLine="8"/>
        <w:spacing w:after="0" w:line="246" w:lineRule="auto"/>
        <w:tabs>
          <w:tab w:leader="none" w:pos="28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On October 8, 2018, the Board of Directors (the “Board”) of General Motors Company (“GM”) elected Judith A. Miscik as a member of the Board. The Board has determined that Ms. Miscik is an independent director under New York Stock Exchange listing standards and GM’s independence guidelines, as set forth in its Corporate Governance Guidelines. Ms. Miscik has not yet been named to any committees of the Board.</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Like the other non-employee members of the Board, Ms. Miscik will receive an annual retainer of $285,000 for her service on the Board (prorated to reflect the date her service began) and personal accident insurance and will participate in the company vehicle program.</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Under the General Motors Company Deferred Compensation Plan for Non-Employee Directors (the “Plan”), Ms. Miscik is required to defer 50% of her annual Board retainer into GM’s Deferred Share Units (“DSUs”) and may elect to defer all or 50% of her remaining Board compensation in additional DSUs. Amounts deferred and credited as DSUs under the Plan will not be available until after Ms. Miscik retires or otherwise leaves the Board, at which time she will receive a cash payment or payments based on the number of DSUs in her account, valued at the average daily market price for the quarter immediately preceding payment.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A copy of the press release announcing Ms. Miscik’s election is attached hereto as Exhibit 99.1 and incorporated herein by reference.</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1220" w:type="dxa"/>
            <w:vAlign w:val="bottom"/>
          </w:tcPr>
          <w:p>
            <w:pPr>
              <w:ind w:left="20"/>
              <w:spacing w:after="0"/>
              <w:rPr>
                <w:sz w:val="20"/>
                <w:szCs w:val="20"/>
                <w:color w:val="auto"/>
              </w:rPr>
            </w:pPr>
            <w:r>
              <w:rPr>
                <w:rFonts w:ascii="Arial" w:cs="Arial" w:eastAsia="Arial" w:hAnsi="Arial"/>
                <w:sz w:val="20"/>
                <w:szCs w:val="20"/>
                <w:b w:val="1"/>
                <w:bCs w:val="1"/>
                <w:color w:val="auto"/>
              </w:rPr>
              <w:t>Item 9.01.</w:t>
            </w:r>
          </w:p>
        </w:tc>
        <w:tc>
          <w:tcPr>
            <w:tcW w:w="10160" w:type="dxa"/>
            <w:vAlign w:val="bottom"/>
            <w:gridSpan w:val="7"/>
          </w:tcPr>
          <w:p>
            <w:pPr>
              <w:ind w:left="180"/>
              <w:spacing w:after="0"/>
              <w:rPr>
                <w:sz w:val="20"/>
                <w:szCs w:val="20"/>
                <w:color w:val="auto"/>
              </w:rPr>
            </w:pPr>
            <w:r>
              <w:rPr>
                <w:rFonts w:ascii="Arial" w:cs="Arial" w:eastAsia="Arial" w:hAnsi="Arial"/>
                <w:sz w:val="20"/>
                <w:szCs w:val="20"/>
                <w:b w:val="1"/>
                <w:bCs w:val="1"/>
                <w:color w:val="auto"/>
              </w:rPr>
              <w:t>Financial Statements and Exhibits</w:t>
            </w:r>
          </w:p>
        </w:tc>
      </w:tr>
      <w:tr>
        <w:trPr>
          <w:trHeight w:val="428"/>
        </w:trPr>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4"/>
          </w:tcPr>
          <w:p>
            <w:pPr>
              <w:ind w:left="3540"/>
              <w:spacing w:after="0"/>
              <w:rPr>
                <w:sz w:val="20"/>
                <w:szCs w:val="20"/>
                <w:color w:val="auto"/>
              </w:rPr>
            </w:pPr>
            <w:r>
              <w:rPr>
                <w:rFonts w:ascii="Arial" w:cs="Arial" w:eastAsia="Arial" w:hAnsi="Arial"/>
                <w:sz w:val="20"/>
                <w:szCs w:val="20"/>
                <w:b w:val="1"/>
                <w:bCs w:val="1"/>
                <w:color w:val="auto"/>
              </w:rPr>
              <w:t>EXHIBIT</w:t>
            </w:r>
          </w:p>
        </w:tc>
      </w:tr>
      <w:tr>
        <w:trPr>
          <w:trHeight w:val="20"/>
        </w:trPr>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646"/>
        </w:trPr>
        <w:tc>
          <w:tcPr>
            <w:tcW w:w="1220" w:type="dxa"/>
            <w:vAlign w:val="bottom"/>
          </w:tcPr>
          <w:p>
            <w:pPr>
              <w:ind w:left="460"/>
              <w:spacing w:after="0"/>
              <w:rPr>
                <w:sz w:val="20"/>
                <w:szCs w:val="20"/>
                <w:color w:val="auto"/>
              </w:rPr>
            </w:pPr>
            <w:r>
              <w:rPr>
                <w:rFonts w:ascii="Arial" w:cs="Arial" w:eastAsia="Arial" w:hAnsi="Arial"/>
                <w:sz w:val="20"/>
                <w:szCs w:val="20"/>
                <w:color w:val="auto"/>
              </w:rPr>
              <w:t>Exhibit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100" w:type="dxa"/>
            <w:vAlign w:val="bottom"/>
            <w:gridSpan w:val="3"/>
          </w:tcPr>
          <w:p>
            <w:pPr>
              <w:ind w:left="800"/>
              <w:spacing w:after="0"/>
              <w:rPr>
                <w:sz w:val="20"/>
                <w:szCs w:val="20"/>
                <w:color w:val="auto"/>
              </w:rPr>
            </w:pPr>
            <w:r>
              <w:rPr>
                <w:rFonts w:ascii="Arial" w:cs="Arial" w:eastAsia="Arial" w:hAnsi="Arial"/>
                <w:sz w:val="20"/>
                <w:szCs w:val="20"/>
                <w:color w:val="auto"/>
              </w:rPr>
              <w:t>Description</w:t>
            </w:r>
          </w:p>
        </w:tc>
      </w:tr>
      <w:tr>
        <w:trPr>
          <w:trHeight w:val="23"/>
        </w:trPr>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10"/>
        </w:trPr>
        <w:tc>
          <w:tcPr>
            <w:tcW w:w="1220" w:type="dxa"/>
            <w:vAlign w:val="bottom"/>
          </w:tcPr>
          <w:p>
            <w:pPr>
              <w:ind w:left="20"/>
              <w:spacing w:after="0" w:line="209" w:lineRule="exact"/>
              <w:rPr>
                <w:sz w:val="20"/>
                <w:szCs w:val="20"/>
                <w:color w:val="auto"/>
              </w:rPr>
            </w:pPr>
            <w:r>
              <w:rPr>
                <w:rFonts w:ascii="Arial" w:cs="Arial" w:eastAsia="Arial" w:hAnsi="Arial"/>
                <w:sz w:val="20"/>
                <w:szCs w:val="20"/>
                <w:color w:val="auto"/>
              </w:rPr>
              <w:t>Exhibit 99.1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4"/>
          </w:tcPr>
          <w:p>
            <w:pPr>
              <w:spacing w:after="0" w:line="209" w:lineRule="exact"/>
              <w:rPr>
                <w:rFonts w:ascii="Arial" w:cs="Arial" w:eastAsia="Arial" w:hAnsi="Arial"/>
                <w:sz w:val="20"/>
                <w:szCs w:val="20"/>
                <w:color w:val="0000FF"/>
              </w:rPr>
            </w:pPr>
            <w:hyperlink w:anchor="page4">
              <w:r>
                <w:rPr>
                  <w:rFonts w:ascii="Arial" w:cs="Arial" w:eastAsia="Arial" w:hAnsi="Arial"/>
                  <w:sz w:val="20"/>
                  <w:szCs w:val="20"/>
                  <w:color w:val="0000FF"/>
                </w:rPr>
                <w:t>Press Release issued by General Motors Company, dated October 10, 2018.</w:t>
              </w:r>
            </w:hyperlink>
          </w:p>
        </w:tc>
      </w:tr>
      <w:tr>
        <w:trPr>
          <w:trHeight w:val="20"/>
        </w:trPr>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ectPr>
          <w:pgSz w:w="11900" w:h="16838" w:orient="portrait"/>
          <w:cols w:equalWidth="0" w:num="1">
            <w:col w:w="11420"/>
          </w:cols>
          <w:pgMar w:left="240" w:top="751"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4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80"/>
        <w:spacing w:after="0"/>
        <w:rPr>
          <w:sz w:val="20"/>
          <w:szCs w:val="20"/>
          <w:color w:val="auto"/>
        </w:rPr>
      </w:pPr>
      <w:r>
        <w:rPr>
          <w:rFonts w:ascii="Arial" w:cs="Arial" w:eastAsia="Arial" w:hAnsi="Arial"/>
          <w:sz w:val="20"/>
          <w:szCs w:val="20"/>
          <w:u w:val="single" w:color="auto"/>
          <w:color w:val="auto"/>
        </w:rPr>
        <w:t>GENERAL MOTORS COMPANY</w:t>
      </w:r>
    </w:p>
    <w:p>
      <w:pPr>
        <w:spacing w:after="0" w:line="5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(Registrant)</w:t>
      </w:r>
    </w:p>
    <w:p>
      <w:pPr>
        <w:spacing w:after="0" w:line="324"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27305</wp:posOffset>
            </wp:positionV>
            <wp:extent cx="3155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4"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Rick E. Hansen</w:t>
      </w:r>
    </w:p>
    <w:p>
      <w:pPr>
        <w:spacing w:after="0" w:line="67"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Assistant General Counsel and</w:t>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Corporate Secretary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 October 10, 2018</w:t>
      </w:r>
    </w:p>
    <w:p>
      <w:pPr>
        <w:sectPr>
          <w:pgSz w:w="11900" w:h="16838" w:orient="portrait"/>
          <w:cols w:equalWidth="0" w:num="1">
            <w:col w:w="11280"/>
          </w:cols>
          <w:pgMar w:left="240" w:top="125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Wednesday, Oct. 10, 2018</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Jami Miscik Appointed to GM Board of Directors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20"/>
          <w:szCs w:val="20"/>
          <w:b w:val="1"/>
          <w:bCs w:val="1"/>
          <w:color w:val="auto"/>
        </w:rPr>
        <w:t xml:space="preserve">DETROIT — </w:t>
      </w:r>
      <w:r>
        <w:rPr>
          <w:rFonts w:ascii="Arial" w:cs="Arial" w:eastAsia="Arial" w:hAnsi="Arial"/>
          <w:sz w:val="20"/>
          <w:szCs w:val="20"/>
          <w:color w:val="auto"/>
        </w:rPr>
        <w:t>General Motors Co. announced the election of Jami Miscik to its Board of Directors. An expert in global security and</w:t>
      </w:r>
      <w:r>
        <w:rPr>
          <w:rFonts w:ascii="Arial" w:cs="Arial" w:eastAsia="Arial" w:hAnsi="Arial"/>
          <w:sz w:val="20"/>
          <w:szCs w:val="20"/>
          <w:b w:val="1"/>
          <w:bCs w:val="1"/>
          <w:color w:val="auto"/>
        </w:rPr>
        <w:t xml:space="preserve"> </w:t>
      </w:r>
      <w:r>
        <w:rPr>
          <w:rFonts w:ascii="Arial" w:cs="Arial" w:eastAsia="Arial" w:hAnsi="Arial"/>
          <w:sz w:val="20"/>
          <w:szCs w:val="20"/>
          <w:color w:val="auto"/>
        </w:rPr>
        <w:t>intelligence, Miscik currently serves as the chief executive officer and vice chair of Kissinger Associates.</w:t>
      </w:r>
    </w:p>
    <w:p>
      <w:pPr>
        <w:spacing w:after="0" w:line="191" w:lineRule="exact"/>
        <w:rPr>
          <w:sz w:val="20"/>
          <w:szCs w:val="20"/>
          <w:color w:val="auto"/>
        </w:rPr>
      </w:pPr>
    </w:p>
    <w:p>
      <w:pPr>
        <w:ind w:right="360"/>
        <w:spacing w:after="0" w:line="243" w:lineRule="auto"/>
        <w:rPr>
          <w:sz w:val="20"/>
          <w:szCs w:val="20"/>
          <w:color w:val="auto"/>
        </w:rPr>
      </w:pPr>
      <w:r>
        <w:rPr>
          <w:rFonts w:ascii="Arial" w:cs="Arial" w:eastAsia="Arial" w:hAnsi="Arial"/>
          <w:sz w:val="20"/>
          <w:szCs w:val="20"/>
          <w:color w:val="auto"/>
        </w:rPr>
        <w:t>“Jami is a seasoned leader with experience in assessing the geopolitical and macroeconomic climate,” said GM Chairman and CEO Mary Barra. “Her unique and extensive background in intelligence, security and risk analysis and mitigation will add significant insights to GM’s board and the company’s overall strategy.”</w:t>
      </w:r>
    </w:p>
    <w:p>
      <w:pPr>
        <w:spacing w:after="0" w:line="220"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Miscik, 60, was appointed chief executive officer and vice chair of Kissinger Associates in July 2017, after serving as co-CEO and vice chair since 2015 and president and vice chair since 2009. Prior to joining Kissinger Associates, Miscik served as the deputy director of intelligence at the Central Intelligence Agency. She also previously held roles at Barclays Capital and Lehman Brothers.</w:t>
      </w:r>
    </w:p>
    <w:p>
      <w:pPr>
        <w:spacing w:after="0" w:line="203" w:lineRule="exact"/>
        <w:rPr>
          <w:sz w:val="20"/>
          <w:szCs w:val="20"/>
          <w:color w:val="auto"/>
        </w:rPr>
      </w:pPr>
    </w:p>
    <w:p>
      <w:pPr>
        <w:jc w:val="both"/>
        <w:ind w:right="280"/>
        <w:spacing w:after="0" w:line="243" w:lineRule="auto"/>
        <w:rPr>
          <w:sz w:val="20"/>
          <w:szCs w:val="20"/>
          <w:color w:val="auto"/>
        </w:rPr>
      </w:pPr>
      <w:r>
        <w:rPr>
          <w:rFonts w:ascii="Arial" w:cs="Arial" w:eastAsia="Arial" w:hAnsi="Arial"/>
          <w:sz w:val="20"/>
          <w:szCs w:val="20"/>
          <w:color w:val="auto"/>
        </w:rPr>
        <w:t>Miscik holds a master’s degree in international studies from the University of Denver and a bachelor’s degree in economics and political science from Pepperdine University. She serves on the board of directors at Morgan Stanley and as the co-vice chair of the Council on Foreign Relations. Miscik also previously served on the President’s Intelligence Advisory Board.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election of Miscik to the board brings GM’s Board of Directors to 12 members, 11 of whom are non-employee directors.</w:t>
      </w:r>
    </w:p>
    <w:p>
      <w:pPr>
        <w:spacing w:after="0" w:line="19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committed to delivering safer, better and more sustainable ways for people to get around. General Motors,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its joint venture entities sell vehicles under the Cadillac, Chevrolet, Baojun, Buick, GMC, Holden, Jiefang and Wuling brands. More information on the company and its subsidiaries, including OnStar, a global leader in vehicle safety and security services, Maven, its personal mobility brand, and Cruise, its autonomous vehicle ride-sharing company, can be found at http://www.gm.com.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Stephanie 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313-269-3203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Stephanie.rice@gm.com</w:t>
      </w:r>
    </w:p>
    <w:sectPr>
      <w:pgSz w:w="11900" w:h="16838" w:orient="portrait"/>
      <w:cols w:equalWidth="0" w:num="1">
        <w:col w:w="11420"/>
      </w:cols>
      <w:pgMar w:left="240" w:top="7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2019-12-28T19:16:16Z</dcterms:created>
  <dcterms:modified xsi:type="dcterms:W3CDTF">2019-12-28T19:16:16Z</dcterms:modified>
</cp:coreProperties>
</file>