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-234950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-627380</wp:posOffset>
            </wp:positionV>
            <wp:extent cx="58420" cy="6407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3985895</wp:posOffset>
            </wp:positionH>
            <wp:positionV relativeFrom="paragraph">
              <wp:posOffset>-627380</wp:posOffset>
            </wp:positionV>
            <wp:extent cx="58420" cy="640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52946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294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8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Gooden Linda R</w:t>
        </w:r>
      </w:hyperlink>
    </w:p>
    <w:p>
      <w:pPr>
        <w:spacing w:after="0" w:line="29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 RENAISSANCE CENTER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M/C: 482-C24-A68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1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48265-3000</w:t>
            </w: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5"/>
                  <w:szCs w:val="15"/>
                  <w:color w:val="0000EE"/>
                </w:rPr>
                <w:t xml:space="preserve">General Motors Co </w:t>
              </w:r>
            </w:hyperlink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GM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80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1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12/31/2023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1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320" w:right="6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8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2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5,476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 Units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12/31/2023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jc w:val="right"/>
              <w:ind w:right="2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5,476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38,348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("DSUs")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 Units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12/31/2023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jc w:val="right"/>
              <w:ind w:right="6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373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38,721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("DSUs")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64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Amounts credited as DSUs will be paid in cash after the non-employee director leaves the Board, valued at the average closing price of the Company's Common Stock during the quarter immediately preceding payment.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dividends accrued on DSUs in 2023 that were credited as additional DSUs at the end of the year.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Tia Y. Turk, Attorney-In-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01/03/2024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400" w:type="dxa"/>
            <w:vAlign w:val="bottom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Fact for Ms. Gooden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4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7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8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82867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2024-01-03T16:28:10Z</dcterms:created>
  <dcterms:modified xsi:type="dcterms:W3CDTF">2024-01-03T16:28:10Z</dcterms:modified>
</cp:coreProperties>
</file>