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2 )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General Motors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37045V100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37045V100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Capital Research Global Investors</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95-1411037</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Delaware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 SOLE VOTING POWER</w:t>
            </w:r>
          </w:p>
        </w:tc>
        <w:tc>
          <w:tcPr>
            <w:tcW w:w="57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78,399,962</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78,403,820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60" w:type="dxa"/>
            <w:vAlign w:val="bottom"/>
            <w:vMerge w:val="continue"/>
          </w:tcPr>
          <w:p>
            <w:pPr>
              <w:spacing w:after="0"/>
              <w:rPr>
                <w:sz w:val="24"/>
                <w:szCs w:val="24"/>
                <w:color w:val="auto"/>
              </w:rPr>
            </w:pPr>
          </w:p>
        </w:tc>
        <w:tc>
          <w:tcPr>
            <w:tcW w:w="5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78,403,820 Beneficial ownership disclaimed pursuant to Rule 13d-4</w:t>
            </w: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5.5%</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580" w:right="7740" w:hanging="667"/>
        <w:spacing w:after="0" w:line="286" w:lineRule="auto"/>
        <w:tabs>
          <w:tab w:leader="none" w:pos="158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Issuer </w:t>
      </w:r>
      <w:r>
        <w:rPr>
          <w:rFonts w:ascii="Times New Roman" w:cs="Times New Roman" w:eastAsia="Times New Roman" w:hAnsi="Times New Roman"/>
          <w:sz w:val="21"/>
          <w:szCs w:val="21"/>
          <w:color w:val="auto"/>
        </w:rPr>
        <w:t>General Motors Co.</w:t>
      </w:r>
    </w:p>
    <w:p>
      <w:pPr>
        <w:spacing w:after="0" w:line="45" w:lineRule="exact"/>
        <w:rPr>
          <w:rFonts w:ascii="Times New Roman" w:cs="Times New Roman" w:eastAsia="Times New Roman" w:hAnsi="Times New Roman"/>
          <w:sz w:val="21"/>
          <w:szCs w:val="21"/>
          <w:b w:val="1"/>
          <w:bCs w:val="1"/>
          <w:color w:val="auto"/>
        </w:rPr>
      </w:pPr>
    </w:p>
    <w:p>
      <w:pPr>
        <w:jc w:val="both"/>
        <w:ind w:left="1580" w:right="5100" w:hanging="667"/>
        <w:spacing w:after="0" w:line="286" w:lineRule="auto"/>
        <w:tabs>
          <w:tab w:leader="none" w:pos="158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Issuer's Principal Executive Offices </w:t>
      </w:r>
      <w:r>
        <w:rPr>
          <w:rFonts w:ascii="Times New Roman" w:cs="Times New Roman" w:eastAsia="Times New Roman" w:hAnsi="Times New Roman"/>
          <w:sz w:val="21"/>
          <w:szCs w:val="21"/>
          <w:color w:val="auto"/>
        </w:rPr>
        <w:t>300 Renaissance Center, , Detroit, MI 48265-3000</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580" w:hanging="667"/>
        <w:spacing w:after="0"/>
        <w:tabs>
          <w:tab w:leader="none" w:pos="158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Person Filing</w:t>
      </w:r>
    </w:p>
    <w:p>
      <w:pPr>
        <w:spacing w:after="0" w:line="18" w:lineRule="exact"/>
        <w:rPr>
          <w:rFonts w:ascii="Times New Roman" w:cs="Times New Roman" w:eastAsia="Times New Roman" w:hAnsi="Times New Roman"/>
          <w:sz w:val="22"/>
          <w:szCs w:val="22"/>
          <w:b w:val="1"/>
          <w:bCs w:val="1"/>
          <w:color w:val="auto"/>
        </w:rPr>
      </w:pPr>
    </w:p>
    <w:p>
      <w:pPr>
        <w:ind w:left="158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Capital Research Global Investors</w:t>
      </w:r>
    </w:p>
    <w:p>
      <w:pPr>
        <w:spacing w:after="0" w:line="97" w:lineRule="exact"/>
        <w:rPr>
          <w:rFonts w:ascii="Times New Roman" w:cs="Times New Roman" w:eastAsia="Times New Roman" w:hAnsi="Times New Roman"/>
          <w:sz w:val="22"/>
          <w:szCs w:val="22"/>
          <w:b w:val="1"/>
          <w:bCs w:val="1"/>
          <w:color w:val="auto"/>
        </w:rPr>
      </w:pPr>
    </w:p>
    <w:p>
      <w:pPr>
        <w:ind w:left="1580" w:right="4060" w:hanging="667"/>
        <w:spacing w:after="0" w:line="286" w:lineRule="auto"/>
        <w:tabs>
          <w:tab w:leader="none" w:pos="158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Principal Business Office or, if None, Residence </w:t>
      </w:r>
      <w:r>
        <w:rPr>
          <w:rFonts w:ascii="Times New Roman" w:cs="Times New Roman" w:eastAsia="Times New Roman" w:hAnsi="Times New Roman"/>
          <w:sz w:val="21"/>
          <w:szCs w:val="21"/>
          <w:color w:val="auto"/>
        </w:rPr>
        <w:t>333 South Hope Street, 55th Fl, Los Angeles, CA 90071</w:t>
      </w:r>
    </w:p>
    <w:p>
      <w:pPr>
        <w:spacing w:after="0" w:line="45" w:lineRule="exact"/>
        <w:rPr>
          <w:rFonts w:ascii="Times New Roman" w:cs="Times New Roman" w:eastAsia="Times New Roman" w:hAnsi="Times New Roman"/>
          <w:sz w:val="21"/>
          <w:szCs w:val="21"/>
          <w:b w:val="1"/>
          <w:bCs w:val="1"/>
          <w:color w:val="auto"/>
        </w:rPr>
      </w:pPr>
    </w:p>
    <w:p>
      <w:pPr>
        <w:ind w:left="1580" w:right="8420" w:hanging="667"/>
        <w:spacing w:after="0" w:line="286" w:lineRule="auto"/>
        <w:tabs>
          <w:tab w:leader="none" w:pos="158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Citizenship </w:t>
      </w:r>
      <w:r>
        <w:rPr>
          <w:rFonts w:ascii="Times New Roman" w:cs="Times New Roman" w:eastAsia="Times New Roman" w:hAnsi="Times New Roman"/>
          <w:sz w:val="21"/>
          <w:szCs w:val="21"/>
          <w:color w:val="auto"/>
        </w:rPr>
        <w:t>N/A</w:t>
      </w:r>
    </w:p>
    <w:p>
      <w:pPr>
        <w:spacing w:after="0" w:line="45" w:lineRule="exact"/>
        <w:rPr>
          <w:rFonts w:ascii="Times New Roman" w:cs="Times New Roman" w:eastAsia="Times New Roman" w:hAnsi="Times New Roman"/>
          <w:sz w:val="21"/>
          <w:szCs w:val="21"/>
          <w:b w:val="1"/>
          <w:bCs w:val="1"/>
          <w:color w:val="auto"/>
        </w:rPr>
      </w:pPr>
    </w:p>
    <w:p>
      <w:pPr>
        <w:ind w:left="1580" w:right="7060" w:hanging="667"/>
        <w:spacing w:after="0" w:line="262" w:lineRule="auto"/>
        <w:tabs>
          <w:tab w:leader="none" w:pos="158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580" w:right="8000" w:hanging="667"/>
        <w:spacing w:after="0" w:line="286" w:lineRule="auto"/>
        <w:tabs>
          <w:tab w:leader="none" w:pos="158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37045V100</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ectPr>
          <w:pgSz w:w="11900" w:h="16838" w:orient="portrait"/>
          <w:cols w:equalWidth="0" w:num="1">
            <w:col w:w="11040"/>
          </w:cols>
          <w:pgMar w:left="400" w:top="419" w:right="459" w:bottom="0" w:gutter="0" w:footer="0" w:header="0"/>
        </w:sectPr>
      </w:pPr>
    </w:p>
    <w:p>
      <w:pPr>
        <w:spacing w:after="0" w:line="129"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2"/>
          <w:szCs w:val="22"/>
          <w:color w:val="auto"/>
        </w:rPr>
        <w:t>[X]</w:t>
      </w:r>
    </w:p>
    <w:p>
      <w:pPr>
        <w:spacing w:after="0" w:line="125"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22"/>
          <w:szCs w:val="22"/>
          <w:color w:val="auto"/>
        </w:rPr>
        <w:t>(f)</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22"/>
          <w:szCs w:val="22"/>
          <w:color w:val="auto"/>
        </w:rPr>
        <w:t>(g)</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22"/>
          <w:szCs w:val="22"/>
          <w:color w:val="auto"/>
        </w:rPr>
        <w:t>(h)</w:t>
      </w:r>
      <w:r>
        <w:rPr>
          <w:sz w:val="20"/>
          <w:szCs w:val="20"/>
          <w:color w:val="auto"/>
        </w:rPr>
        <w:tab/>
      </w:r>
      <w:r>
        <w:rPr>
          <w:rFonts w:ascii="Times New Roman" w:cs="Times New Roman" w:eastAsia="Times New Roman" w:hAnsi="Times New Roman"/>
          <w:sz w:val="22"/>
          <w:szCs w:val="22"/>
          <w:color w:val="auto"/>
        </w:rPr>
        <w:t>[ ]</w:t>
      </w:r>
    </w:p>
    <w:p>
      <w:pPr>
        <w:spacing w:after="0" w:line="368"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22"/>
          <w:szCs w:val="22"/>
          <w:color w:val="auto"/>
        </w:rPr>
        <w:t>(j)</w:t>
      </w:r>
      <w:r>
        <w:rPr>
          <w:sz w:val="20"/>
          <w:szCs w:val="20"/>
          <w:color w:val="auto"/>
        </w:rPr>
        <w:tab/>
      </w:r>
      <w:r>
        <w:rPr>
          <w:rFonts w:ascii="Times New Roman" w:cs="Times New Roman" w:eastAsia="Times New Roman" w:hAnsi="Times New Roman"/>
          <w:sz w:val="22"/>
          <w:szCs w:val="22"/>
          <w:color w:val="auto"/>
        </w:rPr>
        <w:t>[ ]</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80a-8).</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ind w:right="560"/>
        <w:spacing w:after="0" w:line="375" w:lineRule="auto"/>
        <w:rPr>
          <w:sz w:val="20"/>
          <w:szCs w:val="20"/>
          <w:color w:val="auto"/>
        </w:rPr>
      </w:pPr>
      <w:r>
        <w:rPr>
          <w:rFonts w:ascii="Times New Roman" w:cs="Times New Roman" w:eastAsia="Times New Roman" w:hAnsi="Times New Roman"/>
          <w:sz w:val="21"/>
          <w:szCs w:val="21"/>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7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A church plan that is excluded from the definition of an investment company under Section 3(c)(14) of the Investment Company Act of 1940 (15 U.S.C. 80a-3);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Group, in accordance with Rule 240.13d-1(b)(1)(ii)(J).</w:t>
      </w:r>
    </w:p>
    <w:p>
      <w:pPr>
        <w:spacing w:after="0" w:line="503" w:lineRule="exact"/>
        <w:rPr>
          <w:sz w:val="20"/>
          <w:szCs w:val="20"/>
          <w:color w:val="auto"/>
        </w:rPr>
      </w:pPr>
    </w:p>
    <w:p>
      <w:pPr>
        <w:sectPr>
          <w:pgSz w:w="11900" w:h="16838" w:orient="portrait"/>
          <w:cols w:equalWidth="0" w:num="2">
            <w:col w:w="1980" w:space="340"/>
            <w:col w:w="8720"/>
          </w:cols>
          <w:pgMar w:left="400" w:top="419" w:right="459" w:bottom="0" w:gutter="0" w:footer="0" w:header="0"/>
          <w:type w:val="continuous"/>
        </w:sectPr>
      </w:pPr>
    </w:p>
    <w:p>
      <w:pPr>
        <w:ind w:right="68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40"/>
          </w:cols>
          <w:pgMar w:left="400" w:top="419" w:right="459" w:bottom="0" w:gutter="0" w:footer="0" w:header="0"/>
          <w:type w:val="continuous"/>
        </w:sectPr>
      </w:pPr>
    </w:p>
    <w:p>
      <w:pPr>
        <w:spacing w:after="0" w:line="77" w:lineRule="exact"/>
        <w:rPr>
          <w:sz w:val="20"/>
          <w:szCs w:val="20"/>
          <w:color w:val="auto"/>
        </w:rPr>
      </w:pPr>
    </w:p>
    <w:p>
      <w:pPr>
        <w:ind w:left="1580" w:hanging="667"/>
        <w:spacing w:after="0"/>
        <w:tabs>
          <w:tab w:leader="none" w:pos="15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5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78,403,820 **</w:t>
      </w:r>
    </w:p>
    <w:p>
      <w:pPr>
        <w:spacing w:after="0" w:line="125" w:lineRule="exact"/>
        <w:rPr>
          <w:rFonts w:ascii="Times New Roman" w:cs="Times New Roman" w:eastAsia="Times New Roman" w:hAnsi="Times New Roman"/>
          <w:sz w:val="22"/>
          <w:szCs w:val="22"/>
          <w:color w:val="auto"/>
        </w:rPr>
      </w:pPr>
    </w:p>
    <w:p>
      <w:pPr>
        <w:ind w:left="1580" w:hanging="667"/>
        <w:spacing w:after="0"/>
        <w:tabs>
          <w:tab w:leader="none" w:pos="15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5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5.5%</w:t>
      </w:r>
    </w:p>
    <w:p>
      <w:pPr>
        <w:spacing w:after="0" w:line="125" w:lineRule="exact"/>
        <w:rPr>
          <w:rFonts w:ascii="Times New Roman" w:cs="Times New Roman" w:eastAsia="Times New Roman" w:hAnsi="Times New Roman"/>
          <w:sz w:val="22"/>
          <w:szCs w:val="22"/>
          <w:color w:val="auto"/>
        </w:rPr>
      </w:pPr>
    </w:p>
    <w:p>
      <w:pPr>
        <w:ind w:left="1580" w:hanging="667"/>
        <w:spacing w:after="0"/>
        <w:tabs>
          <w:tab w:leader="none" w:pos="15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2320" w:hanging="745"/>
        <w:spacing w:after="0"/>
        <w:tabs>
          <w:tab w:leader="none" w:pos="232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125" w:lineRule="exact"/>
        <w:rPr>
          <w:rFonts w:ascii="Times New Roman" w:cs="Times New Roman" w:eastAsia="Times New Roman" w:hAnsi="Times New Roman"/>
          <w:sz w:val="22"/>
          <w:szCs w:val="22"/>
          <w:color w:val="auto"/>
        </w:rPr>
      </w:pPr>
    </w:p>
    <w:p>
      <w:pPr>
        <w:ind w:left="2320" w:hanging="745"/>
        <w:spacing w:after="0"/>
        <w:tabs>
          <w:tab w:leader="none" w:pos="232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125" w:lineRule="exact"/>
        <w:rPr>
          <w:rFonts w:ascii="Times New Roman" w:cs="Times New Roman" w:eastAsia="Times New Roman" w:hAnsi="Times New Roman"/>
          <w:sz w:val="22"/>
          <w:szCs w:val="22"/>
          <w:color w:val="auto"/>
        </w:rPr>
      </w:pPr>
    </w:p>
    <w:p>
      <w:pPr>
        <w:ind w:left="2320" w:hanging="745"/>
        <w:spacing w:after="0"/>
        <w:tabs>
          <w:tab w:leader="none" w:pos="2320" w:val="left"/>
        </w:tabs>
        <w:numPr>
          <w:ilvl w:val="1"/>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 power to dispose or to direct the disposition of</w:t>
      </w:r>
    </w:p>
    <w:p>
      <w:pPr>
        <w:spacing w:after="0" w:line="172" w:lineRule="exact"/>
        <w:rPr>
          <w:rFonts w:ascii="Times New Roman" w:cs="Times New Roman" w:eastAsia="Times New Roman" w:hAnsi="Times New Roman"/>
          <w:sz w:val="39"/>
          <w:szCs w:val="39"/>
          <w:color w:val="auto"/>
          <w:vertAlign w:val="subscript"/>
        </w:rPr>
      </w:pPr>
    </w:p>
    <w:p>
      <w:pPr>
        <w:ind w:left="2320" w:right="780" w:hanging="745"/>
        <w:spacing w:after="0" w:line="185" w:lineRule="auto"/>
        <w:tabs>
          <w:tab w:leader="none" w:pos="2320" w:val="left"/>
        </w:tabs>
        <w:numPr>
          <w:ilvl w:val="1"/>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78,399,962</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78,403,820</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6" w:lineRule="exact"/>
        <w:rPr>
          <w:sz w:val="20"/>
          <w:szCs w:val="20"/>
          <w:color w:val="auto"/>
        </w:rPr>
      </w:pPr>
    </w:p>
    <w:p>
      <w:pPr>
        <w:sectPr>
          <w:pgSz w:w="11900" w:h="16838" w:orient="portrait"/>
          <w:cols w:equalWidth="0" w:num="2">
            <w:col w:w="6500" w:space="280"/>
            <w:col w:w="4260"/>
          </w:cols>
          <w:pgMar w:left="400" w:top="419" w:right="459" w:bottom="0" w:gutter="0" w:footer="0" w:header="0"/>
          <w:type w:val="continuous"/>
        </w:sectPr>
      </w:pPr>
    </w:p>
    <w:p>
      <w:pPr>
        <w:spacing w:after="0" w:line="251" w:lineRule="auto"/>
        <w:rPr>
          <w:sz w:val="20"/>
          <w:szCs w:val="20"/>
          <w:color w:val="auto"/>
        </w:rPr>
      </w:pPr>
      <w:r>
        <w:rPr>
          <w:rFonts w:ascii="Times New Roman" w:cs="Times New Roman" w:eastAsia="Times New Roman" w:hAnsi="Times New Roman"/>
          <w:sz w:val="21"/>
          <w:szCs w:val="21"/>
          <w:color w:val="auto"/>
        </w:rPr>
        <w:t>**Capital Research Global Investors ("CRGI")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CRGI's divisions of each of the investment management entities collectively provide investment management services under</w:t>
      </w:r>
    </w:p>
    <w:p>
      <w:pPr>
        <w:sectPr>
          <w:pgSz w:w="11900" w:h="16838" w:orient="portrait"/>
          <w:cols w:equalWidth="0" w:num="1">
            <w:col w:w="11040"/>
          </w:cols>
          <w:pgMar w:left="400" w:top="419" w:right="459" w:bottom="0" w:gutter="0" w:footer="0" w:header="0"/>
          <w:type w:val="continuous"/>
        </w:sectPr>
      </w:pPr>
    </w:p>
    <w:bookmarkStart w:id="3" w:name="page4"/>
    <w:bookmarkEnd w:id="3"/>
    <w:p>
      <w:pPr>
        <w:ind w:right="20"/>
        <w:spacing w:after="0" w:line="259" w:lineRule="auto"/>
        <w:rPr>
          <w:sz w:val="20"/>
          <w:szCs w:val="20"/>
          <w:color w:val="auto"/>
        </w:rPr>
      </w:pPr>
      <w:r>
        <w:rPr>
          <w:rFonts w:ascii="Times New Roman" w:cs="Times New Roman" w:eastAsia="Times New Roman" w:hAnsi="Times New Roman"/>
          <w:sz w:val="22"/>
          <w:szCs w:val="22"/>
          <w:color w:val="auto"/>
        </w:rPr>
        <w:t>the name "Capital Research Global Investors." CRGI is deemed to be the beneficial owner of 78,403,820 shares or 5.5% of the 1,420,696,787 shares believed to be outstanding.</w:t>
      </w:r>
    </w:p>
    <w:p>
      <w:pPr>
        <w:spacing w:after="0" w:line="7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129"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ind w:left="920" w:right="360" w:hanging="903"/>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 This schedule is not being filed pursuant to Rule 13d-1(b)(1)(ii)(J) or Rule 13d-1(d).</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00" w:top="112" w:right="499" w:bottom="1440" w:gutter="0" w:footer="0" w:header="0"/>
        </w:sectPr>
      </w:pPr>
    </w:p>
    <w:bookmarkStart w:id="4" w:name="page5"/>
    <w:bookmarkEnd w:id="4"/>
    <w:p>
      <w:pPr>
        <w:ind w:left="388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2" w:lineRule="exact"/>
        <w:rPr>
          <w:sz w:val="20"/>
          <w:szCs w:val="20"/>
          <w:color w:val="auto"/>
        </w:rPr>
      </w:pPr>
    </w:p>
    <w:p>
      <w:pPr>
        <w:ind w:left="60" w:right="10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Capital Research Global Investors</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Donald H. Rolfe</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Date: February 14, 2023</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Name: Donald H. Rolfe</w:t>
      </w:r>
    </w:p>
    <w:p>
      <w:pPr>
        <w:spacing w:after="0" w:line="44" w:lineRule="exact"/>
        <w:rPr>
          <w:sz w:val="20"/>
          <w:szCs w:val="20"/>
          <w:color w:val="auto"/>
        </w:rPr>
      </w:pPr>
    </w:p>
    <w:p>
      <w:pPr>
        <w:ind w:left="600"/>
        <w:spacing w:after="0" w:line="258" w:lineRule="auto"/>
        <w:rPr>
          <w:sz w:val="20"/>
          <w:szCs w:val="20"/>
          <w:color w:val="auto"/>
        </w:rPr>
      </w:pPr>
      <w:r>
        <w:rPr>
          <w:rFonts w:ascii="Times New Roman" w:cs="Times New Roman" w:eastAsia="Times New Roman" w:hAnsi="Times New Roman"/>
          <w:sz w:val="22"/>
          <w:szCs w:val="22"/>
          <w:color w:val="auto"/>
        </w:rPr>
        <w:t>Title: Senior Vice President and Senior Counsel, Fund Business Management Group, Capital Research and Management Company</w:t>
      </w:r>
    </w:p>
    <w:sectPr>
      <w:pgSz w:w="11900" w:h="16838" w:orient="portrait"/>
      <w:cols w:equalWidth="0" w:num="1">
        <w:col w:w="9840"/>
      </w:cols>
      <w:pgMar w:left="1440" w:top="405"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2]"/>
      <w:numFmt w:val="upperLetter"/>
      <w:start w:val="24"/>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2023-02-13T14:41:30Z</dcterms:created>
  <dcterms:modified xsi:type="dcterms:W3CDTF">2023-02-13T14:41:30Z</dcterms:modified>
</cp:coreProperties>
</file>