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0757505.xml.htm"/>
      <w:bookmarkStart w:id="1" w:name="kswkform4_17707575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Hatto Christopher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 WOODWARD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M/C: 482-22381-1003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DETROIT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48265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General Motors Co</w:t>
              </w:r>
            </w:hyperlink>
            <w:r>
              <w:rPr/>
              <w:t xml:space="preserve"> [ </w:t>
            </w:r>
            <w:r>
              <w:rPr>
                <w:rFonts w:ascii="Times;serif" w:hAnsi="Times;serif"/>
                <w:color w:val="0000FF"/>
                <w:sz w:val="24"/>
                <w:shd w:fill="FFFFFF" w:val="clear"/>
              </w:rPr>
              <w:t>GM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President &amp; CAO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30"/>
        <w:gridCol w:w="453"/>
        <w:gridCol w:w="755"/>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15,857</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645</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84.24</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15,212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29,434</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44,646</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02/07/2026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11,957</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84.24</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32,689</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66"/>
        <w:gridCol w:w="906"/>
        <w:gridCol w:w="801"/>
        <w:gridCol w:w="891"/>
        <w:gridCol w:w="68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2,411</w:t>
            </w:r>
            <w:r>
              <w:rPr>
                <w:rFonts w:ascii="Times;serif" w:hAnsi="Times;serif"/>
                <w:color w:val="008000"/>
                <w:position w:val="7"/>
                <w:sz w:val="16"/>
                <w:sz w:val="20"/>
                <w:shd w:fill="FFFFFF" w:val="clear"/>
              </w:rPr>
              <w:t>(4)</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2,410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("RSU") converts into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February 7, 2023, the Reporting Person received a grant of Performance Stock Units ("PSUs"). Under the grant, the PSUs could be earned based on the achievement of certain financial targets. The PSUs vested on February 7, 2026, and were awarded in shares of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RSUs do not have a conversion or exercise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RSUs were awarded on February 6, 2024. Two-thirds of the RSUs vested on February 6, 2025 and on February 6, 2026, respectively. The remaining one-third will vest on February 6, 2027. Each RSU represents a right to receive one share of the Company's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RSUs do not have a date on which they become exercisable or expire.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Tia Y. Turk, Attorney-In-Fact for Mr. Hatto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92153" TargetMode="External"/><Relationship Id="rId5" Type="http://schemas.openxmlformats.org/officeDocument/2006/relationships/hyperlink" Target="http://www.sec.gov/cgi-bin/browse-edgar?action=getcompany&amp;CIK=00014678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744</Words>
  <Characters>3916</Characters>
  <CharactersWithSpaces>4565</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