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3E3935"/>
        </w:rPr>
        <w:t>UNITED STATES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3E3935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3E3935"/>
        </w:rPr>
        <w:t>Washington, D.C. 20549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3E3935"/>
        </w:rPr>
        <w:t>SCHEDULE 14A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jc w:val="center"/>
        <w:ind w:right="-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3E3935"/>
        </w:rPr>
        <w:t>Proxy Statement Pursuant to Section 14(a) of the Securities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-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3E3935"/>
        </w:rPr>
        <w:t>Exchange Act of 1934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right"/>
        <w:ind w:right="1139"/>
        <w:spacing w:after="0" w:line="150" w:lineRule="exact"/>
        <w:tabs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3"/>
          <w:szCs w:val="13"/>
          <w:color w:val="3E3935"/>
        </w:rPr>
        <w:t>☑</w:t>
      </w:r>
      <w:r>
        <w:rPr>
          <w:rFonts w:ascii="Arial" w:cs="Arial" w:eastAsia="Arial" w:hAnsi="Arial"/>
          <w:sz w:val="13"/>
          <w:szCs w:val="13"/>
          <w:color w:val="3E3935"/>
        </w:rPr>
        <w:t xml:space="preserve"> 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3"/>
          <w:szCs w:val="13"/>
          <w:color w:val="3E3935"/>
        </w:rPr>
        <w:t xml:space="preserve">☐ </w:t>
      </w:r>
      <w:r>
        <w:rPr>
          <w:rFonts w:ascii="Arial" w:cs="Arial" w:eastAsia="Arial" w:hAnsi="Arial"/>
          <w:sz w:val="13"/>
          <w:szCs w:val="13"/>
          <w:color w:val="3E3935"/>
        </w:rPr>
        <w:t>Filed by a Party other than the Registrant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3E3935"/>
        </w:rPr>
        <w:t>Check the appropriate box: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-95250</wp:posOffset>
            </wp:positionH>
            <wp:positionV relativeFrom="paragraph">
              <wp:posOffset>-158750</wp:posOffset>
            </wp:positionV>
            <wp:extent cx="6986905" cy="10287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690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3E3935"/>
        </w:rPr>
      </w:pPr>
      <w:r>
        <w:rPr>
          <w:rFonts w:ascii="Arial" w:cs="Arial" w:eastAsia="Arial" w:hAnsi="Arial"/>
          <w:sz w:val="14"/>
          <w:szCs w:val="14"/>
          <w:color w:val="3E3935"/>
        </w:rPr>
        <w:t>Preliminary Proxy Statement</w:t>
      </w:r>
    </w:p>
    <w:p>
      <w:pPr>
        <w:spacing w:after="0" w:line="85" w:lineRule="exact"/>
        <w:rPr>
          <w:rFonts w:ascii="MS PGothic" w:cs="MS PGothic" w:eastAsia="MS PGothic" w:hAnsi="MS PGothic"/>
          <w:sz w:val="18"/>
          <w:szCs w:val="18"/>
          <w:color w:val="3E3935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3E3935"/>
        </w:rPr>
      </w:pPr>
      <w:r>
        <w:rPr>
          <w:rFonts w:ascii="Arial" w:cs="Arial" w:eastAsia="Arial" w:hAnsi="Arial"/>
          <w:sz w:val="14"/>
          <w:szCs w:val="14"/>
          <w:color w:val="3E3935"/>
        </w:rPr>
        <w:t>CONFIDENTIAL, FOR USE OF THE COMMISSION ONLY (AS PERMITTED BY RULE 14a-6(e)(2))</w:t>
      </w:r>
    </w:p>
    <w:p>
      <w:pPr>
        <w:spacing w:after="0" w:line="85" w:lineRule="exact"/>
        <w:rPr>
          <w:rFonts w:ascii="MS PGothic" w:cs="MS PGothic" w:eastAsia="MS PGothic" w:hAnsi="MS PGothic"/>
          <w:sz w:val="18"/>
          <w:szCs w:val="18"/>
          <w:color w:val="3E3935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3E3935"/>
        </w:rPr>
      </w:pPr>
      <w:r>
        <w:rPr>
          <w:rFonts w:ascii="Arial" w:cs="Arial" w:eastAsia="Arial" w:hAnsi="Arial"/>
          <w:sz w:val="14"/>
          <w:szCs w:val="14"/>
          <w:color w:val="3E3935"/>
        </w:rPr>
        <w:t>Definitive Proxy Statement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3E3935"/>
        </w:rPr>
      </w:pPr>
      <w:r>
        <w:rPr>
          <w:rFonts w:ascii="Arial" w:cs="Arial" w:eastAsia="Arial" w:hAnsi="Arial"/>
          <w:sz w:val="14"/>
          <w:szCs w:val="14"/>
          <w:color w:val="3E3935"/>
        </w:rPr>
        <w:t>Definitive Additional Materials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40" w:hanging="333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3E3935"/>
        </w:rPr>
      </w:pPr>
      <w:r>
        <w:rPr>
          <w:rFonts w:ascii="Arial" w:cs="Arial" w:eastAsia="Arial" w:hAnsi="Arial"/>
          <w:sz w:val="14"/>
          <w:szCs w:val="14"/>
          <w:color w:val="3E3935"/>
        </w:rPr>
        <w:t>Soliciting Material under ss.240.14a-12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1"/>
          <w:szCs w:val="31"/>
          <w:b w:val="1"/>
          <w:bCs w:val="1"/>
          <w:color w:val="0071CE"/>
        </w:rPr>
        <w:t>GENERAL MOTORS COMPANY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3E3935"/>
        </w:rPr>
        <w:t>300 Renaissance Center, Detroit, Michigan 48265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i w:val="1"/>
          <w:iCs w:val="1"/>
          <w:color w:val="3E3935"/>
        </w:rPr>
        <w:t>(Name of Registrant as Specified In Its Charter)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-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i w:val="1"/>
          <w:iCs w:val="1"/>
          <w:color w:val="3E3935"/>
        </w:rPr>
        <w:t>(Name of Person(s) Filing Proxy Statement, if other than the Registrant)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3E3935"/>
        </w:rPr>
        <w:t>Payment of Filing Fee (Check all boxes that apply):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-95250</wp:posOffset>
            </wp:positionH>
            <wp:positionV relativeFrom="paragraph">
              <wp:posOffset>-158750</wp:posOffset>
            </wp:positionV>
            <wp:extent cx="6986905" cy="1037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6905" cy="103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00" w:hanging="313"/>
        <w:spacing w:after="0"/>
        <w:tabs>
          <w:tab w:leader="none" w:pos="40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3E3935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3E3935"/>
        </w:rPr>
        <w:t>No fee required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3E3935"/>
        </w:rPr>
        <w:t>☐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3E3935"/>
        </w:rPr>
        <w:t>Fee paid previously with preliminary materials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 w:line="14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4"/>
          <w:szCs w:val="14"/>
          <w:color w:val="3E3935"/>
        </w:rPr>
        <w:t>☐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3E3935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9859"/>
          </w:cols>
          <w:pgMar w:left="600" w:top="238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4778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47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☑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2022-04-29T11:21:37Z</dcterms:created>
  <dcterms:modified xsi:type="dcterms:W3CDTF">2022-04-29T11:21:37Z</dcterms:modified>
</cp:coreProperties>
</file>