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23, 2024</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On April 23, 2024, General Motors Company (GM) issued a news release and supplemental materials on the subject of its 2024 first quarter consolidated earnings. The news release and supplemental materials are attached as Exhibit 99.1.</w:t>
      </w:r>
    </w:p>
    <w:p>
      <w:pPr>
        <w:spacing w:after="0" w:line="18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2024 first quarter consolidated earnings release are available on GM's website at www.gm.com/investors/earnings-releases.html.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6"/>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April 23, 2024</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April 23, 2024</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April 23, 2024, at 6:30 a.m. ET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2024 First-Quarter Results and Raises Full-Year Guidance</w:t>
      </w:r>
    </w:p>
    <w:p>
      <w:pPr>
        <w:spacing w:after="0" w:line="24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first-quarter 2024 revenue of $43.0 billion,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$3.0 billion and EBIT-adjusted of $3.9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GM is also updating its 2024 full-year earnings guidance:</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Updated 2024 Guidance</w:t>
            </w:r>
          </w:p>
        </w:tc>
        <w:tc>
          <w:tcPr>
            <w:tcW w:w="3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Previous 2024 Guidance</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$10.1 billion - $11.5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$9.8 billion - $11.2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$12.5 billion - $14.5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$12.0 billion - $14.0 billion</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$18.3 billion - $21.3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$18.0 billion - $21.0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$8.5 billion - $10.5 billion</w:t>
            </w:r>
          </w:p>
        </w:tc>
        <w:tc>
          <w:tcPr>
            <w:tcW w:w="3720" w:type="dxa"/>
            <w:vAlign w:val="bottom"/>
          </w:tcPr>
          <w:p>
            <w:pPr>
              <w:ind w:left="620"/>
              <w:spacing w:after="0"/>
              <w:rPr>
                <w:sz w:val="20"/>
                <w:szCs w:val="20"/>
                <w:color w:val="auto"/>
              </w:rPr>
            </w:pPr>
            <w:r>
              <w:rPr>
                <w:rFonts w:ascii="Arial" w:cs="Arial" w:eastAsia="Arial" w:hAnsi="Arial"/>
                <w:sz w:val="16"/>
                <w:szCs w:val="16"/>
                <w:color w:val="auto"/>
              </w:rPr>
              <w:t>$8.0 billion - $10.0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460" w:type="dxa"/>
            <w:vAlign w:val="bottom"/>
          </w:tcPr>
          <w:p>
            <w:pPr>
              <w:ind w:left="20"/>
              <w:spacing w:after="0"/>
              <w:rPr>
                <w:sz w:val="20"/>
                <w:szCs w:val="20"/>
                <w:color w:val="auto"/>
              </w:rPr>
            </w:pPr>
            <w:r>
              <w:rPr>
                <w:rFonts w:ascii="Arial" w:cs="Arial" w:eastAsia="Arial" w:hAnsi="Arial"/>
                <w:sz w:val="16"/>
                <w:szCs w:val="16"/>
                <w:color w:val="auto"/>
              </w:rPr>
              <w:t>$8.94</w:t>
            </w:r>
          </w:p>
        </w:tc>
        <w:tc>
          <w:tcPr>
            <w:tcW w:w="2060" w:type="dxa"/>
            <w:vAlign w:val="bottom"/>
          </w:tcPr>
          <w:p>
            <w:pPr>
              <w:ind w:left="20"/>
              <w:spacing w:after="0"/>
              <w:rPr>
                <w:sz w:val="20"/>
                <w:szCs w:val="20"/>
                <w:color w:val="auto"/>
              </w:rPr>
            </w:pPr>
            <w:r>
              <w:rPr>
                <w:rFonts w:ascii="Arial" w:cs="Arial" w:eastAsia="Arial" w:hAnsi="Arial"/>
                <w:sz w:val="16"/>
                <w:szCs w:val="16"/>
                <w:color w:val="auto"/>
              </w:rPr>
              <w:t>- $9.94</w:t>
            </w:r>
          </w:p>
        </w:tc>
        <w:tc>
          <w:tcPr>
            <w:tcW w:w="3720" w:type="dxa"/>
            <w:vAlign w:val="bottom"/>
          </w:tcPr>
          <w:p>
            <w:pPr>
              <w:ind w:left="620"/>
              <w:spacing w:after="0"/>
              <w:rPr>
                <w:sz w:val="20"/>
                <w:szCs w:val="20"/>
                <w:color w:val="auto"/>
              </w:rPr>
            </w:pPr>
            <w:r>
              <w:rPr>
                <w:rFonts w:ascii="Arial" w:cs="Arial" w:eastAsia="Arial" w:hAnsi="Arial"/>
                <w:sz w:val="16"/>
                <w:szCs w:val="16"/>
                <w:color w:val="auto"/>
              </w:rPr>
              <w:t>$8.50 - $9.50</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460" w:type="dxa"/>
            <w:vAlign w:val="bottom"/>
          </w:tcPr>
          <w:p>
            <w:pPr>
              <w:ind w:left="20"/>
              <w:spacing w:after="0"/>
              <w:rPr>
                <w:sz w:val="20"/>
                <w:szCs w:val="20"/>
                <w:color w:val="auto"/>
              </w:rPr>
            </w:pPr>
            <w:r>
              <w:rPr>
                <w:rFonts w:ascii="Arial" w:cs="Arial" w:eastAsia="Arial" w:hAnsi="Arial"/>
                <w:sz w:val="16"/>
                <w:szCs w:val="16"/>
                <w:color w:val="auto"/>
              </w:rPr>
              <w:t>$9.00</w:t>
            </w:r>
          </w:p>
        </w:tc>
        <w:tc>
          <w:tcPr>
            <w:tcW w:w="2060" w:type="dxa"/>
            <w:vAlign w:val="bottom"/>
          </w:tcPr>
          <w:p>
            <w:pPr>
              <w:ind w:left="20"/>
              <w:spacing w:after="0"/>
              <w:rPr>
                <w:sz w:val="20"/>
                <w:szCs w:val="20"/>
                <w:color w:val="auto"/>
              </w:rPr>
            </w:pPr>
            <w:r>
              <w:rPr>
                <w:rFonts w:ascii="Arial" w:cs="Arial" w:eastAsia="Arial" w:hAnsi="Arial"/>
                <w:sz w:val="16"/>
                <w:szCs w:val="16"/>
                <w:color w:val="auto"/>
              </w:rPr>
              <w:t>- $10.00</w:t>
            </w:r>
          </w:p>
        </w:tc>
        <w:tc>
          <w:tcPr>
            <w:tcW w:w="3720" w:type="dxa"/>
            <w:vAlign w:val="bottom"/>
          </w:tcPr>
          <w:p>
            <w:pPr>
              <w:ind w:left="620"/>
              <w:spacing w:after="0"/>
              <w:rPr>
                <w:sz w:val="20"/>
                <w:szCs w:val="20"/>
                <w:color w:val="auto"/>
              </w:rPr>
            </w:pPr>
            <w:r>
              <w:rPr>
                <w:rFonts w:ascii="Arial" w:cs="Arial" w:eastAsia="Arial" w:hAnsi="Arial"/>
                <w:sz w:val="16"/>
                <w:szCs w:val="16"/>
                <w:color w:val="auto"/>
              </w:rPr>
              <w:t>$8.50 - $9.50</w:t>
            </w:r>
          </w:p>
        </w:tc>
      </w:tr>
    </w:tbl>
    <w:p>
      <w:pPr>
        <w:spacing w:after="0" w:line="3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GM's 2024 financial guidance includes anticipated capital spending of $10.5 billion - $11.5 billion, inclusive of investments in the company's battery cell manufacturing joint ventures.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35"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Visit the GM Investor Relations website to download the company’s earnings deck and GM Chair and CEO Mary Barra’s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43,014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39,985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3,029</w:t>
            </w:r>
          </w:p>
        </w:tc>
        <w:tc>
          <w:tcPr>
            <w:tcW w:w="1500" w:type="dxa"/>
            <w:vAlign w:val="bottom"/>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2,980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2,395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585</w:t>
            </w:r>
          </w:p>
        </w:tc>
        <w:tc>
          <w:tcPr>
            <w:tcW w:w="1500" w:type="dxa"/>
            <w:vAlign w:val="bottom"/>
          </w:tcPr>
          <w:p>
            <w:pPr>
              <w:jc w:val="right"/>
              <w:spacing w:after="0"/>
              <w:rPr>
                <w:sz w:val="20"/>
                <w:szCs w:val="20"/>
                <w:color w:val="auto"/>
              </w:rPr>
            </w:pPr>
            <w:r>
              <w:rPr>
                <w:rFonts w:ascii="Arial" w:cs="Arial" w:eastAsia="Arial" w:hAnsi="Arial"/>
                <w:sz w:val="16"/>
                <w:szCs w:val="16"/>
                <w:color w:val="auto"/>
              </w:rPr>
              <w:t>24.4 %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3,871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3,803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68</w:t>
            </w:r>
          </w:p>
        </w:tc>
        <w:tc>
          <w:tcPr>
            <w:tcW w:w="150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0.9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9.0 %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(0.5)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3,598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2,232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1,366</w:t>
            </w:r>
          </w:p>
        </w:tc>
        <w:tc>
          <w:tcPr>
            <w:tcW w:w="1500" w:type="dxa"/>
            <w:vAlign w:val="bottom"/>
          </w:tcPr>
          <w:p>
            <w:pPr>
              <w:jc w:val="right"/>
              <w:spacing w:after="0"/>
              <w:rPr>
                <w:sz w:val="20"/>
                <w:szCs w:val="20"/>
                <w:color w:val="auto"/>
              </w:rPr>
            </w:pPr>
            <w:r>
              <w:rPr>
                <w:rFonts w:ascii="Arial" w:cs="Arial" w:eastAsia="Arial" w:hAnsi="Arial"/>
                <w:sz w:val="16"/>
                <w:szCs w:val="16"/>
                <w:color w:val="auto"/>
              </w:rPr>
              <w:t>61.2 %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1,090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1,222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2.56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1.69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0.87</w:t>
            </w:r>
          </w:p>
        </w:tc>
        <w:tc>
          <w:tcPr>
            <w:tcW w:w="1500" w:type="dxa"/>
            <w:vAlign w:val="bottom"/>
          </w:tcPr>
          <w:p>
            <w:pPr>
              <w:jc w:val="right"/>
              <w:spacing w:after="0"/>
              <w:rPr>
                <w:sz w:val="20"/>
                <w:szCs w:val="20"/>
                <w:color w:val="auto"/>
              </w:rPr>
            </w:pPr>
            <w:r>
              <w:rPr>
                <w:rFonts w:ascii="Arial" w:cs="Arial" w:eastAsia="Arial" w:hAnsi="Arial"/>
                <w:sz w:val="16"/>
                <w:szCs w:val="16"/>
                <w:color w:val="auto"/>
              </w:rPr>
              <w:t>51.5 %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2.62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0.41</w:t>
            </w:r>
          </w:p>
        </w:tc>
        <w:tc>
          <w:tcPr>
            <w:tcW w:w="1500" w:type="dxa"/>
            <w:vAlign w:val="bottom"/>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3,840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3,576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264</w:t>
            </w:r>
          </w:p>
        </w:tc>
        <w:tc>
          <w:tcPr>
            <w:tcW w:w="150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10.9 %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(0.3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 (loss)-adjusted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347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(357)</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83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(189)</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737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771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(34)</w:t>
            </w:r>
          </w:p>
        </w:tc>
        <w:tc>
          <w:tcPr>
            <w:tcW w:w="15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$(0.01) and $0.03 impact from revaluation on equity investments in the three months ended March 31, 2024 and 2023.</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1440" w:right="639" w:bottom="1440" w:gutter="0" w:footer="0" w:header="0"/>
        </w:sectPr>
      </w:pPr>
    </w:p>
    <w:bookmarkStart w:id="5" w:name="page6"/>
    <w:bookmarkEnd w:id="5"/>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a global company focused on advancing an all-electric future that is inclusive and accessible to all.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heart of this strategy is the Ultium battery platform, which will power everything from mass-market to high-performance vehicles. General Motors, its subsidiaries and its joint venture entities sell vehicles under the Chevrolet</w:t>
      </w:r>
      <w:r>
        <w:rPr>
          <w:rFonts w:ascii="Arial" w:cs="Arial" w:eastAsia="Arial" w:hAnsi="Arial"/>
          <w:sz w:val="18"/>
          <w:szCs w:val="18"/>
          <w:color w:val="134A9C"/>
        </w:rPr>
        <w:t>,</w:t>
      </w:r>
      <w:r>
        <w:rPr>
          <w:rFonts w:ascii="Arial" w:cs="Arial" w:eastAsia="Arial" w:hAnsi="Arial"/>
          <w:sz w:val="18"/>
          <w:szCs w:val="18"/>
          <w:color w:val="auto"/>
        </w:rPr>
        <w:t xml:space="preserve"> Buick</w:t>
      </w:r>
      <w:r>
        <w:rPr>
          <w:rFonts w:ascii="Arial" w:cs="Arial" w:eastAsia="Arial" w:hAnsi="Arial"/>
          <w:sz w:val="18"/>
          <w:szCs w:val="18"/>
          <w:color w:val="0563C1"/>
        </w:rPr>
        <w:t>,</w:t>
      </w:r>
      <w:r>
        <w:rPr>
          <w:rFonts w:ascii="Arial" w:cs="Arial" w:eastAsia="Arial" w:hAnsi="Arial"/>
          <w:sz w:val="18"/>
          <w:szCs w:val="18"/>
          <w:color w:val="auto"/>
        </w:rPr>
        <w:t xml:space="preserve"> GMC</w:t>
      </w:r>
      <w:r>
        <w:rPr>
          <w:rFonts w:ascii="Arial" w:cs="Arial" w:eastAsia="Arial" w:hAnsi="Arial"/>
          <w:sz w:val="18"/>
          <w:szCs w:val="18"/>
          <w:color w:val="0563C1"/>
        </w:rPr>
        <w:t>,</w:t>
      </w:r>
      <w:r>
        <w:rPr>
          <w:rFonts w:ascii="Arial" w:cs="Arial" w:eastAsia="Arial" w:hAnsi="Arial"/>
          <w:sz w:val="18"/>
          <w:szCs w:val="18"/>
          <w:color w:val="auto"/>
        </w:rPr>
        <w:t xml:space="preserve"> Cadillac</w:t>
      </w:r>
      <w:r>
        <w:rPr>
          <w:rFonts w:ascii="Arial" w:cs="Arial" w:eastAsia="Arial" w:hAnsi="Arial"/>
          <w:sz w:val="18"/>
          <w:szCs w:val="18"/>
          <w:u w:val="single" w:color="auto"/>
          <w:color w:val="auto"/>
        </w:rPr>
        <w:t>,</w:t>
      </w:r>
      <w:r>
        <w:rPr>
          <w:rFonts w:ascii="Arial" w:cs="Arial" w:eastAsia="Arial" w:hAnsi="Arial"/>
          <w:sz w:val="18"/>
          <w:szCs w:val="18"/>
          <w:color w:val="auto"/>
        </w:rPr>
        <w:t xml:space="preserve"> Baojun and Wuling brands. More information on the company and its subsidiaries, including OnStar, a global leader in safety services and connected vehicle technology, can be found at https://www.gm.com</w:t>
      </w:r>
      <w:r>
        <w:rPr>
          <w:rFonts w:ascii="Arial" w:cs="Arial" w:eastAsia="Arial" w:hAnsi="Arial"/>
          <w:sz w:val="18"/>
          <w:szCs w:val="18"/>
          <w:color w:val="373F42"/>
        </w:rPr>
        <w: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307"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$ 10.1-11.5</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$ 9.8-11.2</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Automotive interest expense, net</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$ 12.5-14.5</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$ 12.0-14.0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8" w:lineRule="exact"/>
        <w:rPr>
          <w:sz w:val="20"/>
          <w:szCs w:val="20"/>
          <w:color w:val="auto"/>
        </w:rPr>
      </w:pPr>
    </w:p>
    <w:p>
      <w:pPr>
        <w:ind w:left="340" w:hanging="332"/>
        <w:spacing w:after="0" w:line="29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under U.S. GAAP to expected EPS-diluted-adjusted:</w:t>
      </w:r>
    </w:p>
    <w:p>
      <w:pPr>
        <w:spacing w:after="0" w:line="307"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7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4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$ 8.94-9.94</w:t>
            </w:r>
          </w:p>
        </w:tc>
        <w:tc>
          <w:tcPr>
            <w:tcW w:w="1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$ 8.50-9.50</w:t>
            </w:r>
          </w:p>
        </w:tc>
      </w:tr>
      <w:tr>
        <w:trPr>
          <w:trHeight w:val="215"/>
        </w:trPr>
        <w:tc>
          <w:tcPr>
            <w:tcW w:w="726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10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EPS-diluted-adjusted</w:t>
            </w:r>
          </w:p>
        </w:tc>
        <w:tc>
          <w:tcPr>
            <w:tcW w:w="17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$ 9.00-10.00</w:t>
            </w:r>
          </w:p>
        </w:tc>
        <w:tc>
          <w:tcPr>
            <w:tcW w:w="10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$ 8.50-9.50</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2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21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$ 18.3-21.3</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$ 18.0-21.0</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980" w:type="dxa"/>
            <w:vAlign w:val="bottom"/>
          </w:tcPr>
          <w:p>
            <w:pPr>
              <w:jc w:val="right"/>
              <w:spacing w:after="0"/>
              <w:rPr>
                <w:sz w:val="20"/>
                <w:szCs w:val="20"/>
                <w:color w:val="auto"/>
              </w:rPr>
            </w:pPr>
            <w:r>
              <w:rPr>
                <w:rFonts w:ascii="Arial" w:cs="Arial" w:eastAsia="Arial" w:hAnsi="Arial"/>
                <w:sz w:val="16"/>
                <w:szCs w:val="16"/>
                <w:color w:val="auto"/>
              </w:rPr>
              <w:t>10.0-11.0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$ 8.5-10.5</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$ 8.0-10.0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Three Months Ended March 31, 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Three Months Ended March 31, 2023</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10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39,212</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36,646</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200"/>
        </w:trPr>
        <w:tc>
          <w:tcPr>
            <w:tcW w:w="1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7"/>
              </w:rPr>
              <w:t>Total net sales and revenue</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39,212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36,646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39,985</w:t>
            </w: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 cost</w:t>
            </w: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33,597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31,716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32,247</w:t>
            </w: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20" w:type="dxa"/>
            <w:vAlign w:val="bottom"/>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1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172"/>
        </w:trPr>
        <w:tc>
          <w:tcPr>
            <w:tcW w:w="172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Automotive and other</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2,035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72"/>
        </w:trPr>
        <w:tc>
          <w:tcPr>
            <w:tcW w:w="1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1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35,632</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39,277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34,155</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37,407</w:t>
            </w:r>
          </w:p>
        </w:tc>
        <w:tc>
          <w:tcPr>
            <w:tcW w:w="0" w:type="dxa"/>
            <w:vAlign w:val="bottom"/>
          </w:tcPr>
          <w:p>
            <w:pPr>
              <w:spacing w:after="0"/>
              <w:rPr>
                <w:sz w:val="1"/>
                <w:szCs w:val="1"/>
                <w:color w:val="auto"/>
              </w:rPr>
            </w:pPr>
          </w:p>
        </w:tc>
      </w:tr>
      <w:tr>
        <w:trPr>
          <w:trHeight w:val="200"/>
        </w:trPr>
        <w:tc>
          <w:tcPr>
            <w:tcW w:w="1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Interest income and other</w:t>
            </w: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non-operating income, net</w:t>
            </w:r>
          </w:p>
        </w:tc>
        <w:tc>
          <w:tcPr>
            <w:tcW w:w="1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color w:val="auto"/>
              </w:rPr>
              <w:t>Income (loss) before income</w:t>
            </w:r>
          </w:p>
        </w:tc>
        <w:tc>
          <w:tcPr>
            <w:tcW w:w="1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26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2,592</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8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31"/>
        </w:trPr>
        <w:tc>
          <w:tcPr>
            <w:tcW w:w="1720" w:type="dxa"/>
            <w:vAlign w:val="bottom"/>
          </w:tcPr>
          <w:p>
            <w:pPr>
              <w:ind w:left="20"/>
              <w:spacing w:after="0" w:line="131" w:lineRule="exact"/>
              <w:rPr>
                <w:sz w:val="20"/>
                <w:szCs w:val="20"/>
                <w:color w:val="auto"/>
              </w:rPr>
            </w:pPr>
            <w:r>
              <w:rPr>
                <w:rFonts w:ascii="Arial" w:cs="Arial" w:eastAsia="Arial" w:hAnsi="Arial"/>
                <w:sz w:val="13"/>
                <w:szCs w:val="13"/>
                <w:color w:val="auto"/>
                <w:w w:val="99"/>
              </w:rPr>
              <w:t>Net loss (income) attributable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 noncontrolling interests</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69"/>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35"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Certain columns and rows may not add due to rounding.</w:t>
      </w:r>
    </w:p>
    <w:p>
      <w:pPr>
        <w:sectPr>
          <w:pgSz w:w="11900" w:h="16838" w:orient="portrait"/>
          <w:cols w:equalWidth="0" w:num="1">
            <w:col w:w="11220"/>
          </w:cols>
          <w:pgMar w:left="320" w:top="854" w:right="359" w:bottom="1141" w:gutter="0" w:footer="0" w:header="0"/>
        </w:sectPr>
      </w:pPr>
    </w:p>
    <w:p>
      <w:pPr>
        <w:spacing w:after="0" w:line="200" w:lineRule="exact"/>
        <w:rPr>
          <w:sz w:val="20"/>
          <w:szCs w:val="20"/>
          <w:color w:val="auto"/>
        </w:rPr>
      </w:pPr>
    </w:p>
    <w:p>
      <w:pPr>
        <w:spacing w:after="0" w:line="39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54" w:right="359" w:bottom="1141" w:gutter="0" w:footer="0" w:header="0"/>
          <w:type w:val="continuous"/>
        </w:sectPr>
      </w:pPr>
    </w:p>
    <w:bookmarkStart w:id="8" w:name="page9"/>
    <w:bookmarkEnd w:id="8"/>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8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700" w:type="dxa"/>
            <w:vAlign w:val="bottom"/>
            <w:tcBorders>
              <w:bottom w:val="single" w:sz="8" w:color="auto"/>
            </w:tcBorders>
          </w:tcPr>
          <w:p>
            <w:pPr>
              <w:spacing w:after="0"/>
              <w:rPr>
                <w:sz w:val="15"/>
                <w:szCs w:val="15"/>
                <w:color w:val="auto"/>
              </w:rPr>
            </w:pPr>
          </w:p>
        </w:tc>
      </w:tr>
      <w:tr>
        <w:trPr>
          <w:trHeight w:val="169"/>
        </w:trPr>
        <w:tc>
          <w:tcPr>
            <w:tcW w:w="6380" w:type="dxa"/>
            <w:vAlign w:val="bottom"/>
          </w:tcPr>
          <w:p>
            <w:pPr>
              <w:spacing w:after="0"/>
              <w:rPr>
                <w:sz w:val="14"/>
                <w:szCs w:val="14"/>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March 31, 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March 31, 2023</w:t>
            </w:r>
          </w:p>
        </w:tc>
      </w:tr>
      <w:tr>
        <w:trPr>
          <w:trHeight w:val="18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7"/>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2,395</w:t>
            </w:r>
          </w:p>
        </w:tc>
      </w:tr>
      <w:tr>
        <w:trPr>
          <w:trHeight w:val="215"/>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cumulative dividends on subsidiary preferred stock(a)</w:t>
            </w:r>
          </w:p>
        </w:tc>
        <w:tc>
          <w:tcPr>
            <w:tcW w:w="1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1680" w:type="dxa"/>
            <w:vAlign w:val="bottom"/>
            <w:tcBorders>
              <w:bottom w:val="single" w:sz="8" w:color="auto"/>
            </w:tcBorders>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3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1,396</w:t>
            </w:r>
          </w:p>
        </w:tc>
      </w:tr>
      <w:tr>
        <w:trPr>
          <w:trHeight w:val="108"/>
        </w:trPr>
        <w:tc>
          <w:tcPr>
            <w:tcW w:w="6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w:t>
            </w:r>
          </w:p>
        </w:tc>
      </w:tr>
      <w:tr>
        <w:trPr>
          <w:trHeight w:val="202"/>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7"/>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2,369</w:t>
            </w:r>
          </w:p>
        </w:tc>
      </w:tr>
      <w:tr>
        <w:trPr>
          <w:trHeight w:val="108"/>
        </w:trPr>
        <w:tc>
          <w:tcPr>
            <w:tcW w:w="6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1,402</w:t>
            </w:r>
          </w:p>
        </w:tc>
      </w:tr>
      <w:tr>
        <w:trPr>
          <w:trHeight w:val="108"/>
        </w:trPr>
        <w:tc>
          <w:tcPr>
            <w:tcW w:w="6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r>
      <w:tr>
        <w:trPr>
          <w:trHeight w:val="215"/>
        </w:trPr>
        <w:tc>
          <w:tcPr>
            <w:tcW w:w="638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16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22</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an insignificant amount in participating securities income from a subsidiary for the three months ended March 31, 2024.</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Restricted Stock Units (RSUs) and Performance Stock Units (PSUs) at March 31, 2024 and 2023 were excluded from the computation of diluted earnings per share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54" w:right="33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March 31, 2024</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66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18,853</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7,613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7,613</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40"/>
              <w:spacing w:after="0"/>
              <w:rPr>
                <w:sz w:val="20"/>
                <w:szCs w:val="20"/>
                <w:color w:val="auto"/>
              </w:rPr>
            </w:pPr>
            <w:r>
              <w:rPr>
                <w:rFonts w:ascii="Arial" w:cs="Arial" w:eastAsia="Arial" w:hAnsi="Arial"/>
                <w:sz w:val="13"/>
                <w:szCs w:val="13"/>
                <w:color w:val="auto"/>
              </w:rPr>
              <w:t>net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41,872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41,682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39,246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39,076</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assets(b)</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5,776</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net(d)</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45,043</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10,613</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50,321</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4,862</w:t>
            </w:r>
          </w:p>
        </w:tc>
        <w:tc>
          <w:tcPr>
            <w:tcW w:w="0" w:type="dxa"/>
            <w:vAlign w:val="bottom"/>
          </w:tcPr>
          <w:p>
            <w:pPr>
              <w:spacing w:after="0"/>
              <w:rPr>
                <w:sz w:val="1"/>
                <w:szCs w:val="1"/>
                <w:color w:val="auto"/>
              </w:rPr>
            </w:pPr>
          </w:p>
        </w:tc>
      </w:tr>
      <w:tr>
        <w:trPr>
          <w:trHeight w:val="128"/>
        </w:trPr>
        <w:tc>
          <w:tcPr>
            <w:tcW w:w="18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21,050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21,704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22,339</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assets(c)</w:t>
            </w: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6,869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7,686</w:t>
            </w:r>
          </w:p>
        </w:tc>
        <w:tc>
          <w:tcPr>
            <w:tcW w:w="0" w:type="dxa"/>
            <w:vAlign w:val="bottom"/>
          </w:tcPr>
          <w:p>
            <w:pPr>
              <w:spacing w:after="0"/>
              <w:rPr>
                <w:sz w:val="1"/>
                <w:szCs w:val="1"/>
                <w:color w:val="auto"/>
              </w:rPr>
            </w:pPr>
          </w:p>
        </w:tc>
      </w:tr>
      <w:tr>
        <w:trPr>
          <w:trHeight w:val="164"/>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91,089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77,224</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170,121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90,430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79,156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171,446</w:t>
            </w:r>
          </w:p>
        </w:tc>
        <w:tc>
          <w:tcPr>
            <w:tcW w:w="0" w:type="dxa"/>
            <w:vAlign w:val="bottom"/>
          </w:tcPr>
          <w:p>
            <w:pPr>
              <w:spacing w:after="0"/>
              <w:rPr>
                <w:sz w:val="1"/>
                <w:szCs w:val="1"/>
                <w:color w:val="auto"/>
              </w:rPr>
            </w:pPr>
          </w:p>
        </w:tc>
      </w:tr>
      <w:tr>
        <w:trPr>
          <w:trHeight w:val="199"/>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144,111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131,998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276,591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w w:val="98"/>
              </w:rPr>
              <w:t>Accounts payable (principally</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29,253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(1,884)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29,393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27,846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1,136</w:t>
            </w:r>
          </w:p>
        </w:tc>
        <w:tc>
          <w:tcPr>
            <w:tcW w:w="8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28,114</w:t>
            </w:r>
          </w:p>
        </w:tc>
        <w:tc>
          <w:tcPr>
            <w:tcW w:w="0" w:type="dxa"/>
            <w:vAlign w:val="bottom"/>
          </w:tcPr>
          <w:p>
            <w:pPr>
              <w:spacing w:after="0"/>
              <w:rPr>
                <w:sz w:val="1"/>
                <w:szCs w:val="1"/>
                <w:color w:val="auto"/>
              </w:rPr>
            </w:pPr>
          </w:p>
        </w:tc>
      </w:tr>
      <w:tr>
        <w:trPr>
          <w:trHeight w:val="128"/>
        </w:trPr>
        <w:tc>
          <w:tcPr>
            <w:tcW w:w="18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Short-term debt and current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Automotive(a)</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35,598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38,540</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Cruise</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liabilities(b)</w:t>
            </w: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20,483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21,468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5,741</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27,364</w:t>
            </w:r>
          </w:p>
        </w:tc>
        <w:tc>
          <w:tcPr>
            <w:tcW w:w="0" w:type="dxa"/>
            <w:vAlign w:val="bottom"/>
          </w:tcPr>
          <w:p>
            <w:pPr>
              <w:spacing w:after="0"/>
              <w:rPr>
                <w:sz w:val="1"/>
                <w:szCs w:val="1"/>
                <w:color w:val="auto"/>
              </w:rPr>
            </w:pPr>
          </w:p>
        </w:tc>
      </w:tr>
      <w:tr>
        <w:trPr>
          <w:trHeight w:val="164"/>
        </w:trPr>
        <w:tc>
          <w:tcPr>
            <w:tcW w:w="1820" w:type="dxa"/>
            <w:vAlign w:val="bottom"/>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42,973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91,777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49,906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45,417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94,445</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Automotive(c)</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15,985</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70,312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70,312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66,788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66,788</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Cruise(d)</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w w:val="99"/>
              </w:rPr>
              <w:t>Postretirement benefits other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4,345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4,345</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6,680</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14,127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13,447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16,515</w:t>
            </w:r>
          </w:p>
        </w:tc>
        <w:tc>
          <w:tcPr>
            <w:tcW w:w="0" w:type="dxa"/>
            <w:vAlign w:val="bottom"/>
          </w:tcPr>
          <w:p>
            <w:pPr>
              <w:spacing w:after="0"/>
              <w:rPr>
                <w:sz w:val="1"/>
                <w:szCs w:val="1"/>
                <w:color w:val="auto"/>
              </w:rPr>
            </w:pPr>
          </w:p>
        </w:tc>
      </w:tr>
      <w:tr>
        <w:trPr>
          <w:trHeight w:val="174"/>
        </w:trPr>
        <w:tc>
          <w:tcPr>
            <w:tcW w:w="1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40,731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73,018</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40,444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69,409</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110,312</w:t>
            </w:r>
          </w:p>
        </w:tc>
        <w:tc>
          <w:tcPr>
            <w:tcW w:w="0" w:type="dxa"/>
            <w:vAlign w:val="bottom"/>
          </w:tcPr>
          <w:p>
            <w:pPr>
              <w:spacing w:after="0"/>
              <w:rPr>
                <w:sz w:val="1"/>
                <w:szCs w:val="1"/>
                <w:color w:val="auto"/>
              </w:rPr>
            </w:pPr>
          </w:p>
        </w:tc>
      </w:tr>
      <w:tr>
        <w:trPr>
          <w:trHeight w:val="165"/>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91,027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115,991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205,990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90,350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114,826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204,757</w:t>
            </w: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Noncontrolling interest -</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Cruise stock incentive</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awards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20" w:type="dxa"/>
            <w:vAlign w:val="bottom"/>
            <w:shd w:val="clear" w:color="auto" w:fill="CCEEFF"/>
          </w:tcPr>
          <w:p>
            <w:pPr>
              <w:ind w:left="100"/>
              <w:spacing w:after="0" w:line="123" w:lineRule="exact"/>
              <w:rPr>
                <w:sz w:val="20"/>
                <w:szCs w:val="20"/>
                <w:color w:val="auto"/>
              </w:rPr>
            </w:pPr>
            <w:r>
              <w:rPr>
                <w:rFonts w:ascii="Arial" w:cs="Arial" w:eastAsia="Arial" w:hAnsi="Arial"/>
                <w:sz w:val="13"/>
                <w:szCs w:val="13"/>
                <w:color w:val="auto"/>
              </w:rPr>
              <w:t>Common stock, $0.01 par</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value</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182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18,866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19,130</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39,579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55,391</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Accumulated other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20" w:type="dxa"/>
            <w:vAlign w:val="bottom"/>
          </w:tcPr>
          <w:p>
            <w:pPr>
              <w:ind w:left="300"/>
              <w:spacing w:after="0"/>
              <w:rPr>
                <w:sz w:val="20"/>
                <w:szCs w:val="20"/>
                <w:color w:val="auto"/>
              </w:rPr>
            </w:pPr>
            <w:r>
              <w:rPr>
                <w:rFonts w:ascii="Arial" w:cs="Arial" w:eastAsia="Arial" w:hAnsi="Arial"/>
                <w:sz w:val="13"/>
                <w:szCs w:val="13"/>
                <w:color w:val="auto"/>
              </w:rPr>
              <w:t>comprehensive loss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76"/>
        </w:trPr>
        <w:tc>
          <w:tcPr>
            <w:tcW w:w="1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16,007</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49,391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64,286</w:t>
            </w:r>
          </w:p>
        </w:tc>
        <w:tc>
          <w:tcPr>
            <w:tcW w:w="0" w:type="dxa"/>
            <w:vAlign w:val="bottom"/>
          </w:tcPr>
          <w:p>
            <w:pPr>
              <w:spacing w:after="0"/>
              <w:rPr>
                <w:sz w:val="1"/>
                <w:szCs w:val="1"/>
                <w:color w:val="auto"/>
              </w:rPr>
            </w:pPr>
          </w:p>
        </w:tc>
      </w:tr>
      <w:tr>
        <w:trPr>
          <w:trHeight w:val="171"/>
        </w:trPr>
        <w:tc>
          <w:tcPr>
            <w:tcW w:w="182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16,007</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50,196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68,189</w:t>
            </w:r>
          </w:p>
        </w:tc>
        <w:tc>
          <w:tcPr>
            <w:tcW w:w="0" w:type="dxa"/>
            <w:vAlign w:val="bottom"/>
          </w:tcPr>
          <w:p>
            <w:pPr>
              <w:spacing w:after="0"/>
              <w:rPr>
                <w:sz w:val="1"/>
                <w:szCs w:val="1"/>
                <w:color w:val="auto"/>
              </w:rPr>
            </w:pPr>
          </w:p>
        </w:tc>
      </w:tr>
      <w:tr>
        <w:trPr>
          <w:trHeight w:val="173"/>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144,111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131,998</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276,591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140" w:hanging="332"/>
        <w:spacing w:after="0" w:line="246"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and Automotive accounts receivable of $1.2 billion primarily due from GM Financial and Cruise at March 31, 2024; and GM Financial accounts and notes receivable of $0.5 billion due from Automotive and Automotive accounts receivable of $0.8 billion due from GM Financial and Cruise at December 31, 2023.</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asset transfers between Automotive and Cruise for autonomous vehicle (AV) capital.</w:t>
      </w:r>
    </w:p>
    <w:p>
      <w:pPr>
        <w:spacing w:after="0" w:line="5" w:lineRule="exact"/>
        <w:rPr>
          <w:rFonts w:ascii="Arial" w:cs="Arial" w:eastAsia="Arial" w:hAnsi="Arial"/>
          <w:sz w:val="11"/>
          <w:szCs w:val="11"/>
          <w:color w:val="auto"/>
        </w:rPr>
      </w:pPr>
    </w:p>
    <w:p>
      <w:pPr>
        <w:ind w:left="340" w:hanging="332"/>
        <w:spacing w:after="0" w:line="243" w:lineRule="auto"/>
        <w:tabs>
          <w:tab w:leader="none" w:pos="331"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related to deferral agreement between Cruise and Automotive as regards to engineering and capital spending incurred by Automotive on behalf of Cruise resulting in a long-term payable for Cruise offset by a long-term receivable for Automotive.</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w:t>
      </w:r>
    </w:p>
    <w:p>
      <w:pPr>
        <w:spacing w:after="0" w:line="8" w:lineRule="exact"/>
        <w:rPr>
          <w:rFonts w:ascii="Arial" w:cs="Arial" w:eastAsia="Arial" w:hAnsi="Arial"/>
          <w:sz w:val="11"/>
          <w:szCs w:val="11"/>
          <w:color w:val="auto"/>
        </w:rPr>
      </w:pP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20"/>
          </w:cols>
          <w:pgMar w:left="320" w:top="8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854" w:right="359" w:bottom="144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Three Months Ended March 31, 2024</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ind w:left="300"/>
              <w:spacing w:after="0"/>
              <w:rPr>
                <w:sz w:val="20"/>
                <w:szCs w:val="20"/>
                <w:color w:val="auto"/>
              </w:rPr>
            </w:pPr>
            <w:r>
              <w:rPr>
                <w:rFonts w:ascii="Arial" w:cs="Arial" w:eastAsia="Arial" w:hAnsi="Arial"/>
                <w:sz w:val="13"/>
                <w:szCs w:val="13"/>
                <w:b w:val="1"/>
                <w:bCs w:val="1"/>
                <w:color w:val="auto"/>
                <w:w w:val="97"/>
              </w:rPr>
              <w:t>Three Months Ended March 31, 2023</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9"/>
                <w:szCs w:val="9"/>
                <w:color w:val="auto"/>
              </w:rPr>
            </w:pPr>
          </w:p>
        </w:tc>
        <w:tc>
          <w:tcPr>
            <w:tcW w:w="62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9"/>
              </w:rPr>
              <w:t>Depreciation and impairment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Pension and OPEB income, net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liabilities(a)(b)</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1,724</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3,086</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(2,431)</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2,947</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7,650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7,509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7,282</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3,085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3,264</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3,264</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02"/>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(1,493)</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short-term debt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Proceeds from issuance of debt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three months)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11,487</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months)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(13,088)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(13,140)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(10,590)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(12,127)</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 common</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subsidiary stock</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paid(b)</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Effect of exchange rate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60" w:type="dxa"/>
            <w:vAlign w:val="bottom"/>
          </w:tcPr>
          <w:p>
            <w:pPr>
              <w:ind w:left="300"/>
              <w:spacing w:after="0" w:line="131" w:lineRule="exact"/>
              <w:rPr>
                <w:sz w:val="20"/>
                <w:szCs w:val="20"/>
                <w:color w:val="auto"/>
              </w:rPr>
            </w:pPr>
            <w:r>
              <w:rPr>
                <w:rFonts w:ascii="Arial" w:cs="Arial" w:eastAsia="Arial" w:hAnsi="Arial"/>
                <w:sz w:val="13"/>
                <w:szCs w:val="13"/>
                <w:color w:val="auto"/>
              </w:rPr>
              <w:t>equivalents and restricted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300"/>
              <w:spacing w:after="0"/>
              <w:rPr>
                <w:sz w:val="20"/>
                <w:szCs w:val="20"/>
                <w:color w:val="auto"/>
              </w:rPr>
            </w:pPr>
            <w:r>
              <w:rPr>
                <w:rFonts w:ascii="Arial" w:cs="Arial" w:eastAsia="Arial" w:hAnsi="Arial"/>
                <w:sz w:val="13"/>
                <w:szCs w:val="13"/>
                <w:color w:val="auto"/>
              </w:rPr>
              <w:t>cash</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3"/>
                <w:szCs w:val="13"/>
                <w:color w:val="auto"/>
              </w:rPr>
              <w:t>period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8,249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6,676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12,005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8,646</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21,378</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12,123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1,870</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7,148</w:t>
            </w:r>
          </w:p>
        </w:tc>
        <w:tc>
          <w:tcPr>
            <w:tcW w:w="1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21,141</w:t>
            </w: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6"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$0.9 billion and $0.2 billion in the three months ended March 31, 2024 and 2023 primarily driven by purchases/collections of wholesale finance receivables resulting from vehicles sold by GM to dealers that have arranged their inventory floor plan financing through GM Financial.</w:t>
      </w: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three months ended March 31, 2024 and 2023.</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43,014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2,631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2,728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2,783</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2023</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39,985</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2,260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2,431</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Automotive China equity income of $(106) million and $83 million in the three months ended March 31, 2024 and 2023.</w:t>
      </w:r>
    </w:p>
    <w:p>
      <w:pPr>
        <w:jc w:val="both"/>
        <w:ind w:left="340" w:hanging="332"/>
        <w:spacing w:after="0" w:line="242"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$156 million and insignificant in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under U.S. GAAP to EBIT-adjusted and segment profit (loss)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3"/>
                <w:szCs w:val="13"/>
                <w:b w:val="1"/>
                <w:bCs w:val="1"/>
                <w:color w:val="auto"/>
              </w:rPr>
              <w:t>Three Months Ended</w:t>
            </w:r>
          </w:p>
        </w:tc>
      </w:tr>
      <w:tr>
        <w:trPr>
          <w:trHeight w:val="17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2024</w:t>
            </w:r>
          </w:p>
        </w:tc>
        <w:tc>
          <w:tcPr>
            <w:tcW w:w="24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r>
      <w:tr>
        <w:trPr>
          <w:trHeight w:val="215"/>
        </w:trPr>
        <w:tc>
          <w:tcPr>
            <w:tcW w:w="77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7"/>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5"/>
        </w:trPr>
        <w:tc>
          <w:tcPr>
            <w:tcW w:w="774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7"/>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740" w:type="dxa"/>
            <w:vAlign w:val="bottom"/>
          </w:tcPr>
          <w:p>
            <w:pPr>
              <w:ind w:left="140"/>
              <w:spacing w:after="0"/>
              <w:rPr>
                <w:sz w:val="20"/>
                <w:szCs w:val="20"/>
                <w:color w:val="auto"/>
              </w:rPr>
            </w:pPr>
            <w:r>
              <w:rPr>
                <w:rFonts w:ascii="Arial" w:cs="Arial" w:eastAsia="Arial" w:hAnsi="Arial"/>
                <w:sz w:val="16"/>
                <w:szCs w:val="16"/>
                <w:color w:val="auto"/>
              </w:rPr>
              <w:t>Buick dealer strategy(b)</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Voluntary separation program(c)</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0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r>
      <w:tr>
        <w:trPr>
          <w:trHeight w:val="195"/>
        </w:trPr>
        <w:tc>
          <w:tcPr>
            <w:tcW w:w="7740" w:type="dxa"/>
            <w:vAlign w:val="bottom"/>
          </w:tcPr>
          <w:p>
            <w:pPr>
              <w:ind w:left="20"/>
              <w:spacing w:after="0"/>
              <w:rPr>
                <w:sz w:val="20"/>
                <w:szCs w:val="20"/>
                <w:color w:val="auto"/>
              </w:rPr>
            </w:pPr>
            <w:r>
              <w:rPr>
                <w:rFonts w:ascii="Arial" w:cs="Arial" w:eastAsia="Arial" w:hAnsi="Arial"/>
                <w:sz w:val="16"/>
                <w:szCs w:val="16"/>
                <w:color w:val="auto"/>
              </w:rPr>
              <w:t>Operating segments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North America (GMNA)</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r>
      <w:tr>
        <w:trPr>
          <w:trHeight w:val="215"/>
        </w:trPr>
        <w:tc>
          <w:tcPr>
            <w:tcW w:w="7740" w:type="dxa"/>
            <w:vAlign w:val="bottom"/>
          </w:tcPr>
          <w:p>
            <w:pPr>
              <w:ind w:left="140"/>
              <w:spacing w:after="0"/>
              <w:rPr>
                <w:sz w:val="20"/>
                <w:szCs w:val="20"/>
                <w:color w:val="auto"/>
              </w:rPr>
            </w:pPr>
            <w:r>
              <w:rPr>
                <w:rFonts w:ascii="Arial" w:cs="Arial" w:eastAsia="Arial" w:hAnsi="Arial"/>
                <w:sz w:val="16"/>
                <w:szCs w:val="16"/>
                <w:color w:val="auto"/>
              </w:rPr>
              <w:t>GM International (GMI)</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7"/>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15"/>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Financial(d)</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segments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w:t>
            </w:r>
          </w:p>
        </w:tc>
      </w:tr>
      <w:tr>
        <w:trPr>
          <w:trHeight w:val="21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eliminations(e)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35"/>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acceleration of attrition as part of the cost reduction program announced in January 2023, primarily in the U.S.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firstLine="162"/>
        <w:spacing w:after="0" w:line="263"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2024</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2023</w:t>
            </w:r>
          </w:p>
        </w:tc>
        <w:tc>
          <w:tcPr>
            <w:tcW w:w="920" w:type="dxa"/>
            <w:vAlign w:val="bottom"/>
            <w:tcBorders>
              <w:bottom w:val="single" w:sz="8" w:color="auto"/>
            </w:tcBorders>
          </w:tcPr>
          <w:p>
            <w:pPr>
              <w:spacing w:after="0"/>
              <w:rPr>
                <w:sz w:val="14"/>
                <w:szCs w:val="14"/>
                <w:color w:val="auto"/>
              </w:rPr>
            </w:pPr>
          </w:p>
        </w:tc>
      </w:tr>
      <w:tr>
        <w:trPr>
          <w:trHeight w:val="151"/>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Per Share</w:t>
            </w: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Per Share</w:t>
            </w: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2,970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center"/>
              <w:ind w:left="407"/>
              <w:spacing w:after="0"/>
              <w:rPr>
                <w:sz w:val="20"/>
                <w:szCs w:val="20"/>
                <w:color w:val="auto"/>
              </w:rPr>
            </w:pPr>
            <w:r>
              <w:rPr>
                <w:rFonts w:ascii="Arial" w:cs="Arial" w:eastAsia="Arial" w:hAnsi="Arial"/>
                <w:sz w:val="16"/>
                <w:szCs w:val="16"/>
                <w:color w:val="auto"/>
              </w:rPr>
              <w:t>2.56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2,369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center"/>
              <w:ind w:left="404"/>
              <w:spacing w:after="0"/>
              <w:rPr>
                <w:sz w:val="20"/>
                <w:szCs w:val="20"/>
                <w:color w:val="auto"/>
              </w:rPr>
            </w:pPr>
            <w:r>
              <w:rPr>
                <w:rFonts w:ascii="Arial" w:cs="Arial" w:eastAsia="Arial" w:hAnsi="Arial"/>
                <w:sz w:val="16"/>
                <w:szCs w:val="16"/>
                <w:color w:val="auto"/>
              </w:rPr>
              <w:t>1.69</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28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center"/>
              <w:ind w:left="407"/>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center"/>
              <w:ind w:left="404"/>
              <w:spacing w:after="0"/>
              <w:rPr>
                <w:sz w:val="20"/>
                <w:szCs w:val="20"/>
                <w:color w:val="auto"/>
              </w:rPr>
            </w:pPr>
            <w:r>
              <w:rPr>
                <w:rFonts w:ascii="Arial" w:cs="Arial" w:eastAsia="Arial" w:hAnsi="Arial"/>
                <w:sz w:val="16"/>
                <w:szCs w:val="16"/>
                <w:color w:val="auto"/>
              </w:rPr>
              <w:t>0.69</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87"/>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84"/>
              <w:spacing w:after="0"/>
              <w:rPr>
                <w:sz w:val="20"/>
                <w:szCs w:val="20"/>
                <w:color w:val="auto"/>
              </w:rPr>
            </w:pPr>
            <w:r>
              <w:rPr>
                <w:rFonts w:ascii="Arial" w:cs="Arial" w:eastAsia="Arial" w:hAnsi="Arial"/>
                <w:sz w:val="16"/>
                <w:szCs w:val="16"/>
                <w:color w:val="auto"/>
              </w:rPr>
              <w:t>(0.17)</w:t>
            </w: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center"/>
              <w:ind w:left="407"/>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404"/>
              <w:spacing w:after="0"/>
              <w:rPr>
                <w:sz w:val="20"/>
                <w:szCs w:val="20"/>
                <w:color w:val="auto"/>
              </w:rPr>
            </w:pPr>
            <w:r>
              <w:rPr>
                <w:rFonts w:ascii="Arial" w:cs="Arial" w:eastAsia="Arial" w:hAnsi="Arial"/>
                <w:sz w:val="16"/>
                <w:szCs w:val="16"/>
                <w:color w:val="auto"/>
              </w:rPr>
              <w:t>2.21</w:t>
            </w:r>
          </w:p>
        </w:tc>
      </w:tr>
      <w:tr>
        <w:trPr>
          <w:trHeight w:val="21"/>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March 31, 2024</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March 31, 2023</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04" w:lineRule="exact"/>
              <w:rPr>
                <w:sz w:val="20"/>
                <w:szCs w:val="20"/>
                <w:color w:val="auto"/>
              </w:rPr>
            </w:pPr>
            <w:r>
              <w:rPr>
                <w:rFonts w:ascii="Arial" w:cs="Arial" w:eastAsia="Arial" w:hAnsi="Arial"/>
                <w:sz w:val="11"/>
                <w:szCs w:val="11"/>
                <w:b w:val="1"/>
                <w:bCs w:val="1"/>
                <w:color w:val="auto"/>
                <w:w w:val="98"/>
              </w:rPr>
              <w:t>Income before</w:t>
            </w:r>
          </w:p>
        </w:tc>
        <w:tc>
          <w:tcPr>
            <w:tcW w:w="108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w w:val="99"/>
              </w:rPr>
              <w:t>Income tax expense</w:t>
            </w:r>
          </w:p>
        </w:tc>
        <w:tc>
          <w:tcPr>
            <w:tcW w:w="100" w:type="dxa"/>
            <w:vAlign w:val="bottom"/>
          </w:tcPr>
          <w:p>
            <w:pPr>
              <w:spacing w:after="0"/>
              <w:rPr>
                <w:sz w:val="9"/>
                <w:szCs w:val="9"/>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Effective tax rate</w:t>
            </w:r>
          </w:p>
        </w:tc>
        <w:tc>
          <w:tcPr>
            <w:tcW w:w="140" w:type="dxa"/>
            <w:vAlign w:val="bottom"/>
          </w:tcPr>
          <w:p>
            <w:pPr>
              <w:spacing w:after="0"/>
              <w:rPr>
                <w:sz w:val="9"/>
                <w:szCs w:val="9"/>
                <w:color w:val="auto"/>
              </w:rPr>
            </w:pPr>
          </w:p>
        </w:tc>
        <w:tc>
          <w:tcPr>
            <w:tcW w:w="108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8"/>
              </w:rPr>
              <w:t>Income before</w:t>
            </w:r>
          </w:p>
        </w:tc>
        <w:tc>
          <w:tcPr>
            <w:tcW w:w="108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w w:val="99"/>
              </w:rPr>
              <w:t>Income tax expense</w:t>
            </w:r>
          </w:p>
        </w:tc>
        <w:tc>
          <w:tcPr>
            <w:tcW w:w="100" w:type="dxa"/>
            <w:vAlign w:val="bottom"/>
          </w:tcPr>
          <w:p>
            <w:pPr>
              <w:spacing w:after="0"/>
              <w:rPr>
                <w:sz w:val="9"/>
                <w:szCs w:val="9"/>
                <w:color w:val="auto"/>
              </w:rPr>
            </w:pPr>
          </w:p>
        </w:tc>
        <w:tc>
          <w:tcPr>
            <w:tcW w:w="118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rPr>
              <w:t>Effective tax rate</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income taxes</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3,715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762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2,775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Adjustments(a)</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3,811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786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3,749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667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right="20" w:hanging="332"/>
        <w:spacing w:after="0" w:line="262"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304"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04"/>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2024</w:t>
            </w:r>
          </w:p>
        </w:tc>
        <w:tc>
          <w:tcPr>
            <w:tcW w:w="280" w:type="dxa"/>
            <w:vAlign w:val="bottom"/>
          </w:tcPr>
          <w:p>
            <w:pPr>
              <w:spacing w:after="0"/>
              <w:rPr>
                <w:sz w:val="14"/>
                <w:szCs w:val="14"/>
                <w:color w:val="auto"/>
              </w:rPr>
            </w:pPr>
          </w:p>
        </w:tc>
        <w:tc>
          <w:tcPr>
            <w:tcW w:w="1480" w:type="dxa"/>
            <w:vAlign w:val="bottom"/>
          </w:tcPr>
          <w:p>
            <w:pPr>
              <w:jc w:val="right"/>
              <w:ind w:right="344"/>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9.4</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ind w:left="96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4"/>
              <w:spacing w:after="0"/>
              <w:rPr>
                <w:sz w:val="20"/>
                <w:szCs w:val="20"/>
                <w:color w:val="auto"/>
              </w:rPr>
            </w:pPr>
            <w:r>
              <w:rPr>
                <w:rFonts w:ascii="Arial" w:cs="Arial" w:eastAsia="Arial" w:hAnsi="Arial"/>
                <w:sz w:val="16"/>
                <w:szCs w:val="16"/>
                <w:color w:val="auto"/>
              </w:rPr>
              <w:t>68.6</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2024</w:t>
            </w:r>
          </w:p>
        </w:tc>
        <w:tc>
          <w:tcPr>
            <w:tcW w:w="280" w:type="dxa"/>
            <w:vAlign w:val="bottom"/>
          </w:tcPr>
          <w:p>
            <w:pPr>
              <w:spacing w:after="0"/>
              <w:rPr>
                <w:sz w:val="14"/>
                <w:szCs w:val="14"/>
                <w:color w:val="auto"/>
              </w:rPr>
            </w:pPr>
          </w:p>
        </w:tc>
        <w:tc>
          <w:tcPr>
            <w:tcW w:w="1480" w:type="dxa"/>
            <w:vAlign w:val="bottom"/>
          </w:tcPr>
          <w:p>
            <w:pPr>
              <w:jc w:val="right"/>
              <w:ind w:right="341"/>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68.6</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17.4</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80" w:type="dxa"/>
            <w:vAlign w:val="bottom"/>
          </w:tcPr>
          <w:p>
            <w:pPr>
              <w:spacing w:after="0"/>
              <w:rPr>
                <w:sz w:val="18"/>
                <w:szCs w:val="18"/>
                <w:color w:val="auto"/>
              </w:rPr>
            </w:pP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8.6</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(20.9)</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33" w:lineRule="exact"/>
        <w:rPr>
          <w:sz w:val="20"/>
          <w:szCs w:val="20"/>
          <w:color w:val="auto"/>
        </w:rPr>
      </w:pPr>
    </w:p>
    <w:p>
      <w:pPr>
        <w:ind w:right="380" w:firstLine="162"/>
        <w:spacing w:after="0" w:line="279"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3"/>
                <w:szCs w:val="13"/>
                <w:b w:val="1"/>
                <w:bCs w:val="1"/>
                <w:color w:val="auto"/>
              </w:rPr>
              <w:t>Three Months Ended</w:t>
            </w:r>
          </w:p>
        </w:tc>
      </w:t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2024</w:t>
            </w:r>
          </w:p>
        </w:tc>
        <w:tc>
          <w:tcPr>
            <w:tcW w:w="260" w:type="dxa"/>
            <w:vAlign w:val="bottom"/>
          </w:tcPr>
          <w:p>
            <w:pPr>
              <w:spacing w:after="0"/>
              <w:rPr>
                <w:sz w:val="14"/>
                <w:szCs w:val="14"/>
                <w:color w:val="auto"/>
              </w:rPr>
            </w:pPr>
          </w:p>
        </w:tc>
        <w:tc>
          <w:tcPr>
            <w:tcW w:w="1400" w:type="dxa"/>
            <w:vAlign w:val="bottom"/>
          </w:tcPr>
          <w:p>
            <w:pPr>
              <w:jc w:val="right"/>
              <w:ind w:right="302"/>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3,598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(2,408)</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Employee separation costs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2024, 26.0% of GM's wholesale vehicle sales volume was generated outside the U.S. The following table summarizes wholesale vehicle sales by automotive segment (vehicles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3600" w:type="dxa"/>
            <w:vAlign w:val="bottom"/>
            <w:tcBorders>
              <w:bottom w:val="single" w:sz="8" w:color="auto"/>
            </w:tcBorders>
            <w:gridSpan w:val="5"/>
          </w:tcPr>
          <w:p>
            <w:pPr>
              <w:ind w:left="1180"/>
              <w:spacing w:after="0"/>
              <w:rPr>
                <w:sz w:val="20"/>
                <w:szCs w:val="20"/>
                <w:color w:val="auto"/>
              </w:rPr>
            </w:pPr>
            <w:r>
              <w:rPr>
                <w:rFonts w:ascii="Arial" w:cs="Arial" w:eastAsia="Arial" w:hAnsi="Arial"/>
                <w:sz w:val="13"/>
                <w:szCs w:val="13"/>
                <w:b w:val="1"/>
                <w:bCs w:val="1"/>
                <w:color w:val="auto"/>
              </w:rPr>
              <w:t>Three Months Ended</w:t>
            </w:r>
          </w:p>
        </w:tc>
      </w:tr>
      <w:tr>
        <w:trPr>
          <w:trHeight w:val="171"/>
        </w:trPr>
        <w:tc>
          <w:tcPr>
            <w:tcW w:w="7640" w:type="dxa"/>
            <w:vAlign w:val="bottom"/>
          </w:tcPr>
          <w:p>
            <w:pPr>
              <w:spacing w:after="0"/>
              <w:rPr>
                <w:sz w:val="14"/>
                <w:szCs w:val="14"/>
                <w:color w:val="auto"/>
              </w:rPr>
            </w:pPr>
          </w:p>
        </w:tc>
        <w:tc>
          <w:tcPr>
            <w:tcW w:w="1840" w:type="dxa"/>
            <w:vAlign w:val="bottom"/>
            <w:gridSpan w:val="3"/>
          </w:tcPr>
          <w:p>
            <w:pPr>
              <w:ind w:left="420"/>
              <w:spacing w:after="0"/>
              <w:rPr>
                <w:sz w:val="20"/>
                <w:szCs w:val="20"/>
                <w:color w:val="auto"/>
              </w:rPr>
            </w:pPr>
            <w:r>
              <w:rPr>
                <w:rFonts w:ascii="Arial" w:cs="Arial" w:eastAsia="Arial" w:hAnsi="Arial"/>
                <w:sz w:val="13"/>
                <w:szCs w:val="13"/>
                <w:b w:val="1"/>
                <w:bCs w:val="1"/>
                <w:color w:val="auto"/>
              </w:rPr>
              <w:t>March 31, 2024</w:t>
            </w:r>
          </w:p>
        </w:tc>
        <w:tc>
          <w:tcPr>
            <w:tcW w:w="1760" w:type="dxa"/>
            <w:vAlign w:val="bottom"/>
            <w:gridSpan w:val="2"/>
          </w:tcPr>
          <w:p>
            <w:pPr>
              <w:ind w:left="440"/>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723</w:t>
            </w:r>
          </w:p>
        </w:tc>
        <w:tc>
          <w:tcPr>
            <w:tcW w:w="100" w:type="dxa"/>
            <w:vAlign w:val="bottom"/>
            <w:tcBorders>
              <w:top w:val="single" w:sz="8" w:color="auto"/>
            </w:tcBorders>
            <w:shd w:val="clear" w:color="auto" w:fill="CCEEFF"/>
          </w:tcPr>
          <w:p>
            <w:pPr>
              <w:spacing w:after="0"/>
              <w:rPr>
                <w:sz w:val="18"/>
                <w:szCs w:val="18"/>
                <w:color w:val="auto"/>
              </w:rPr>
            </w:pP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tcPr>
          <w:p>
            <w:pPr>
              <w:spacing w:after="0"/>
              <w:rPr>
                <w:sz w:val="18"/>
                <w:szCs w:val="18"/>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Market Share</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6"/>
                <w:szCs w:val="16"/>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12.9 %</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4,752</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4,475</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Asia/Pacific, Middle East and Africa</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Asia/Pacific, Middle East and Africa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11,117</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2"/>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1180" w:type="dxa"/>
            <w:vAlign w:val="bottom"/>
          </w:tcPr>
          <w:p>
            <w:pPr>
              <w:jc w:val="right"/>
              <w:spacing w:after="0"/>
              <w:rPr>
                <w:sz w:val="20"/>
                <w:szCs w:val="20"/>
                <w:color w:val="auto"/>
              </w:rPr>
            </w:pPr>
            <w:r>
              <w:rPr>
                <w:rFonts w:ascii="Arial" w:cs="Arial" w:eastAsia="Arial" w:hAnsi="Arial"/>
                <w:sz w:val="14"/>
                <w:szCs w:val="14"/>
                <w:color w:val="auto"/>
              </w:rPr>
              <w:t>16,692</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1,347</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15,974</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1,382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4,089</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20,986</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20,063</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Cars</w:t>
            </w:r>
          </w:p>
        </w:tc>
        <w:tc>
          <w:tcPr>
            <w:tcW w:w="1180" w:type="dxa"/>
            <w:vAlign w:val="bottom"/>
          </w:tcPr>
          <w:p>
            <w:pPr>
              <w:jc w:val="right"/>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11.5 %</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4"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spacing w:after="0" w:line="302" w:lineRule="exact"/>
        <w:rPr>
          <w:sz w:val="20"/>
          <w:szCs w:val="20"/>
          <w:color w:val="auto"/>
        </w:rPr>
      </w:pPr>
    </w:p>
    <w:p>
      <w:pPr>
        <w:jc w:val="both"/>
        <w:ind w:right="20" w:firstLine="162"/>
        <w:spacing w:after="0" w:line="268"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3620" w:type="dxa"/>
            <w:vAlign w:val="bottom"/>
            <w:tcBorders>
              <w:bottom w:val="single" w:sz="8" w:color="auto"/>
            </w:tcBorders>
            <w:gridSpan w:val="3"/>
          </w:tcPr>
          <w:p>
            <w:pPr>
              <w:jc w:val="right"/>
              <w:ind w:right="1122"/>
              <w:spacing w:after="0"/>
              <w:rPr>
                <w:sz w:val="20"/>
                <w:szCs w:val="20"/>
                <w:color w:val="auto"/>
              </w:rPr>
            </w:pPr>
            <w:r>
              <w:rPr>
                <w:rFonts w:ascii="Arial" w:cs="Arial" w:eastAsia="Arial" w:hAnsi="Arial"/>
                <w:sz w:val="13"/>
                <w:szCs w:val="13"/>
                <w:b w:val="1"/>
                <w:bCs w:val="1"/>
                <w:color w:val="auto"/>
              </w:rPr>
              <w:t>Three Months Ended</w:t>
            </w:r>
          </w:p>
        </w:tc>
      </w:tr>
      <w:tr>
        <w:trPr>
          <w:trHeight w:val="171"/>
        </w:trPr>
        <w:tc>
          <w:tcPr>
            <w:tcW w:w="7560" w:type="dxa"/>
            <w:vAlign w:val="bottom"/>
          </w:tcPr>
          <w:p>
            <w:pPr>
              <w:spacing w:after="0"/>
              <w:rPr>
                <w:sz w:val="14"/>
                <w:szCs w:val="14"/>
                <w:color w:val="auto"/>
              </w:rPr>
            </w:pPr>
          </w:p>
        </w:tc>
        <w:tc>
          <w:tcPr>
            <w:tcW w:w="1860" w:type="dxa"/>
            <w:vAlign w:val="bottom"/>
            <w:gridSpan w:val="2"/>
          </w:tcPr>
          <w:p>
            <w:pPr>
              <w:ind w:left="420"/>
              <w:spacing w:after="0"/>
              <w:rPr>
                <w:sz w:val="20"/>
                <w:szCs w:val="20"/>
                <w:color w:val="auto"/>
              </w:rPr>
            </w:pPr>
            <w:r>
              <w:rPr>
                <w:rFonts w:ascii="Arial" w:cs="Arial" w:eastAsia="Arial" w:hAnsi="Arial"/>
                <w:sz w:val="13"/>
                <w:szCs w:val="13"/>
                <w:b w:val="1"/>
                <w:bCs w:val="1"/>
                <w:color w:val="auto"/>
              </w:rPr>
              <w:t>March 31, 2024</w:t>
            </w:r>
          </w:p>
        </w:tc>
        <w:tc>
          <w:tcPr>
            <w:tcW w:w="1760" w:type="dxa"/>
            <w:vAlign w:val="bottom"/>
          </w:tcPr>
          <w:p>
            <w:pPr>
              <w:jc w:val="right"/>
              <w:ind w:right="362"/>
              <w:spacing w:after="0"/>
              <w:rPr>
                <w:sz w:val="20"/>
                <w:szCs w:val="20"/>
                <w:color w:val="auto"/>
              </w:rPr>
            </w:pPr>
            <w:r>
              <w:rPr>
                <w:rFonts w:ascii="Arial" w:cs="Arial" w:eastAsia="Arial" w:hAnsi="Arial"/>
                <w:sz w:val="13"/>
                <w:szCs w:val="13"/>
                <w:b w:val="1"/>
                <w:bCs w:val="1"/>
                <w:color w:val="auto"/>
              </w:rPr>
              <w:t>March 31, 2023</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GMNA</w:t>
            </w:r>
          </w:p>
        </w:tc>
        <w:tc>
          <w:tcPr>
            <w:tcW w:w="17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177</w:t>
            </w:r>
          </w:p>
        </w:tc>
      </w:tr>
      <w:tr>
        <w:trPr>
          <w:trHeight w:val="21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GMI</w:t>
            </w:r>
          </w:p>
        </w:tc>
        <w:tc>
          <w:tcPr>
            <w:tcW w:w="17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90</w:t>
            </w:r>
          </w:p>
        </w:tc>
      </w:tr>
      <w:tr>
        <w:trPr>
          <w:trHeight w:val="23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fleet sales</w:t>
            </w:r>
          </w:p>
        </w:tc>
        <w:tc>
          <w:tcPr>
            <w:tcW w:w="17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267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Fleet sales as a percentage of total vehicle sales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r>
      <w:tr>
        <w:trPr>
          <w:trHeight w:val="122"/>
        </w:trPr>
        <w:tc>
          <w:tcPr>
            <w:tcW w:w="75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 capacity two-shift utilization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96.0 %</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2024-04-23T06:22:57Z</dcterms:created>
  <dcterms:modified xsi:type="dcterms:W3CDTF">2024-04-23T06:22:57Z</dcterms:modified>
</cp:coreProperties>
</file>