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333-236276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2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52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580" w:type="dxa"/>
            <w:vAlign w:val="bottom"/>
            <w:tcBorders>
              <w:right w:val="single" w:sz="8" w:color="auto"/>
            </w:tcBorders>
          </w:tcPr>
          <w:p>
            <w:pPr>
              <w:jc w:val="center"/>
              <w:ind w:left="1"/>
              <w:spacing w:after="0" w:line="116" w:lineRule="exact"/>
              <w:rPr>
                <w:sz w:val="20"/>
                <w:szCs w:val="20"/>
                <w:color w:val="auto"/>
              </w:rPr>
            </w:pPr>
            <w:r>
              <w:rPr>
                <w:rFonts w:ascii="Arial" w:cs="Arial" w:eastAsia="Arial" w:hAnsi="Arial"/>
                <w:sz w:val="13"/>
                <w:szCs w:val="13"/>
                <w:b w:val="1"/>
                <w:bCs w:val="1"/>
                <w:color w:val="auto"/>
                <w:w w:val="96"/>
              </w:rPr>
              <w:t>Proposed</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5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jc w:val="center"/>
              <w:ind w:left="1"/>
              <w:spacing w:after="0" w:line="149" w:lineRule="exact"/>
              <w:rPr>
                <w:sz w:val="20"/>
                <w:szCs w:val="20"/>
                <w:color w:val="auto"/>
              </w:rPr>
            </w:pPr>
            <w:r>
              <w:rPr>
                <w:rFonts w:ascii="Arial" w:cs="Arial" w:eastAsia="Arial" w:hAnsi="Arial"/>
                <w:sz w:val="14"/>
                <w:szCs w:val="14"/>
                <w:b w:val="1"/>
                <w:bCs w:val="1"/>
                <w:color w:val="auto"/>
                <w:w w:val="99"/>
              </w:rPr>
              <w:t>Maximum</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320" w:type="dxa"/>
            <w:vAlign w:val="bottom"/>
            <w:tcBorders>
              <w:right w:val="single" w:sz="8" w:color="auto"/>
            </w:tcBorders>
          </w:tcPr>
          <w:p>
            <w:pPr>
              <w:jc w:val="center"/>
              <w:ind w:left="1"/>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80" w:type="dxa"/>
            <w:vAlign w:val="bottom"/>
            <w:tcBorders>
              <w:right w:val="single" w:sz="8" w:color="auto"/>
            </w:tcBorders>
          </w:tcPr>
          <w:p>
            <w:pPr>
              <w:jc w:val="center"/>
              <w:ind w:left="1"/>
              <w:spacing w:after="0" w:line="149" w:lineRule="exact"/>
              <w:rPr>
                <w:sz w:val="20"/>
                <w:szCs w:val="20"/>
                <w:color w:val="auto"/>
              </w:rPr>
            </w:pPr>
            <w:r>
              <w:rPr>
                <w:rFonts w:ascii="Arial" w:cs="Arial" w:eastAsia="Arial" w:hAnsi="Arial"/>
                <w:sz w:val="14"/>
                <w:szCs w:val="14"/>
                <w:b w:val="1"/>
                <w:bCs w:val="1"/>
                <w:color w:val="auto"/>
                <w:w w:val="89"/>
              </w:rPr>
              <w:t>Aggregate</w:t>
            </w:r>
          </w:p>
        </w:tc>
        <w:tc>
          <w:tcPr>
            <w:tcW w:w="154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6"/>
        </w:trPr>
        <w:tc>
          <w:tcPr>
            <w:tcW w:w="5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3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6"/>
              </w:rPr>
              <w:t>Per Unit (1)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(2)</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5.40% Senior Notes due 2023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13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99.896%</w:t>
            </w:r>
          </w:p>
        </w:tc>
        <w:tc>
          <w:tcPr>
            <w:tcW w:w="15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8"/>
              </w:rPr>
              <w:t>$998,960,000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$129,665</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6.125% Senior Notes due 2025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$2,000,000,000</w:t>
            </w:r>
          </w:p>
        </w:tc>
        <w:tc>
          <w:tcPr>
            <w:tcW w:w="13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99.899%</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$1,997,980,000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$259,337</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6.80% Senior Notes due 2027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13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99.775%</w:t>
            </w:r>
          </w:p>
        </w:tc>
        <w:tc>
          <w:tcPr>
            <w:tcW w:w="15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8"/>
              </w:rPr>
              <w:t>$997,750,000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$129,508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fee is calculated pursuant to Rule 457(r) under the Securities Act of 1933, as amended.</w:t>
      </w:r>
    </w:p>
    <w:p>
      <w:pPr>
        <w:spacing w:after="0" w:line="2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Paid herewith.</w:t>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5,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$4,000,000,000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153670</wp:posOffset>
            </wp:positionV>
            <wp:extent cx="3051810"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51810" cy="16319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both"/>
        <w:ind w:left="2120" w:right="2120" w:firstLine="90"/>
        <w:spacing w:after="0" w:line="266" w:lineRule="auto"/>
        <w:rPr>
          <w:sz w:val="20"/>
          <w:szCs w:val="20"/>
          <w:color w:val="auto"/>
        </w:rPr>
      </w:pPr>
      <w:r>
        <w:rPr>
          <w:rFonts w:ascii="Arial" w:cs="Arial" w:eastAsia="Arial" w:hAnsi="Arial"/>
          <w:sz w:val="32"/>
          <w:szCs w:val="32"/>
          <w:b w:val="1"/>
          <w:bCs w:val="1"/>
          <w:color w:val="auto"/>
        </w:rPr>
        <w:t>$1,000,000,000 5.40% Senior Notes due 2023 $2,000,000,000 6.125% Senior Notes due 2025 $1,000,000,000 6.80%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77470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6" w:lineRule="exact"/>
        <w:rPr>
          <w:sz w:val="20"/>
          <w:szCs w:val="20"/>
          <w:color w:val="auto"/>
        </w:rPr>
      </w:pPr>
    </w:p>
    <w:p>
      <w:pPr>
        <w:ind w:right="180" w:firstLine="449"/>
        <w:spacing w:after="0" w:line="248" w:lineRule="auto"/>
        <w:rPr>
          <w:sz w:val="20"/>
          <w:szCs w:val="20"/>
          <w:color w:val="auto"/>
        </w:rPr>
      </w:pPr>
      <w:r>
        <w:rPr>
          <w:rFonts w:ascii="Arial" w:cs="Arial" w:eastAsia="Arial" w:hAnsi="Arial"/>
          <w:sz w:val="13"/>
          <w:szCs w:val="13"/>
          <w:color w:val="auto"/>
        </w:rPr>
        <w:t>General Motors Company is offering $1,000,000,000 in aggregate principal amount of 5.40% Senior Notes due 2023 (the “2023 Notes”), $2,000,000,000 in aggregate principal amount of 6.125% Senior Notes due 2025 (the “2025 Notes”) and $1,000,000,000 in aggregate principal amount of 6.80% Senior Notes due 2027 (the “2027 Notes” and, collectively with the 2023 Notes and the 2025 Notes, the “Notes”).</w:t>
      </w:r>
    </w:p>
    <w:p>
      <w:pPr>
        <w:spacing w:after="0" w:line="63" w:lineRule="exact"/>
        <w:rPr>
          <w:sz w:val="20"/>
          <w:szCs w:val="20"/>
          <w:color w:val="auto"/>
        </w:rPr>
      </w:pPr>
    </w:p>
    <w:p>
      <w:pPr>
        <w:ind w:right="120" w:firstLine="449"/>
        <w:spacing w:after="0" w:line="245" w:lineRule="auto"/>
        <w:rPr>
          <w:sz w:val="20"/>
          <w:szCs w:val="20"/>
          <w:color w:val="auto"/>
        </w:rPr>
      </w:pPr>
      <w:r>
        <w:rPr>
          <w:rFonts w:ascii="Arial" w:cs="Arial" w:eastAsia="Arial" w:hAnsi="Arial"/>
          <w:sz w:val="13"/>
          <w:szCs w:val="13"/>
          <w:color w:val="auto"/>
        </w:rPr>
        <w:t>The 2023 Notes will mature on October 2, 2023, the 2025 Notes will mature on October 1, 2025 and the 2027 Notes will mature on October 1, 2027. Interest on the Notes will accrue from May 12, 2020. We will pay interest on the 2023 Notes semi-annually on April 2 and October 2 of each year, commencing on October 2, 2020. We will pay interest on the 2025 Notes and the 2027 Notes semi-annually on April 1 and October 1 of each year, commencing on October 1, 2020. The Notes will be our senior unsecured obligations and will rank equally in right of payment with all of our existing and future senior unsecured indebtedness.</w:t>
      </w:r>
    </w:p>
    <w:p>
      <w:pPr>
        <w:spacing w:after="0" w:line="65" w:lineRule="exact"/>
        <w:rPr>
          <w:sz w:val="20"/>
          <w:szCs w:val="20"/>
          <w:color w:val="auto"/>
        </w:rPr>
      </w:pPr>
    </w:p>
    <w:p>
      <w:pPr>
        <w:ind w:right="180" w:firstLine="449"/>
        <w:spacing w:after="0" w:line="258" w:lineRule="auto"/>
        <w:rPr>
          <w:sz w:val="20"/>
          <w:szCs w:val="20"/>
          <w:color w:val="auto"/>
        </w:rPr>
      </w:pPr>
      <w:r>
        <w:rPr>
          <w:rFonts w:ascii="Arial" w:cs="Arial" w:eastAsia="Arial" w:hAnsi="Arial"/>
          <w:sz w:val="13"/>
          <w:szCs w:val="13"/>
          <w:color w:val="auto"/>
        </w:rPr>
        <w:t>We may, at our option, redeem some or all of the 2023 Notes, the 2025 Notes and the 2027 Notes at any time and from time to time at the applicable redemption prices described under “Description of the Notes—Optional Redemption.”</w:t>
      </w:r>
    </w:p>
    <w:p>
      <w:pPr>
        <w:spacing w:after="0" w:line="38" w:lineRule="exact"/>
        <w:rPr>
          <w:sz w:val="20"/>
          <w:szCs w:val="20"/>
          <w:color w:val="auto"/>
        </w:rPr>
      </w:pPr>
    </w:p>
    <w:p>
      <w:pPr>
        <w:ind w:right="860" w:firstLine="449"/>
        <w:spacing w:after="0" w:line="327"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risks. See “</w:t>
      </w:r>
      <w:hyperlink w:anchor="page1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S-6 of this prospectus supplement, in the accompanying prospectus and in our periodic reports filed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53340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42" w:lineRule="exact"/>
        <w:rPr>
          <w:sz w:val="20"/>
          <w:szCs w:val="20"/>
          <w:color w:val="auto"/>
        </w:rPr>
      </w:pPr>
    </w:p>
    <w:p>
      <w:pPr>
        <w:ind w:right="120" w:firstLine="449"/>
        <w:spacing w:after="0" w:line="284"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77470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700" w:type="dxa"/>
            <w:vAlign w:val="bottom"/>
          </w:tcPr>
          <w:p>
            <w:pPr>
              <w:jc w:val="right"/>
              <w:ind w:right="162"/>
              <w:spacing w:after="0"/>
              <w:rPr>
                <w:sz w:val="20"/>
                <w:szCs w:val="20"/>
                <w:color w:val="auto"/>
              </w:rPr>
            </w:pPr>
            <w:r>
              <w:rPr>
                <w:rFonts w:ascii="Arial" w:cs="Arial" w:eastAsia="Arial" w:hAnsi="Arial"/>
                <w:sz w:val="13"/>
                <w:szCs w:val="13"/>
                <w:b w:val="1"/>
                <w:bCs w:val="1"/>
                <w:color w:val="auto"/>
              </w:rPr>
              <w:t>Per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700" w:type="dxa"/>
            <w:vAlign w:val="bottom"/>
          </w:tcPr>
          <w:p>
            <w:pPr>
              <w:jc w:val="right"/>
              <w:ind w:right="122"/>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Per 2025</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162"/>
              <w:spacing w:after="0"/>
              <w:rPr>
                <w:sz w:val="20"/>
                <w:szCs w:val="20"/>
                <w:color w:val="auto"/>
              </w:rPr>
            </w:pPr>
            <w:r>
              <w:rPr>
                <w:rFonts w:ascii="Arial" w:cs="Arial" w:eastAsia="Arial" w:hAnsi="Arial"/>
                <w:sz w:val="13"/>
                <w:szCs w:val="13"/>
                <w:b w:val="1"/>
                <w:bCs w:val="1"/>
                <w:color w:val="auto"/>
              </w:rPr>
              <w:t>2027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4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Note</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Note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Note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196"/>
        </w:trPr>
        <w:tc>
          <w:tcPr>
            <w:tcW w:w="41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Price to Public(1)</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99.896%</w:t>
            </w: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998,960,000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99.899%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1,997,980,000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99.775%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997,750,000</w:t>
            </w: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Underwriting Discounts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0.400%</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4,000,000</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0.500%</w:t>
            </w:r>
          </w:p>
        </w:tc>
        <w:tc>
          <w:tcPr>
            <w:tcW w:w="2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0.550%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5,500,000</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us(1)</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99.496%</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994,960,000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99.399%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1,987,980,000</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99.225%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992,250,000</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88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3"/>
          <w:szCs w:val="13"/>
          <w:color w:val="auto"/>
        </w:rPr>
      </w:pPr>
      <w:r>
        <w:rPr>
          <w:rFonts w:ascii="Arial" w:cs="Arial" w:eastAsia="Arial" w:hAnsi="Arial"/>
          <w:sz w:val="13"/>
          <w:szCs w:val="13"/>
          <w:color w:val="auto"/>
        </w:rPr>
        <w:t>Plus accrued interest, if any, from and including May 12, 2020 to but excluding the delivery date.</w:t>
      </w:r>
    </w:p>
    <w:p>
      <w:pPr>
        <w:spacing w:after="0" w:line="80"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The Notes will not be listed on any securities exchange or automated quotation system. Currently there are no markets for the Notes.</w:t>
      </w:r>
    </w:p>
    <w:p>
      <w:pPr>
        <w:spacing w:after="0" w:line="80" w:lineRule="exact"/>
        <w:rPr>
          <w:sz w:val="20"/>
          <w:szCs w:val="20"/>
          <w:color w:val="auto"/>
        </w:rPr>
      </w:pPr>
    </w:p>
    <w:p>
      <w:pPr>
        <w:ind w:right="120" w:firstLine="449"/>
        <w:spacing w:after="0" w:line="258" w:lineRule="auto"/>
        <w:rPr>
          <w:sz w:val="20"/>
          <w:szCs w:val="20"/>
          <w:color w:val="auto"/>
        </w:rPr>
      </w:pPr>
      <w:r>
        <w:rPr>
          <w:rFonts w:ascii="Arial" w:cs="Arial" w:eastAsia="Arial" w:hAnsi="Arial"/>
          <w:sz w:val="13"/>
          <w:szCs w:val="13"/>
          <w:color w:val="auto"/>
        </w:rPr>
        <w:t xml:space="preserve">The underwriters expect to deliver the Notes to purchasers in book-entry form through the facilities of The Depository Trust Company and its participants, including Euroclear Bank S.A./N.V. and Clearstream Banking, </w:t>
      </w:r>
      <w:r>
        <w:rPr>
          <w:rFonts w:ascii="Arial" w:cs="Arial" w:eastAsia="Arial" w:hAnsi="Arial"/>
          <w:sz w:val="13"/>
          <w:szCs w:val="13"/>
          <w:i w:val="1"/>
          <w:iCs w:val="1"/>
          <w:color w:val="auto"/>
        </w:rPr>
        <w:t>société anonyme</w:t>
      </w:r>
      <w:r>
        <w:rPr>
          <w:rFonts w:ascii="Arial" w:cs="Arial" w:eastAsia="Arial" w:hAnsi="Arial"/>
          <w:sz w:val="13"/>
          <w:szCs w:val="13"/>
          <w:color w:val="auto"/>
        </w:rPr>
        <w:t>, on or about May 12,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5080" w:type="dxa"/>
            <w:vAlign w:val="bottom"/>
            <w:gridSpan w:val="3"/>
          </w:tcPr>
          <w:p>
            <w:pPr>
              <w:jc w:val="center"/>
              <w:ind w:right="117"/>
              <w:spacing w:after="0"/>
              <w:rPr>
                <w:sz w:val="20"/>
                <w:szCs w:val="20"/>
                <w:color w:val="auto"/>
              </w:rPr>
            </w:pPr>
            <w:r>
              <w:rPr>
                <w:rFonts w:ascii="Arial" w:cs="Arial" w:eastAsia="Arial" w:hAnsi="Arial"/>
                <w:sz w:val="18"/>
                <w:szCs w:val="18"/>
                <w:i w:val="1"/>
                <w:iCs w:val="1"/>
                <w:color w:val="auto"/>
                <w:w w:val="97"/>
              </w:rPr>
              <w:t>Joint Book-Running Managers</w:t>
            </w:r>
          </w:p>
        </w:tc>
        <w:tc>
          <w:tcPr>
            <w:tcW w:w="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24"/>
                <w:szCs w:val="24"/>
                <w:b w:val="1"/>
                <w:bCs w:val="1"/>
                <w:color w:val="auto"/>
              </w:rPr>
              <w:t>Deutsche Bank Securities</w:t>
            </w:r>
          </w:p>
        </w:tc>
        <w:tc>
          <w:tcPr>
            <w:tcW w:w="1600" w:type="dxa"/>
            <w:vAlign w:val="bottom"/>
          </w:tcPr>
          <w:p>
            <w:pPr>
              <w:spacing w:after="0"/>
              <w:rPr>
                <w:sz w:val="24"/>
                <w:szCs w:val="24"/>
                <w:color w:val="auto"/>
              </w:rPr>
            </w:pPr>
          </w:p>
        </w:tc>
        <w:tc>
          <w:tcPr>
            <w:tcW w:w="1360" w:type="dxa"/>
            <w:vAlign w:val="bottom"/>
          </w:tcPr>
          <w:p>
            <w:pPr>
              <w:ind w:left="300"/>
              <w:spacing w:after="0"/>
              <w:rPr>
                <w:sz w:val="20"/>
                <w:szCs w:val="20"/>
                <w:color w:val="auto"/>
              </w:rPr>
            </w:pPr>
            <w:r>
              <w:rPr>
                <w:rFonts w:ascii="Arial" w:cs="Arial" w:eastAsia="Arial" w:hAnsi="Arial"/>
                <w:sz w:val="24"/>
                <w:szCs w:val="24"/>
                <w:b w:val="1"/>
                <w:bCs w:val="1"/>
                <w:color w:val="auto"/>
              </w:rPr>
              <w:t>Barclays</w:t>
            </w:r>
          </w:p>
        </w:tc>
        <w:tc>
          <w:tcPr>
            <w:tcW w:w="2940" w:type="dxa"/>
            <w:vAlign w:val="bottom"/>
            <w:gridSpan w:val="2"/>
          </w:tcPr>
          <w:p>
            <w:pPr>
              <w:ind w:left="1100"/>
              <w:spacing w:after="0"/>
              <w:rPr>
                <w:sz w:val="20"/>
                <w:szCs w:val="20"/>
                <w:color w:val="auto"/>
              </w:rPr>
            </w:pPr>
            <w:r>
              <w:rPr>
                <w:rFonts w:ascii="Arial" w:cs="Arial" w:eastAsia="Arial" w:hAnsi="Arial"/>
                <w:sz w:val="24"/>
                <w:szCs w:val="24"/>
                <w:b w:val="1"/>
                <w:bCs w:val="1"/>
                <w:color w:val="auto"/>
              </w:rPr>
              <w:t>BofA Securities</w:t>
            </w:r>
          </w:p>
        </w:tc>
        <w:tc>
          <w:tcPr>
            <w:tcW w:w="2160" w:type="dxa"/>
            <w:vAlign w:val="bottom"/>
          </w:tcPr>
          <w:p>
            <w:pPr>
              <w:jc w:val="right"/>
              <w:spacing w:after="0"/>
              <w:rPr>
                <w:sz w:val="20"/>
                <w:szCs w:val="20"/>
                <w:color w:val="auto"/>
              </w:rPr>
            </w:pPr>
            <w:r>
              <w:rPr>
                <w:rFonts w:ascii="Arial" w:cs="Arial" w:eastAsia="Arial" w:hAnsi="Arial"/>
                <w:sz w:val="24"/>
                <w:szCs w:val="24"/>
                <w:b w:val="1"/>
                <w:bCs w:val="1"/>
                <w:color w:val="auto"/>
              </w:rPr>
              <w:t>Citigroup</w:t>
            </w:r>
          </w:p>
        </w:tc>
        <w:tc>
          <w:tcPr>
            <w:tcW w:w="0" w:type="dxa"/>
            <w:vAlign w:val="bottom"/>
          </w:tcPr>
          <w:p>
            <w:pPr>
              <w:spacing w:after="0"/>
              <w:rPr>
                <w:sz w:val="1"/>
                <w:szCs w:val="1"/>
                <w:color w:val="auto"/>
              </w:rPr>
            </w:pPr>
          </w:p>
        </w:tc>
      </w:tr>
      <w:tr>
        <w:trPr>
          <w:trHeight w:val="322"/>
        </w:trPr>
        <w:tc>
          <w:tcPr>
            <w:tcW w:w="3180" w:type="dxa"/>
            <w:vAlign w:val="bottom"/>
          </w:tcPr>
          <w:p>
            <w:pPr>
              <w:spacing w:after="0"/>
              <w:rPr>
                <w:sz w:val="20"/>
                <w:szCs w:val="20"/>
                <w:color w:val="auto"/>
              </w:rPr>
            </w:pPr>
            <w:r>
              <w:rPr>
                <w:rFonts w:ascii="Arial" w:cs="Arial" w:eastAsia="Arial" w:hAnsi="Arial"/>
                <w:sz w:val="24"/>
                <w:szCs w:val="24"/>
                <w:b w:val="1"/>
                <w:bCs w:val="1"/>
                <w:color w:val="auto"/>
              </w:rPr>
              <w:t>Goldman Sachs &amp; Co. LLC</w:t>
            </w:r>
          </w:p>
        </w:tc>
        <w:tc>
          <w:tcPr>
            <w:tcW w:w="1600" w:type="dxa"/>
            <w:vAlign w:val="bottom"/>
          </w:tcPr>
          <w:p>
            <w:pPr>
              <w:spacing w:after="0"/>
              <w:rPr>
                <w:sz w:val="24"/>
                <w:szCs w:val="24"/>
                <w:color w:val="auto"/>
              </w:rPr>
            </w:pPr>
          </w:p>
        </w:tc>
        <w:tc>
          <w:tcPr>
            <w:tcW w:w="3480" w:type="dxa"/>
            <w:vAlign w:val="bottom"/>
            <w:gridSpan w:val="2"/>
          </w:tcPr>
          <w:p>
            <w:pPr>
              <w:ind w:left="1180"/>
              <w:spacing w:after="0"/>
              <w:rPr>
                <w:sz w:val="20"/>
                <w:szCs w:val="20"/>
                <w:color w:val="auto"/>
              </w:rPr>
            </w:pPr>
            <w:r>
              <w:rPr>
                <w:rFonts w:ascii="Arial" w:cs="Arial" w:eastAsia="Arial" w:hAnsi="Arial"/>
                <w:sz w:val="24"/>
                <w:szCs w:val="24"/>
                <w:b w:val="1"/>
                <w:bCs w:val="1"/>
                <w:color w:val="auto"/>
              </w:rPr>
              <w:t>J.P. Morgan</w:t>
            </w:r>
          </w:p>
        </w:tc>
        <w:tc>
          <w:tcPr>
            <w:tcW w:w="820" w:type="dxa"/>
            <w:vAlign w:val="bottom"/>
          </w:tcPr>
          <w:p>
            <w:pPr>
              <w:spacing w:after="0"/>
              <w:rPr>
                <w:sz w:val="24"/>
                <w:szCs w:val="24"/>
                <w:color w:val="auto"/>
              </w:rPr>
            </w:pPr>
          </w:p>
        </w:tc>
        <w:tc>
          <w:tcPr>
            <w:tcW w:w="2160" w:type="dxa"/>
            <w:vAlign w:val="bottom"/>
            <w:vMerge w:val="restart"/>
          </w:tcPr>
          <w:p>
            <w:pPr>
              <w:jc w:val="right"/>
              <w:spacing w:after="0"/>
              <w:rPr>
                <w:sz w:val="20"/>
                <w:szCs w:val="20"/>
                <w:color w:val="auto"/>
              </w:rPr>
            </w:pPr>
            <w:r>
              <w:rPr>
                <w:rFonts w:ascii="Arial" w:cs="Arial" w:eastAsia="Arial" w:hAnsi="Arial"/>
                <w:sz w:val="24"/>
                <w:szCs w:val="24"/>
                <w:b w:val="1"/>
                <w:bCs w:val="1"/>
                <w:color w:val="auto"/>
              </w:rPr>
              <w:t>Morgan Stanley</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80" w:type="dxa"/>
            <w:vAlign w:val="bottom"/>
            <w:gridSpan w:val="2"/>
            <w:vMerge w:val="restart"/>
          </w:tcPr>
          <w:p>
            <w:pPr>
              <w:jc w:val="center"/>
              <w:ind w:right="1717"/>
              <w:spacing w:after="0"/>
              <w:rPr>
                <w:sz w:val="20"/>
                <w:szCs w:val="20"/>
                <w:color w:val="auto"/>
              </w:rPr>
            </w:pPr>
            <w:r>
              <w:rPr>
                <w:rFonts w:ascii="Arial" w:cs="Arial" w:eastAsia="Arial" w:hAnsi="Arial"/>
                <w:sz w:val="18"/>
                <w:szCs w:val="18"/>
                <w:i w:val="1"/>
                <w:iCs w:val="1"/>
                <w:color w:val="auto"/>
                <w:w w:val="97"/>
              </w:rPr>
              <w:t>Joint Lead Managers</w:t>
            </w:r>
          </w:p>
        </w:tc>
        <w:tc>
          <w:tcPr>
            <w:tcW w:w="82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180" w:type="dxa"/>
            <w:vAlign w:val="bottom"/>
          </w:tcPr>
          <w:p>
            <w:pPr>
              <w:jc w:val="center"/>
              <w:ind w:right="591"/>
              <w:spacing w:after="0"/>
              <w:rPr>
                <w:sz w:val="20"/>
                <w:szCs w:val="20"/>
                <w:color w:val="auto"/>
              </w:rPr>
            </w:pPr>
            <w:r>
              <w:rPr>
                <w:rFonts w:ascii="Arial" w:cs="Arial" w:eastAsia="Arial" w:hAnsi="Arial"/>
                <w:sz w:val="18"/>
                <w:szCs w:val="18"/>
                <w:b w:val="1"/>
                <w:bCs w:val="1"/>
                <w:color w:val="auto"/>
                <w:w w:val="97"/>
              </w:rPr>
              <w:t>Banca IMI</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BBVA</w:t>
            </w:r>
          </w:p>
        </w:tc>
        <w:tc>
          <w:tcPr>
            <w:tcW w:w="1360" w:type="dxa"/>
            <w:vAlign w:val="bottom"/>
          </w:tcPr>
          <w:p>
            <w:pPr>
              <w:spacing w:after="0"/>
              <w:rPr>
                <w:sz w:val="24"/>
                <w:szCs w:val="24"/>
                <w:color w:val="auto"/>
              </w:rPr>
            </w:pPr>
          </w:p>
        </w:tc>
        <w:tc>
          <w:tcPr>
            <w:tcW w:w="2120" w:type="dxa"/>
            <w:vAlign w:val="bottom"/>
          </w:tcPr>
          <w:p>
            <w:pPr>
              <w:jc w:val="center"/>
              <w:ind w:right="477"/>
              <w:spacing w:after="0"/>
              <w:rPr>
                <w:sz w:val="20"/>
                <w:szCs w:val="20"/>
                <w:color w:val="auto"/>
              </w:rPr>
            </w:pPr>
            <w:r>
              <w:rPr>
                <w:rFonts w:ascii="Arial" w:cs="Arial" w:eastAsia="Arial" w:hAnsi="Arial"/>
                <w:sz w:val="18"/>
                <w:szCs w:val="18"/>
                <w:b w:val="1"/>
                <w:bCs w:val="1"/>
                <w:color w:val="auto"/>
                <w:w w:val="96"/>
              </w:rPr>
              <w:t>BNP PARIBAS</w:t>
            </w:r>
          </w:p>
        </w:tc>
        <w:tc>
          <w:tcPr>
            <w:tcW w:w="820" w:type="dxa"/>
            <w:vAlign w:val="bottom"/>
          </w:tcPr>
          <w:p>
            <w:pPr>
              <w:spacing w:after="0"/>
              <w:rPr>
                <w:sz w:val="24"/>
                <w:szCs w:val="24"/>
                <w:color w:val="auto"/>
              </w:rPr>
            </w:pPr>
          </w:p>
        </w:tc>
        <w:tc>
          <w:tcPr>
            <w:tcW w:w="2160" w:type="dxa"/>
            <w:vAlign w:val="bottom"/>
          </w:tcPr>
          <w:p>
            <w:pPr>
              <w:jc w:val="center"/>
              <w:ind w:right="571"/>
              <w:spacing w:after="0"/>
              <w:rPr>
                <w:sz w:val="20"/>
                <w:szCs w:val="20"/>
                <w:color w:val="auto"/>
              </w:rPr>
            </w:pPr>
            <w:r>
              <w:rPr>
                <w:rFonts w:ascii="Arial" w:cs="Arial" w:eastAsia="Arial" w:hAnsi="Arial"/>
                <w:sz w:val="18"/>
                <w:szCs w:val="18"/>
                <w:b w:val="1"/>
                <w:bCs w:val="1"/>
                <w:color w:val="auto"/>
                <w:w w:val="97"/>
              </w:rPr>
              <w:t>COMMERZBANK</w:t>
            </w:r>
          </w:p>
        </w:tc>
        <w:tc>
          <w:tcPr>
            <w:tcW w:w="0" w:type="dxa"/>
            <w:vAlign w:val="bottom"/>
          </w:tcPr>
          <w:p>
            <w:pPr>
              <w:spacing w:after="0"/>
              <w:rPr>
                <w:sz w:val="1"/>
                <w:szCs w:val="1"/>
                <w:color w:val="auto"/>
              </w:rPr>
            </w:pPr>
          </w:p>
        </w:tc>
      </w:tr>
      <w:tr>
        <w:trPr>
          <w:trHeight w:val="283"/>
        </w:trPr>
        <w:tc>
          <w:tcPr>
            <w:tcW w:w="3180" w:type="dxa"/>
            <w:vAlign w:val="bottom"/>
          </w:tcPr>
          <w:p>
            <w:pPr>
              <w:jc w:val="center"/>
              <w:ind w:right="591"/>
              <w:spacing w:after="0"/>
              <w:rPr>
                <w:sz w:val="20"/>
                <w:szCs w:val="20"/>
                <w:color w:val="auto"/>
              </w:rPr>
            </w:pPr>
            <w:r>
              <w:rPr>
                <w:rFonts w:ascii="Arial" w:cs="Arial" w:eastAsia="Arial" w:hAnsi="Arial"/>
                <w:sz w:val="18"/>
                <w:szCs w:val="18"/>
                <w:b w:val="1"/>
                <w:bCs w:val="1"/>
                <w:color w:val="auto"/>
                <w:w w:val="98"/>
              </w:rPr>
              <w:t>Credit Agricole CIB</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Mizuho Securities</w:t>
            </w:r>
          </w:p>
        </w:tc>
        <w:tc>
          <w:tcPr>
            <w:tcW w:w="1360" w:type="dxa"/>
            <w:vAlign w:val="bottom"/>
          </w:tcPr>
          <w:p>
            <w:pPr>
              <w:spacing w:after="0"/>
              <w:rPr>
                <w:sz w:val="24"/>
                <w:szCs w:val="24"/>
                <w:color w:val="auto"/>
              </w:rPr>
            </w:pPr>
          </w:p>
        </w:tc>
        <w:tc>
          <w:tcPr>
            <w:tcW w:w="2120" w:type="dxa"/>
            <w:vAlign w:val="bottom"/>
          </w:tcPr>
          <w:p>
            <w:pPr>
              <w:jc w:val="center"/>
              <w:ind w:right="477"/>
              <w:spacing w:after="0"/>
              <w:rPr>
                <w:sz w:val="20"/>
                <w:szCs w:val="20"/>
                <w:color w:val="auto"/>
              </w:rPr>
            </w:pPr>
            <w:r>
              <w:rPr>
                <w:rFonts w:ascii="Arial" w:cs="Arial" w:eastAsia="Arial" w:hAnsi="Arial"/>
                <w:sz w:val="18"/>
                <w:szCs w:val="18"/>
                <w:b w:val="1"/>
                <w:bCs w:val="1"/>
                <w:color w:val="auto"/>
                <w:w w:val="96"/>
              </w:rPr>
              <w:t>NatWest Markets</w:t>
            </w:r>
          </w:p>
        </w:tc>
        <w:tc>
          <w:tcPr>
            <w:tcW w:w="2980" w:type="dxa"/>
            <w:vAlign w:val="bottom"/>
            <w:gridSpan w:val="2"/>
          </w:tcPr>
          <w:p>
            <w:pPr>
              <w:jc w:val="center"/>
              <w:ind w:left="102"/>
              <w:spacing w:after="0"/>
              <w:rPr>
                <w:sz w:val="20"/>
                <w:szCs w:val="20"/>
                <w:color w:val="auto"/>
              </w:rPr>
            </w:pPr>
            <w:r>
              <w:rPr>
                <w:rFonts w:ascii="Arial" w:cs="Arial" w:eastAsia="Arial" w:hAnsi="Arial"/>
                <w:sz w:val="18"/>
                <w:szCs w:val="18"/>
                <w:b w:val="1"/>
                <w:bCs w:val="1"/>
                <w:color w:val="auto"/>
                <w:w w:val="97"/>
              </w:rPr>
              <w:t>RBC Capital Markets</w:t>
            </w:r>
          </w:p>
        </w:tc>
        <w:tc>
          <w:tcPr>
            <w:tcW w:w="0" w:type="dxa"/>
            <w:vAlign w:val="bottom"/>
          </w:tcPr>
          <w:p>
            <w:pPr>
              <w:spacing w:after="0"/>
              <w:rPr>
                <w:sz w:val="1"/>
                <w:szCs w:val="1"/>
                <w:color w:val="auto"/>
              </w:rPr>
            </w:pPr>
          </w:p>
        </w:tc>
      </w:tr>
      <w:tr>
        <w:trPr>
          <w:trHeight w:val="445"/>
        </w:trPr>
        <w:tc>
          <w:tcPr>
            <w:tcW w:w="3180" w:type="dxa"/>
            <w:vAlign w:val="bottom"/>
          </w:tcPr>
          <w:p>
            <w:pPr>
              <w:jc w:val="center"/>
              <w:ind w:right="591"/>
              <w:spacing w:after="0"/>
              <w:rPr>
                <w:sz w:val="20"/>
                <w:szCs w:val="20"/>
                <w:color w:val="auto"/>
              </w:rPr>
            </w:pPr>
            <w:r>
              <w:rPr>
                <w:rFonts w:ascii="Arial" w:cs="Arial" w:eastAsia="Arial" w:hAnsi="Arial"/>
                <w:sz w:val="18"/>
                <w:szCs w:val="18"/>
                <w:b w:val="1"/>
                <w:bCs w:val="1"/>
                <w:color w:val="auto"/>
                <w:w w:val="97"/>
              </w:rPr>
              <w:t>Scotiabank</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SMBC Nikko</w:t>
            </w:r>
          </w:p>
        </w:tc>
        <w:tc>
          <w:tcPr>
            <w:tcW w:w="3480" w:type="dxa"/>
            <w:vAlign w:val="bottom"/>
            <w:gridSpan w:val="2"/>
          </w:tcPr>
          <w:p>
            <w:pPr>
              <w:jc w:val="center"/>
              <w:ind w:left="708"/>
              <w:spacing w:after="0"/>
              <w:rPr>
                <w:sz w:val="20"/>
                <w:szCs w:val="20"/>
                <w:color w:val="auto"/>
              </w:rPr>
            </w:pPr>
            <w:r>
              <w:rPr>
                <w:rFonts w:ascii="Arial" w:cs="Arial" w:eastAsia="Arial" w:hAnsi="Arial"/>
                <w:sz w:val="18"/>
                <w:szCs w:val="18"/>
                <w:b w:val="1"/>
                <w:bCs w:val="1"/>
                <w:color w:val="auto"/>
                <w:w w:val="97"/>
              </w:rPr>
              <w:t>SOCIETE GENERALE</w:t>
            </w:r>
          </w:p>
        </w:tc>
        <w:tc>
          <w:tcPr>
            <w:tcW w:w="820" w:type="dxa"/>
            <w:vAlign w:val="bottom"/>
          </w:tcPr>
          <w:p>
            <w:pPr>
              <w:spacing w:after="0"/>
              <w:rPr>
                <w:sz w:val="24"/>
                <w:szCs w:val="24"/>
                <w:color w:val="auto"/>
              </w:rPr>
            </w:pPr>
          </w:p>
        </w:tc>
        <w:tc>
          <w:tcPr>
            <w:tcW w:w="2160" w:type="dxa"/>
            <w:vAlign w:val="bottom"/>
          </w:tcPr>
          <w:p>
            <w:pPr>
              <w:jc w:val="center"/>
              <w:ind w:right="551"/>
              <w:spacing w:after="0"/>
              <w:rPr>
                <w:sz w:val="20"/>
                <w:szCs w:val="20"/>
                <w:color w:val="auto"/>
              </w:rPr>
            </w:pPr>
            <w:r>
              <w:rPr>
                <w:rFonts w:ascii="Arial" w:cs="Arial" w:eastAsia="Arial" w:hAnsi="Arial"/>
                <w:sz w:val="18"/>
                <w:szCs w:val="18"/>
                <w:b w:val="1"/>
                <w:bCs w:val="1"/>
                <w:color w:val="auto"/>
                <w:w w:val="97"/>
              </w:rPr>
              <w:t>TD Securities</w:t>
            </w:r>
          </w:p>
        </w:tc>
        <w:tc>
          <w:tcPr>
            <w:tcW w:w="0" w:type="dxa"/>
            <w:vAlign w:val="bottom"/>
          </w:tcPr>
          <w:p>
            <w:pPr>
              <w:spacing w:after="0"/>
              <w:rPr>
                <w:sz w:val="1"/>
                <w:szCs w:val="1"/>
                <w:color w:val="auto"/>
              </w:rPr>
            </w:pPr>
          </w:p>
        </w:tc>
      </w:tr>
      <w:tr>
        <w:trPr>
          <w:trHeight w:val="393"/>
        </w:trPr>
        <w:tc>
          <w:tcPr>
            <w:tcW w:w="3180" w:type="dxa"/>
            <w:vAlign w:val="bottom"/>
            <w:vMerge w:val="restart"/>
          </w:tcPr>
          <w:p>
            <w:pPr>
              <w:jc w:val="center"/>
              <w:ind w:right="591"/>
              <w:spacing w:after="0"/>
              <w:rPr>
                <w:sz w:val="20"/>
                <w:szCs w:val="20"/>
                <w:color w:val="auto"/>
              </w:rPr>
            </w:pPr>
            <w:r>
              <w:rPr>
                <w:rFonts w:ascii="Arial" w:cs="Arial" w:eastAsia="Arial" w:hAnsi="Arial"/>
                <w:sz w:val="13"/>
                <w:szCs w:val="13"/>
                <w:b w:val="1"/>
                <w:bCs w:val="1"/>
                <w:color w:val="auto"/>
              </w:rPr>
              <w:t>Academy Securities</w:t>
            </w:r>
          </w:p>
        </w:tc>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Bradesco BBI</w:t>
            </w:r>
          </w:p>
        </w:tc>
        <w:tc>
          <w:tcPr>
            <w:tcW w:w="1360" w:type="dxa"/>
            <w:vAlign w:val="bottom"/>
          </w:tcPr>
          <w:p>
            <w:pPr>
              <w:jc w:val="center"/>
              <w:ind w:left="248"/>
              <w:spacing w:after="0"/>
              <w:rPr>
                <w:sz w:val="20"/>
                <w:szCs w:val="20"/>
                <w:color w:val="auto"/>
              </w:rPr>
            </w:pPr>
            <w:r>
              <w:rPr>
                <w:rFonts w:ascii="Arial" w:cs="Arial" w:eastAsia="Arial" w:hAnsi="Arial"/>
                <w:sz w:val="13"/>
                <w:szCs w:val="13"/>
                <w:i w:val="1"/>
                <w:iCs w:val="1"/>
                <w:color w:val="auto"/>
              </w:rPr>
              <w:t>Co-Managers</w:t>
            </w:r>
          </w:p>
        </w:tc>
        <w:tc>
          <w:tcPr>
            <w:tcW w:w="2120" w:type="dxa"/>
            <w:vAlign w:val="bottom"/>
            <w:vMerge w:val="restart"/>
          </w:tcPr>
          <w:p>
            <w:pPr>
              <w:jc w:val="center"/>
              <w:ind w:right="477"/>
              <w:spacing w:after="0"/>
              <w:rPr>
                <w:sz w:val="20"/>
                <w:szCs w:val="20"/>
                <w:color w:val="auto"/>
              </w:rPr>
            </w:pPr>
            <w:r>
              <w:rPr>
                <w:rFonts w:ascii="Arial" w:cs="Arial" w:eastAsia="Arial" w:hAnsi="Arial"/>
                <w:sz w:val="13"/>
                <w:szCs w:val="13"/>
                <w:b w:val="1"/>
                <w:bCs w:val="1"/>
                <w:color w:val="auto"/>
              </w:rPr>
              <w:t>ICBC Standard Bank</w:t>
            </w:r>
          </w:p>
        </w:tc>
        <w:tc>
          <w:tcPr>
            <w:tcW w:w="820" w:type="dxa"/>
            <w:vAlign w:val="bottom"/>
          </w:tcPr>
          <w:p>
            <w:pPr>
              <w:spacing w:after="0"/>
              <w:rPr>
                <w:sz w:val="24"/>
                <w:szCs w:val="24"/>
                <w:color w:val="auto"/>
              </w:rPr>
            </w:pPr>
          </w:p>
        </w:tc>
        <w:tc>
          <w:tcPr>
            <w:tcW w:w="2160" w:type="dxa"/>
            <w:vAlign w:val="bottom"/>
            <w:vMerge w:val="restart"/>
          </w:tcPr>
          <w:p>
            <w:pPr>
              <w:jc w:val="center"/>
              <w:ind w:right="551"/>
              <w:spacing w:after="0"/>
              <w:rPr>
                <w:sz w:val="20"/>
                <w:szCs w:val="20"/>
                <w:color w:val="auto"/>
              </w:rPr>
            </w:pPr>
            <w:r>
              <w:rPr>
                <w:rFonts w:ascii="Arial" w:cs="Arial" w:eastAsia="Arial" w:hAnsi="Arial"/>
                <w:sz w:val="13"/>
                <w:szCs w:val="13"/>
                <w:b w:val="1"/>
                <w:bCs w:val="1"/>
                <w:color w:val="auto"/>
              </w:rPr>
              <w:t>Lloyds Securities</w:t>
            </w:r>
          </w:p>
        </w:tc>
        <w:tc>
          <w:tcPr>
            <w:tcW w:w="0" w:type="dxa"/>
            <w:vAlign w:val="bottom"/>
          </w:tcPr>
          <w:p>
            <w:pPr>
              <w:spacing w:after="0"/>
              <w:rPr>
                <w:sz w:val="1"/>
                <w:szCs w:val="1"/>
                <w:color w:val="auto"/>
              </w:rPr>
            </w:pPr>
          </w:p>
        </w:tc>
      </w:tr>
      <w:tr>
        <w:trPr>
          <w:trHeight w:val="148"/>
        </w:trPr>
        <w:tc>
          <w:tcPr>
            <w:tcW w:w="31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3180" w:type="dxa"/>
            <w:vAlign w:val="bottom"/>
          </w:tcPr>
          <w:p>
            <w:pPr>
              <w:jc w:val="center"/>
              <w:ind w:right="591"/>
              <w:spacing w:after="0"/>
              <w:rPr>
                <w:sz w:val="20"/>
                <w:szCs w:val="20"/>
                <w:color w:val="auto"/>
              </w:rPr>
            </w:pPr>
            <w:r>
              <w:rPr>
                <w:rFonts w:ascii="Arial" w:cs="Arial" w:eastAsia="Arial" w:hAnsi="Arial"/>
                <w:sz w:val="13"/>
                <w:szCs w:val="13"/>
                <w:b w:val="1"/>
                <w:bCs w:val="1"/>
                <w:color w:val="auto"/>
                <w:w w:val="99"/>
              </w:rPr>
              <w:t>MUFG</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rPr>
              <w:t>Santander</w:t>
            </w:r>
          </w:p>
        </w:tc>
        <w:tc>
          <w:tcPr>
            <w:tcW w:w="1360" w:type="dxa"/>
            <w:vAlign w:val="bottom"/>
          </w:tcPr>
          <w:p>
            <w:pPr>
              <w:spacing w:after="0"/>
              <w:rPr>
                <w:sz w:val="24"/>
                <w:szCs w:val="24"/>
                <w:color w:val="auto"/>
              </w:rPr>
            </w:pPr>
          </w:p>
        </w:tc>
        <w:tc>
          <w:tcPr>
            <w:tcW w:w="2120" w:type="dxa"/>
            <w:vAlign w:val="bottom"/>
          </w:tcPr>
          <w:p>
            <w:pPr>
              <w:jc w:val="center"/>
              <w:ind w:right="477"/>
              <w:spacing w:after="0"/>
              <w:rPr>
                <w:sz w:val="20"/>
                <w:szCs w:val="20"/>
                <w:color w:val="auto"/>
              </w:rPr>
            </w:pPr>
            <w:r>
              <w:rPr>
                <w:rFonts w:ascii="Arial" w:cs="Arial" w:eastAsia="Arial" w:hAnsi="Arial"/>
                <w:sz w:val="13"/>
                <w:szCs w:val="13"/>
                <w:b w:val="1"/>
                <w:bCs w:val="1"/>
                <w:color w:val="auto"/>
              </w:rPr>
              <w:t>SunTrust Robinson</w:t>
            </w:r>
          </w:p>
        </w:tc>
        <w:tc>
          <w:tcPr>
            <w:tcW w:w="820" w:type="dxa"/>
            <w:vAlign w:val="bottom"/>
          </w:tcPr>
          <w:p>
            <w:pPr>
              <w:spacing w:after="0"/>
              <w:rPr>
                <w:sz w:val="24"/>
                <w:szCs w:val="24"/>
                <w:color w:val="auto"/>
              </w:rPr>
            </w:pPr>
          </w:p>
        </w:tc>
        <w:tc>
          <w:tcPr>
            <w:tcW w:w="2160" w:type="dxa"/>
            <w:vAlign w:val="bottom"/>
          </w:tcPr>
          <w:p>
            <w:pPr>
              <w:jc w:val="center"/>
              <w:ind w:right="551"/>
              <w:spacing w:after="0"/>
              <w:rPr>
                <w:sz w:val="20"/>
                <w:szCs w:val="20"/>
                <w:color w:val="auto"/>
              </w:rPr>
            </w:pPr>
            <w:r>
              <w:rPr>
                <w:rFonts w:ascii="Arial" w:cs="Arial" w:eastAsia="Arial" w:hAnsi="Arial"/>
                <w:sz w:val="13"/>
                <w:szCs w:val="13"/>
                <w:b w:val="1"/>
                <w:bCs w:val="1"/>
                <w:color w:val="auto"/>
              </w:rPr>
              <w:t>Wolfe Capital Markets</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20" w:type="dxa"/>
            <w:vAlign w:val="bottom"/>
          </w:tcPr>
          <w:p>
            <w:pPr>
              <w:jc w:val="center"/>
              <w:ind w:right="477"/>
              <w:spacing w:after="0"/>
              <w:rPr>
                <w:sz w:val="20"/>
                <w:szCs w:val="20"/>
                <w:color w:val="auto"/>
              </w:rPr>
            </w:pPr>
            <w:r>
              <w:rPr>
                <w:rFonts w:ascii="Arial" w:cs="Arial" w:eastAsia="Arial" w:hAnsi="Arial"/>
                <w:sz w:val="13"/>
                <w:szCs w:val="13"/>
                <w:b w:val="1"/>
                <w:bCs w:val="1"/>
                <w:color w:val="auto"/>
              </w:rPr>
              <w:t>Humphrey</w:t>
            </w:r>
          </w:p>
        </w:tc>
        <w:tc>
          <w:tcPr>
            <w:tcW w:w="820" w:type="dxa"/>
            <w:vAlign w:val="bottom"/>
          </w:tcPr>
          <w:p>
            <w:pPr>
              <w:spacing w:after="0"/>
              <w:rPr>
                <w:sz w:val="14"/>
                <w:szCs w:val="14"/>
                <w:color w:val="auto"/>
              </w:rPr>
            </w:pPr>
          </w:p>
        </w:tc>
        <w:tc>
          <w:tcPr>
            <w:tcW w:w="2160" w:type="dxa"/>
            <w:vAlign w:val="bottom"/>
          </w:tcPr>
          <w:p>
            <w:pPr>
              <w:jc w:val="center"/>
              <w:ind w:right="551"/>
              <w:spacing w:after="0"/>
              <w:rPr>
                <w:sz w:val="20"/>
                <w:szCs w:val="20"/>
                <w:color w:val="auto"/>
              </w:rPr>
            </w:pPr>
            <w:r>
              <w:rPr>
                <w:rFonts w:ascii="Arial" w:cs="Arial" w:eastAsia="Arial" w:hAnsi="Arial"/>
                <w:sz w:val="13"/>
                <w:szCs w:val="13"/>
                <w:b w:val="1"/>
                <w:bCs w:val="1"/>
                <w:color w:val="auto"/>
              </w:rPr>
              <w:t>and Advisory</w:t>
            </w:r>
          </w:p>
        </w:tc>
        <w:tc>
          <w:tcPr>
            <w:tcW w:w="0" w:type="dxa"/>
            <w:vAlign w:val="bottom"/>
          </w:tcPr>
          <w:p>
            <w:pPr>
              <w:spacing w:after="0"/>
              <w:rPr>
                <w:sz w:val="1"/>
                <w:szCs w:val="1"/>
                <w:color w:val="auto"/>
              </w:rPr>
            </w:pPr>
          </w:p>
        </w:tc>
      </w:tr>
      <w:tr>
        <w:trPr>
          <w:trHeight w:val="178"/>
        </w:trPr>
        <w:tc>
          <w:tcPr>
            <w:tcW w:w="3180" w:type="dxa"/>
            <w:vAlign w:val="bottom"/>
          </w:tcPr>
          <w:p>
            <w:pPr>
              <w:ind w:left="1180"/>
              <w:spacing w:after="0"/>
              <w:rPr>
                <w:sz w:val="20"/>
                <w:szCs w:val="20"/>
                <w:color w:val="auto"/>
              </w:rPr>
            </w:pPr>
            <w:r>
              <w:rPr>
                <w:rFonts w:ascii="Arial" w:cs="Arial" w:eastAsia="Arial" w:hAnsi="Arial"/>
                <w:sz w:val="13"/>
                <w:szCs w:val="13"/>
                <w:b w:val="1"/>
                <w:bCs w:val="1"/>
                <w:color w:val="auto"/>
              </w:rPr>
              <w:t>Loop Capital Markets</w:t>
            </w:r>
          </w:p>
        </w:tc>
        <w:tc>
          <w:tcPr>
            <w:tcW w:w="1600" w:type="dxa"/>
            <w:vAlign w:val="bottom"/>
          </w:tcPr>
          <w:p>
            <w:pPr>
              <w:spacing w:after="0"/>
              <w:rPr>
                <w:sz w:val="15"/>
                <w:szCs w:val="15"/>
                <w:color w:val="auto"/>
              </w:rPr>
            </w:pPr>
          </w:p>
        </w:tc>
        <w:tc>
          <w:tcPr>
            <w:tcW w:w="3480" w:type="dxa"/>
            <w:vAlign w:val="bottom"/>
            <w:gridSpan w:val="2"/>
          </w:tcPr>
          <w:p>
            <w:pPr>
              <w:ind w:left="300"/>
              <w:spacing w:after="0"/>
              <w:rPr>
                <w:sz w:val="20"/>
                <w:szCs w:val="20"/>
                <w:color w:val="auto"/>
              </w:rPr>
            </w:pPr>
            <w:r>
              <w:rPr>
                <w:rFonts w:ascii="Arial" w:cs="Arial" w:eastAsia="Arial" w:hAnsi="Arial"/>
                <w:sz w:val="13"/>
                <w:szCs w:val="13"/>
                <w:b w:val="1"/>
                <w:bCs w:val="1"/>
                <w:color w:val="auto"/>
              </w:rPr>
              <w:t>Ramirez &amp; Co., Inc.</w:t>
            </w:r>
          </w:p>
        </w:tc>
        <w:tc>
          <w:tcPr>
            <w:tcW w:w="2980" w:type="dxa"/>
            <w:vAlign w:val="bottom"/>
            <w:gridSpan w:val="2"/>
          </w:tcPr>
          <w:p>
            <w:pPr>
              <w:jc w:val="right"/>
              <w:ind w:right="971"/>
              <w:spacing w:after="0"/>
              <w:rPr>
                <w:sz w:val="20"/>
                <w:szCs w:val="20"/>
                <w:color w:val="auto"/>
              </w:rPr>
            </w:pPr>
            <w:r>
              <w:rPr>
                <w:rFonts w:ascii="Arial" w:cs="Arial" w:eastAsia="Arial" w:hAnsi="Arial"/>
                <w:sz w:val="13"/>
                <w:szCs w:val="13"/>
                <w:b w:val="1"/>
                <w:bCs w:val="1"/>
                <w:color w:val="auto"/>
              </w:rPr>
              <w:t>Siebert Williams Shank</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May 7, 2020.</w:t>
      </w:r>
    </w:p>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2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365"/>
        </w:trPr>
        <w:tc>
          <w:tcPr>
            <w:tcW w:w="8720" w:type="dxa"/>
            <w:vAlign w:val="bottom"/>
          </w:tcPr>
          <w:p>
            <w:pPr>
              <w:ind w:left="4620"/>
              <w:spacing w:after="0"/>
              <w:rPr>
                <w:sz w:val="20"/>
                <w:szCs w:val="20"/>
                <w:color w:val="auto"/>
              </w:rPr>
            </w:pPr>
            <w:r>
              <w:rPr>
                <w:rFonts w:ascii="Arial" w:cs="Arial" w:eastAsia="Arial" w:hAnsi="Arial"/>
                <w:sz w:val="18"/>
                <w:szCs w:val="18"/>
                <w:b w:val="1"/>
                <w:bCs w:val="1"/>
                <w:color w:val="auto"/>
              </w:rPr>
              <w:t>Prospectus Supplement</w:t>
            </w:r>
          </w:p>
        </w:tc>
        <w:tc>
          <w:tcPr>
            <w:tcW w:w="2460" w:type="dxa"/>
            <w:vAlign w:val="bottom"/>
          </w:tcPr>
          <w:p>
            <w:pPr>
              <w:spacing w:after="0"/>
              <w:rPr>
                <w:sz w:val="24"/>
                <w:szCs w:val="24"/>
                <w:color w:val="auto"/>
              </w:rPr>
            </w:pPr>
          </w:p>
        </w:tc>
      </w:tr>
      <w:tr>
        <w:trPr>
          <w:trHeight w:val="397"/>
        </w:trPr>
        <w:tc>
          <w:tcPr>
            <w:tcW w:w="87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STATEMENTS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S-iii</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S-1</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S-6</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USE OF PROCEEDS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S-10</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THE NOTES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S-11</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U.S. FEDERAL TAX CONSIDERATIONS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S-18</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UNDERWRITING</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S-22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MATTERS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S-28</w:t>
            </w:r>
          </w:p>
        </w:tc>
      </w:tr>
      <w:tr>
        <w:trPr>
          <w:trHeight w:val="211"/>
        </w:trPr>
        <w:tc>
          <w:tcPr>
            <w:tcW w:w="872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INCORPORATION OF CERTAIN DOCUMENTS BY REFERENCE</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S-28</w:t>
            </w:r>
          </w:p>
        </w:tc>
      </w:tr>
      <w:tr>
        <w:trPr>
          <w:trHeight w:val="635"/>
        </w:trPr>
        <w:tc>
          <w:tcPr>
            <w:tcW w:w="87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r>
      <w:tr>
        <w:trPr>
          <w:trHeight w:val="418"/>
        </w:trPr>
        <w:tc>
          <w:tcPr>
            <w:tcW w:w="8720" w:type="dxa"/>
            <w:vAlign w:val="bottom"/>
          </w:tcPr>
          <w:p>
            <w:pPr>
              <w:ind w:left="5120"/>
              <w:spacing w:after="0"/>
              <w:rPr>
                <w:sz w:val="20"/>
                <w:szCs w:val="20"/>
                <w:color w:val="auto"/>
              </w:rPr>
            </w:pPr>
            <w:r>
              <w:rPr>
                <w:rFonts w:ascii="Arial" w:cs="Arial" w:eastAsia="Arial" w:hAnsi="Arial"/>
                <w:sz w:val="18"/>
                <w:szCs w:val="18"/>
                <w:b w:val="1"/>
                <w:bCs w:val="1"/>
                <w:color w:val="auto"/>
              </w:rPr>
              <w:t>Prospectus</w:t>
            </w:r>
          </w:p>
        </w:tc>
        <w:tc>
          <w:tcPr>
            <w:tcW w:w="2460" w:type="dxa"/>
            <w:vAlign w:val="bottom"/>
          </w:tcPr>
          <w:p>
            <w:pPr>
              <w:spacing w:after="0"/>
              <w:rPr>
                <w:sz w:val="24"/>
                <w:szCs w:val="24"/>
                <w:color w:val="auto"/>
              </w:rPr>
            </w:pPr>
          </w:p>
        </w:tc>
      </w:tr>
      <w:tr>
        <w:trPr>
          <w:trHeight w:val="410"/>
        </w:trPr>
        <w:tc>
          <w:tcPr>
            <w:tcW w:w="872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ABOUT THIS PROSPECTUS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INCORPORATION OF CERTAIN DOCUMENTS BY REFERENCE</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GENERAL MOTORS COMPANY</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FORWARD-LOOKING STATEMENTS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OVERVIEW OF OUR CAPITAL STOCK</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2"/>
        </w:trPr>
        <w:tc>
          <w:tcPr>
            <w:tcW w:w="8720" w:type="dxa"/>
            <w:vAlign w:val="bottom"/>
          </w:tcPr>
          <w:p>
            <w:pPr>
              <w:spacing w:after="0" w:line="202"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GENERAL DESCRIPTION OF SECURITIES THAT MAY BE OFFERED</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DESCRIPTION OF DEBT SECURITIES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PREFERRED STOCK</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COMMON STOCK</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DESCRIPTION OF WARRANTS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PLAN OF DISTRIBUTION</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MATTERS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EXPERTS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11"/>
        </w:trPr>
        <w:tc>
          <w:tcPr>
            <w:tcW w:w="872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WHERE YOU CAN FIND MORE INFORMATION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right="140" w:firstLine="449"/>
        <w:spacing w:after="0" w:line="236"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56" w:lineRule="exact"/>
        <w:rPr>
          <w:sz w:val="20"/>
          <w:szCs w:val="20"/>
          <w:color w:val="auto"/>
        </w:rPr>
      </w:pPr>
    </w:p>
    <w:p>
      <w:pPr>
        <w:ind w:right="40" w:firstLine="449"/>
        <w:spacing w:after="0" w:line="275" w:lineRule="auto"/>
        <w:rPr>
          <w:sz w:val="20"/>
          <w:szCs w:val="20"/>
          <w:color w:val="auto"/>
        </w:rPr>
      </w:pPr>
      <w:r>
        <w:rPr>
          <w:rFonts w:ascii="Arial" w:cs="Arial" w:eastAsia="Arial" w:hAnsi="Arial"/>
          <w:sz w:val="16"/>
          <w:szCs w:val="16"/>
          <w:color w:val="auto"/>
        </w:rPr>
        <w:t>In this prospectus supplement, unless the context indicates otherwise, references to “we,” “our,” “us,” “ourselves,” the “Company,” “General Motors” or “GM” refer to General Motors Company and, where appropriate, its subsidiaries. However, in the “Summary—The Offering,” “Risk Factors,”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29" w:lineRule="exact"/>
        <w:rPr>
          <w:sz w:val="20"/>
          <w:szCs w:val="20"/>
          <w:color w:val="auto"/>
        </w:rPr>
      </w:pPr>
    </w:p>
    <w:p>
      <w:pPr>
        <w:ind w:right="60" w:firstLine="449"/>
        <w:spacing w:after="0" w:line="235" w:lineRule="auto"/>
        <w:rPr>
          <w:sz w:val="20"/>
          <w:szCs w:val="20"/>
          <w:color w:val="auto"/>
        </w:rPr>
      </w:pPr>
      <w:r>
        <w:rPr>
          <w:rFonts w:ascii="Arial" w:cs="Arial" w:eastAsia="Arial" w:hAnsi="Arial"/>
          <w:sz w:val="18"/>
          <w:szCs w:val="18"/>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60" w:lineRule="exact"/>
        <w:rPr>
          <w:sz w:val="20"/>
          <w:szCs w:val="20"/>
          <w:color w:val="auto"/>
        </w:rPr>
      </w:pPr>
    </w:p>
    <w:p>
      <w:pPr>
        <w:ind w:firstLine="449"/>
        <w:spacing w:after="0" w:line="238"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w:t>
      </w:r>
    </w:p>
    <w:p>
      <w:pPr>
        <w:spacing w:after="0" w:line="79" w:lineRule="exact"/>
        <w:rPr>
          <w:sz w:val="20"/>
          <w:szCs w:val="20"/>
          <w:color w:val="auto"/>
        </w:rPr>
      </w:pPr>
    </w:p>
    <w:p>
      <w:pPr>
        <w:ind w:left="880" w:right="600" w:hanging="427"/>
        <w:spacing w:after="0" w:line="23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new products, services and customer experiences in response to increased competition in the automotive industry;</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timely fund and introduce new and improved vehicle models that are able to attract a sufficient number of consumers;</w:t>
      </w:r>
    </w:p>
    <w:p>
      <w:pPr>
        <w:spacing w:after="0" w:line="99" w:lineRule="exact"/>
        <w:rPr>
          <w:rFonts w:ascii="Arial" w:cs="Arial" w:eastAsia="Arial" w:hAnsi="Arial"/>
          <w:sz w:val="16"/>
          <w:szCs w:val="16"/>
          <w:color w:val="auto"/>
        </w:rPr>
      </w:pPr>
    </w:p>
    <w:p>
      <w:pPr>
        <w:ind w:left="880" w:hanging="42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crossovers, SUVs and full-size pickup trucks;</w:t>
      </w:r>
    </w:p>
    <w:p>
      <w:pPr>
        <w:spacing w:after="0" w:line="76" w:lineRule="exact"/>
        <w:rPr>
          <w:rFonts w:ascii="Arial" w:cs="Arial" w:eastAsia="Arial" w:hAnsi="Arial"/>
          <w:sz w:val="18"/>
          <w:szCs w:val="18"/>
          <w:color w:val="auto"/>
        </w:rPr>
      </w:pPr>
    </w:p>
    <w:p>
      <w:pPr>
        <w:ind w:left="880" w:right="60" w:hanging="427"/>
        <w:spacing w:after="0" w:line="23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and cost-effectively restructure our operations in the U.S. and various other countries and initiate additional cost reduction actions with minimal disruption;</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the cost of manufacturing electric vehicles and drive increased consumer adoption;</w:t>
      </w:r>
    </w:p>
    <w:p>
      <w:pPr>
        <w:spacing w:after="0" w:line="76" w:lineRule="exact"/>
        <w:rPr>
          <w:rFonts w:ascii="Arial" w:cs="Arial" w:eastAsia="Arial" w:hAnsi="Arial"/>
          <w:sz w:val="18"/>
          <w:szCs w:val="18"/>
          <w:color w:val="auto"/>
        </w:rPr>
      </w:pPr>
    </w:p>
    <w:p>
      <w:pPr>
        <w:ind w:left="880" w:right="320" w:hanging="427"/>
        <w:spacing w:after="0" w:line="23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unique technological, operational, regulatory and competitive risks related to the timing and commercialization of autonomous vehicles;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automobile market sales volume, which can be volatile;</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significant business in China, which is subject to unique operational, competitive, regulatory and economic risks;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joint ventures, which we cannot operate solely for our benefit and over which we may have limited control;</w:t>
      </w:r>
    </w:p>
    <w:p>
      <w:pPr>
        <w:spacing w:after="0" w:line="76" w:lineRule="exact"/>
        <w:rPr>
          <w:rFonts w:ascii="Arial" w:cs="Arial" w:eastAsia="Arial" w:hAnsi="Arial"/>
          <w:sz w:val="18"/>
          <w:szCs w:val="18"/>
          <w:color w:val="auto"/>
        </w:rPr>
      </w:pPr>
    </w:p>
    <w:p>
      <w:pPr>
        <w:ind w:left="880" w:right="140" w:hanging="427"/>
        <w:spacing w:after="0" w:line="23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w:t>
      </w:r>
    </w:p>
    <w:p>
      <w:pPr>
        <w:spacing w:after="0" w:line="72" w:lineRule="exact"/>
        <w:rPr>
          <w:rFonts w:ascii="Arial" w:cs="Arial" w:eastAsia="Arial" w:hAnsi="Arial"/>
          <w:sz w:val="18"/>
          <w:szCs w:val="18"/>
          <w:color w:val="auto"/>
        </w:rPr>
      </w:pPr>
    </w:p>
    <w:p>
      <w:pPr>
        <w:ind w:left="880" w:hanging="42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significant disruption, including any work stoppages, at any of our manufacturing facilities;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20"/>
          </w:cols>
          <w:pgMar w:left="32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80" w:right="680" w:hanging="427"/>
        <w:spacing w:after="0" w:line="239"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suppliers to deliver parts, systems and components without disruption and at such times to allow us to meet production schedules;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prices of raw materials used by us and our suppliers;</w:t>
      </w:r>
    </w:p>
    <w:p>
      <w:pPr>
        <w:spacing w:after="0" w:line="76" w:lineRule="exact"/>
        <w:rPr>
          <w:rFonts w:ascii="Arial" w:cs="Arial" w:eastAsia="Arial" w:hAnsi="Arial"/>
          <w:sz w:val="18"/>
          <w:szCs w:val="18"/>
          <w:color w:val="auto"/>
        </w:rPr>
      </w:pPr>
    </w:p>
    <w:p>
      <w:pPr>
        <w:ind w:left="880" w:right="780" w:hanging="427"/>
        <w:spacing w:after="0" w:line="239"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highly competitive industry, which is characterized by excess manufacturing capacity and the use of incentives, and the introduction of new and improved vehicle models by our competitors;</w:t>
      </w:r>
    </w:p>
    <w:p>
      <w:pPr>
        <w:spacing w:after="0" w:line="73" w:lineRule="exact"/>
        <w:rPr>
          <w:rFonts w:ascii="Arial" w:cs="Arial" w:eastAsia="Arial" w:hAnsi="Arial"/>
          <w:sz w:val="18"/>
          <w:szCs w:val="18"/>
          <w:color w:val="auto"/>
        </w:rPr>
      </w:pPr>
    </w:p>
    <w:p>
      <w:pPr>
        <w:ind w:left="880" w:right="420" w:hanging="427"/>
        <w:spacing w:after="0" w:line="239"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competitors may independently develop products and services similar to ours, or that our intellectual property rights are not sufficient to prevent competitors from developing or selling those products or services;</w:t>
      </w:r>
    </w:p>
    <w:p>
      <w:pPr>
        <w:spacing w:after="0" w:line="73" w:lineRule="exact"/>
        <w:rPr>
          <w:rFonts w:ascii="Arial" w:cs="Arial" w:eastAsia="Arial" w:hAnsi="Arial"/>
          <w:sz w:val="18"/>
          <w:szCs w:val="18"/>
          <w:color w:val="auto"/>
        </w:rPr>
      </w:pPr>
    </w:p>
    <w:p>
      <w:pPr>
        <w:ind w:left="880" w:right="180" w:hanging="427"/>
        <w:spacing w:after="0" w:line="239"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risks related to security breaches and other disruptions to our information technology systems and networked products, including connected vehicles and in-vehicle systems;</w:t>
      </w:r>
    </w:p>
    <w:p>
      <w:pPr>
        <w:spacing w:after="0" w:line="73" w:lineRule="exact"/>
        <w:rPr>
          <w:rFonts w:ascii="Arial" w:cs="Arial" w:eastAsia="Arial" w:hAnsi="Arial"/>
          <w:sz w:val="18"/>
          <w:szCs w:val="18"/>
          <w:color w:val="auto"/>
        </w:rPr>
      </w:pPr>
    </w:p>
    <w:p>
      <w:pPr>
        <w:ind w:left="880" w:right="100" w:hanging="427"/>
        <w:spacing w:after="0" w:line="299"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comply with increasingly complex, restrictive and punitive regulations relating to our enterprise data practices, including the collection, use, sharing and security of the Personal Identifiable Information of our customers, employees, or suppliers;</w:t>
      </w:r>
    </w:p>
    <w:p>
      <w:pPr>
        <w:spacing w:after="0" w:line="27" w:lineRule="exact"/>
        <w:rPr>
          <w:rFonts w:ascii="Arial" w:cs="Arial" w:eastAsia="Arial" w:hAnsi="Arial"/>
          <w:sz w:val="16"/>
          <w:szCs w:val="16"/>
          <w:color w:val="auto"/>
        </w:rPr>
      </w:pPr>
    </w:p>
    <w:p>
      <w:pPr>
        <w:ind w:left="880" w:right="120" w:hanging="427"/>
        <w:spacing w:after="0" w:line="239"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extensive laws, regulations and policies applicable to our operations and products, including those relating to fuel economy and emissions and autonomous vehicles;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effect on our reputation of product safety recalls and alleged defects in products and services;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additional tax expense or exposure;</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through GM Financial; and</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significant increase in our pension funding requirements.</w:t>
      </w:r>
    </w:p>
    <w:p>
      <w:pPr>
        <w:spacing w:after="0" w:line="158"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For a further discussion of these and other risks and uncertainties, refer to our Annual Report on Form 10-K for the year ended December 31, 2019, as updated by our subsequent filings under the Exchange Act, including Forms 10-Q and 8-K. 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200"/>
          </w:cols>
          <w:pgMar w:left="320" w:top="45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890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8901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200" w:right="100" w:firstLine="434"/>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S-6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Motors Company</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firstLine="434"/>
        <w:spacing w:after="0" w:line="238" w:lineRule="auto"/>
        <w:rPr>
          <w:sz w:val="20"/>
          <w:szCs w:val="20"/>
          <w:color w:val="auto"/>
        </w:rPr>
      </w:pPr>
      <w:r>
        <w:rPr>
          <w:rFonts w:ascii="Arial" w:cs="Arial" w:eastAsia="Arial" w:hAnsi="Arial"/>
          <w:sz w:val="18"/>
          <w:szCs w:val="18"/>
          <w:color w:val="auto"/>
        </w:rPr>
        <w:t>General Motors Company was incorporated as a Delaware corporation in 2009. We design, build and sell cars, trucks, crossovers and automobile parts worldwide. Cruise is our global segment responsible for the development and commercialization of autonomous vehicle technology. We also provide automotive financing services through General Motors Financial Company, Inc. (“GM Financial”).</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Automotive</w:t>
      </w:r>
    </w:p>
    <w:p>
      <w:pPr>
        <w:spacing w:after="0" w:line="97" w:lineRule="exact"/>
        <w:rPr>
          <w:sz w:val="20"/>
          <w:szCs w:val="20"/>
          <w:color w:val="auto"/>
        </w:rPr>
      </w:pPr>
    </w:p>
    <w:p>
      <w:pPr>
        <w:ind w:left="200" w:firstLine="434"/>
        <w:spacing w:after="0" w:line="236"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and GM 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and Wuling brands.</w:t>
      </w:r>
    </w:p>
    <w:p>
      <w:pPr>
        <w:spacing w:after="0" w:line="156" w:lineRule="exact"/>
        <w:rPr>
          <w:sz w:val="20"/>
          <w:szCs w:val="20"/>
          <w:color w:val="auto"/>
        </w:rPr>
      </w:pPr>
    </w:p>
    <w:p>
      <w:pPr>
        <w:ind w:left="200" w:right="220" w:firstLine="434"/>
        <w:spacing w:after="0" w:line="237"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Automotive Financing—GM Financial</w:t>
      </w:r>
    </w:p>
    <w:p>
      <w:pPr>
        <w:spacing w:after="0" w:line="97" w:lineRule="exact"/>
        <w:rPr>
          <w:sz w:val="20"/>
          <w:szCs w:val="20"/>
          <w:color w:val="auto"/>
        </w:rPr>
      </w:pPr>
    </w:p>
    <w:p>
      <w:pPr>
        <w:ind w:left="200" w:right="40" w:firstLine="434"/>
        <w:spacing w:after="0" w:line="239"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South America and through joint ventures in Asia/Pacific.</w:t>
      </w:r>
    </w:p>
    <w:p>
      <w:pPr>
        <w:spacing w:after="0" w:line="155" w:lineRule="exact"/>
        <w:rPr>
          <w:sz w:val="20"/>
          <w:szCs w:val="20"/>
          <w:color w:val="auto"/>
        </w:rPr>
      </w:pPr>
    </w:p>
    <w:p>
      <w:pPr>
        <w:ind w:left="200" w:right="140" w:firstLine="434"/>
        <w:spacing w:after="0" w:line="23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lending products to dealers including new and used vehicle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73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inventory floorplan financing and dealer loans, which are loans to finance improvements to dealership facilities, to provide working capital, and to purchase and/or finance dealership real estate. Other commercial lending products include financing for parts and accessories, dealer fleets and storage centers.</w:t>
      </w:r>
    </w:p>
    <w:p>
      <w:pPr>
        <w:spacing w:after="0" w:line="154" w:lineRule="exact"/>
        <w:rPr>
          <w:sz w:val="20"/>
          <w:szCs w:val="20"/>
          <w:color w:val="auto"/>
        </w:rPr>
      </w:pPr>
    </w:p>
    <w:p>
      <w:pPr>
        <w:ind w:left="200" w:right="20" w:firstLine="434"/>
        <w:spacing w:after="0" w:line="238" w:lineRule="auto"/>
        <w:rPr>
          <w:sz w:val="20"/>
          <w:szCs w:val="20"/>
          <w:color w:val="auto"/>
        </w:rPr>
      </w:pPr>
      <w:r>
        <w:rPr>
          <w:rFonts w:ascii="Arial" w:cs="Arial" w:eastAsia="Arial" w:hAnsi="Arial"/>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154" w:lineRule="exact"/>
        <w:rPr>
          <w:sz w:val="20"/>
          <w:szCs w:val="20"/>
          <w:color w:val="auto"/>
        </w:rPr>
      </w:pPr>
    </w:p>
    <w:p>
      <w:pPr>
        <w:ind w:left="200" w:right="120" w:firstLine="434"/>
        <w:spacing w:after="0" w:line="238" w:lineRule="auto"/>
        <w:rPr>
          <w:sz w:val="20"/>
          <w:szCs w:val="20"/>
          <w:color w:val="auto"/>
        </w:rPr>
      </w:pPr>
      <w:r>
        <w:rPr>
          <w:rFonts w:ascii="Arial" w:cs="Arial" w:eastAsia="Arial" w:hAnsi="Arial"/>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public markets.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Autonomous</w:t>
      </w:r>
    </w:p>
    <w:p>
      <w:pPr>
        <w:spacing w:after="0" w:line="97" w:lineRule="exact"/>
        <w:rPr>
          <w:sz w:val="20"/>
          <w:szCs w:val="20"/>
          <w:color w:val="auto"/>
        </w:rPr>
      </w:pPr>
    </w:p>
    <w:p>
      <w:pPr>
        <w:ind w:left="200" w:right="40" w:firstLine="434"/>
        <w:spacing w:after="0" w:line="239" w:lineRule="auto"/>
        <w:rPr>
          <w:sz w:val="20"/>
          <w:szCs w:val="20"/>
          <w:color w:val="auto"/>
        </w:rPr>
      </w:pPr>
      <w:r>
        <w:rPr>
          <w:rFonts w:ascii="Arial" w:cs="Arial" w:eastAsia="Arial" w:hAnsi="Arial"/>
          <w:sz w:val="18"/>
          <w:szCs w:val="18"/>
          <w:color w:val="auto"/>
        </w:rPr>
        <w:t>Cruise is our global segment responsible for the development and commercialization of autonomous vehicle technology, and includes autonomous vehicle-related engineering and other costs.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principal executive offices are located at 300 Renaissance Center, Detroit, Michigan 48265-3000, and our telephone number is</w:t>
      </w:r>
    </w:p>
    <w:p>
      <w:pPr>
        <w:spacing w:after="0" w:line="19" w:lineRule="exact"/>
        <w:rPr>
          <w:sz w:val="20"/>
          <w:szCs w:val="20"/>
          <w:color w:val="auto"/>
        </w:rPr>
      </w:pPr>
    </w:p>
    <w:p>
      <w:pPr>
        <w:ind w:left="200" w:right="100" w:hanging="6"/>
        <w:spacing w:after="0" w:line="238" w:lineRule="auto"/>
        <w:tabs>
          <w:tab w:leader="none" w:pos="658" w:val="left"/>
        </w:tabs>
        <w:numPr>
          <w:ilvl w:val="0"/>
          <w:numId w:val="5"/>
        </w:numPr>
        <w:rPr>
          <w:rFonts w:ascii="Arial" w:cs="Arial" w:eastAsia="Arial" w:hAnsi="Arial"/>
          <w:sz w:val="18"/>
          <w:szCs w:val="18"/>
          <w:color w:val="auto"/>
        </w:rPr>
      </w:pPr>
      <w:r>
        <w:rPr>
          <w:rFonts w:ascii="Arial" w:cs="Arial" w:eastAsia="Arial" w:hAnsi="Arial"/>
          <w:sz w:val="18"/>
          <w:szCs w:val="18"/>
          <w:color w:val="auto"/>
        </w:rPr>
        <w:t>667-1500.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364-Day Revolving Facility</w:t>
      </w:r>
    </w:p>
    <w:p>
      <w:pPr>
        <w:spacing w:after="0" w:line="99" w:lineRule="exact"/>
        <w:rPr>
          <w:sz w:val="20"/>
          <w:szCs w:val="20"/>
          <w:color w:val="auto"/>
        </w:rPr>
      </w:pPr>
    </w:p>
    <w:p>
      <w:pPr>
        <w:jc w:val="both"/>
        <w:ind w:left="200" w:right="400" w:firstLine="434"/>
        <w:spacing w:after="0" w:line="264" w:lineRule="auto"/>
        <w:rPr>
          <w:sz w:val="20"/>
          <w:szCs w:val="20"/>
          <w:color w:val="auto"/>
        </w:rPr>
      </w:pPr>
      <w:r>
        <w:rPr>
          <w:rFonts w:ascii="Arial" w:cs="Arial" w:eastAsia="Arial" w:hAnsi="Arial"/>
          <w:sz w:val="16"/>
          <w:szCs w:val="16"/>
          <w:color w:val="auto"/>
        </w:rPr>
        <w:t>Following the consummation of this offering, we expect to enter into a new 364-Day Revolving Credit Agreement with JPMorgan Chase, N.A., as administrative agent, and other lenders to be named therein (the “New 364-Day Revolving Facility”), subject to certain closing conditions, including the (i) pricing of the Notes in this offering with aggregate principal amount of at least $3.0 billion and</w:t>
      </w:r>
    </w:p>
    <w:p>
      <w:pPr>
        <w:ind w:left="200" w:right="20" w:hanging="6"/>
        <w:spacing w:after="0" w:line="264" w:lineRule="auto"/>
        <w:tabs>
          <w:tab w:leader="none" w:pos="444"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acceleration of a $1.0 billion reduction in our $3.0 billion, 3-year facility from July 2020 to the closing date of the New 364-Day Revolving Facility. We expect the New 364-Day Revolving Facility to be unsecured and to provide available borrowing capacity of approximately $2.0 billion in U.S. Dollars only, and we have received commitments from lenders in excess of this amount. We expect the New 364-Day Revolving Facility will be generally consistent with the terms of our existing revolving credit facilities. However, we expect the New 364-Day Revolving Facility will (i) include more restrictive limitations on the incurrence of indebtedness than our existing revolving credit facilities,</w:t>
      </w:r>
    </w:p>
    <w:p>
      <w:pPr>
        <w:ind w:left="200" w:hanging="6"/>
        <w:spacing w:after="0" w:line="236"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repay borrowings and/or reduce commitments under the New 364-Day Revolving Facility (not below $1.0 billion) with or equal to 50% of the net cash proceeds of any future term loan debt and capital markets transactions incurred by GM (subject to certain customary exceptions for maturing or refinancing debt) and (iii) prevent us from drawing on the facility unless our available automotive cash drops below a specified amount. There can be no assurance that we will enter into the New 364-Day Revolving Facility on terms favorable to us or at all.</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320" w:top="459"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01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0018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80" w:lineRule="exact"/>
        <w:rPr>
          <w:sz w:val="20"/>
          <w:szCs w:val="20"/>
          <w:color w:val="auto"/>
        </w:rPr>
      </w:pPr>
    </w:p>
    <w:p>
      <w:pPr>
        <w:ind w:left="200" w:right="360" w:firstLine="434"/>
        <w:spacing w:after="0" w:line="237" w:lineRule="auto"/>
        <w:rPr>
          <w:sz w:val="20"/>
          <w:szCs w:val="20"/>
          <w:color w:val="auto"/>
        </w:rPr>
      </w:pPr>
      <w:r>
        <w:rPr>
          <w:rFonts w:ascii="Arial" w:cs="Arial" w:eastAsia="Arial" w:hAnsi="Arial"/>
          <w:sz w:val="18"/>
          <w:szCs w:val="18"/>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80" w:type="dxa"/>
            <w:vAlign w:val="bottom"/>
          </w:tcPr>
          <w:p>
            <w:pPr>
              <w:ind w:left="200"/>
              <w:spacing w:after="0"/>
              <w:rPr>
                <w:sz w:val="20"/>
                <w:szCs w:val="20"/>
                <w:color w:val="auto"/>
              </w:rPr>
            </w:pPr>
            <w:r>
              <w:rPr>
                <w:rFonts w:ascii="Arial" w:cs="Arial" w:eastAsia="Arial" w:hAnsi="Arial"/>
                <w:sz w:val="18"/>
                <w:szCs w:val="18"/>
                <w:color w:val="auto"/>
              </w:rPr>
              <w:t>Issuer</w:t>
            </w:r>
          </w:p>
        </w:tc>
        <w:tc>
          <w:tcPr>
            <w:tcW w:w="8060" w:type="dxa"/>
            <w:vAlign w:val="bottom"/>
          </w:tcPr>
          <w:p>
            <w:pPr>
              <w:ind w:left="1140"/>
              <w:spacing w:after="0"/>
              <w:rPr>
                <w:sz w:val="20"/>
                <w:szCs w:val="20"/>
                <w:color w:val="auto"/>
              </w:rPr>
            </w:pPr>
            <w:r>
              <w:rPr>
                <w:rFonts w:ascii="Arial" w:cs="Arial" w:eastAsia="Arial" w:hAnsi="Arial"/>
                <w:sz w:val="18"/>
                <w:szCs w:val="18"/>
                <w:color w:val="auto"/>
              </w:rPr>
              <w:t>General Motors Company</w:t>
            </w:r>
          </w:p>
        </w:tc>
      </w:tr>
      <w:tr>
        <w:trPr>
          <w:trHeight w:val="418"/>
        </w:trPr>
        <w:tc>
          <w:tcPr>
            <w:tcW w:w="3180" w:type="dxa"/>
            <w:vAlign w:val="bottom"/>
          </w:tcPr>
          <w:p>
            <w:pPr>
              <w:ind w:left="200"/>
              <w:spacing w:after="0"/>
              <w:rPr>
                <w:sz w:val="20"/>
                <w:szCs w:val="20"/>
                <w:color w:val="auto"/>
              </w:rPr>
            </w:pPr>
            <w:r>
              <w:rPr>
                <w:rFonts w:ascii="Arial" w:cs="Arial" w:eastAsia="Arial" w:hAnsi="Arial"/>
                <w:sz w:val="18"/>
                <w:szCs w:val="18"/>
                <w:color w:val="auto"/>
              </w:rPr>
              <w:t>Notes Offered</w:t>
            </w:r>
          </w:p>
        </w:tc>
        <w:tc>
          <w:tcPr>
            <w:tcW w:w="8060" w:type="dxa"/>
            <w:vAlign w:val="bottom"/>
          </w:tcPr>
          <w:p>
            <w:pPr>
              <w:ind w:left="1140"/>
              <w:spacing w:after="0"/>
              <w:rPr>
                <w:sz w:val="20"/>
                <w:szCs w:val="20"/>
                <w:color w:val="auto"/>
              </w:rPr>
            </w:pPr>
            <w:r>
              <w:rPr>
                <w:rFonts w:ascii="Arial" w:cs="Arial" w:eastAsia="Arial" w:hAnsi="Arial"/>
                <w:sz w:val="18"/>
                <w:szCs w:val="18"/>
                <w:color w:val="auto"/>
              </w:rPr>
              <w:t>$1,000,000,000 in aggregate principal amount of 5.40% Senior Notes due 2023,</w:t>
            </w:r>
          </w:p>
        </w:tc>
      </w:tr>
      <w:tr>
        <w:trPr>
          <w:trHeight w:val="418"/>
        </w:trPr>
        <w:tc>
          <w:tcPr>
            <w:tcW w:w="3180" w:type="dxa"/>
            <w:vAlign w:val="bottom"/>
          </w:tcPr>
          <w:p>
            <w:pPr>
              <w:spacing w:after="0"/>
              <w:rPr>
                <w:sz w:val="24"/>
                <w:szCs w:val="24"/>
                <w:color w:val="auto"/>
              </w:rPr>
            </w:pPr>
          </w:p>
        </w:tc>
        <w:tc>
          <w:tcPr>
            <w:tcW w:w="8060" w:type="dxa"/>
            <w:vAlign w:val="bottom"/>
          </w:tcPr>
          <w:p>
            <w:pPr>
              <w:ind w:left="1140"/>
              <w:spacing w:after="0"/>
              <w:rPr>
                <w:sz w:val="20"/>
                <w:szCs w:val="20"/>
                <w:color w:val="auto"/>
              </w:rPr>
            </w:pPr>
            <w:r>
              <w:rPr>
                <w:rFonts w:ascii="Arial" w:cs="Arial" w:eastAsia="Arial" w:hAnsi="Arial"/>
                <w:sz w:val="18"/>
                <w:szCs w:val="18"/>
                <w:color w:val="auto"/>
              </w:rPr>
              <w:t>$2,000,000,000 in aggregate principal amount of 6.125% Senior Notes due 2025, and</w:t>
            </w:r>
          </w:p>
        </w:tc>
      </w:tr>
      <w:tr>
        <w:trPr>
          <w:trHeight w:val="405"/>
        </w:trPr>
        <w:tc>
          <w:tcPr>
            <w:tcW w:w="3180" w:type="dxa"/>
            <w:vAlign w:val="bottom"/>
          </w:tcPr>
          <w:p>
            <w:pPr>
              <w:spacing w:after="0"/>
              <w:rPr>
                <w:sz w:val="24"/>
                <w:szCs w:val="24"/>
                <w:color w:val="auto"/>
              </w:rPr>
            </w:pPr>
          </w:p>
        </w:tc>
        <w:tc>
          <w:tcPr>
            <w:tcW w:w="8060" w:type="dxa"/>
            <w:vAlign w:val="bottom"/>
          </w:tcPr>
          <w:p>
            <w:pPr>
              <w:ind w:left="1140"/>
              <w:spacing w:after="0"/>
              <w:rPr>
                <w:sz w:val="20"/>
                <w:szCs w:val="20"/>
                <w:color w:val="auto"/>
              </w:rPr>
            </w:pPr>
            <w:r>
              <w:rPr>
                <w:rFonts w:ascii="Arial" w:cs="Arial" w:eastAsia="Arial" w:hAnsi="Arial"/>
                <w:sz w:val="18"/>
                <w:szCs w:val="18"/>
                <w:color w:val="auto"/>
              </w:rPr>
              <w:t>$1,000,000,000 in aggregate principal amount of 6.80% Senior Notes due 2027.</w:t>
            </w:r>
          </w:p>
        </w:tc>
      </w:tr>
      <w:tr>
        <w:trPr>
          <w:trHeight w:val="405"/>
        </w:trPr>
        <w:tc>
          <w:tcPr>
            <w:tcW w:w="3180" w:type="dxa"/>
            <w:vAlign w:val="bottom"/>
          </w:tcPr>
          <w:p>
            <w:pPr>
              <w:ind w:left="200"/>
              <w:spacing w:after="0"/>
              <w:rPr>
                <w:sz w:val="20"/>
                <w:szCs w:val="20"/>
                <w:color w:val="auto"/>
              </w:rPr>
            </w:pPr>
            <w:r>
              <w:rPr>
                <w:rFonts w:ascii="Arial" w:cs="Arial" w:eastAsia="Arial" w:hAnsi="Arial"/>
                <w:sz w:val="18"/>
                <w:szCs w:val="18"/>
                <w:color w:val="auto"/>
              </w:rPr>
              <w:t>Original Issue Date</w:t>
            </w:r>
          </w:p>
        </w:tc>
        <w:tc>
          <w:tcPr>
            <w:tcW w:w="8060" w:type="dxa"/>
            <w:vAlign w:val="bottom"/>
          </w:tcPr>
          <w:p>
            <w:pPr>
              <w:ind w:left="1140"/>
              <w:spacing w:after="0"/>
              <w:rPr>
                <w:sz w:val="20"/>
                <w:szCs w:val="20"/>
                <w:color w:val="auto"/>
              </w:rPr>
            </w:pPr>
            <w:r>
              <w:rPr>
                <w:rFonts w:ascii="Arial" w:cs="Arial" w:eastAsia="Arial" w:hAnsi="Arial"/>
                <w:sz w:val="18"/>
                <w:szCs w:val="18"/>
                <w:color w:val="auto"/>
              </w:rPr>
              <w:t>May 12, 2020.</w:t>
            </w:r>
          </w:p>
        </w:tc>
      </w:tr>
      <w:tr>
        <w:trPr>
          <w:trHeight w:val="410"/>
        </w:trPr>
        <w:tc>
          <w:tcPr>
            <w:tcW w:w="3180" w:type="dxa"/>
            <w:vAlign w:val="bottom"/>
          </w:tcPr>
          <w:p>
            <w:pPr>
              <w:ind w:left="200"/>
              <w:spacing w:after="0"/>
              <w:rPr>
                <w:sz w:val="20"/>
                <w:szCs w:val="20"/>
                <w:color w:val="auto"/>
              </w:rPr>
            </w:pPr>
            <w:r>
              <w:rPr>
                <w:rFonts w:ascii="Arial" w:cs="Arial" w:eastAsia="Arial" w:hAnsi="Arial"/>
                <w:sz w:val="18"/>
                <w:szCs w:val="18"/>
                <w:color w:val="auto"/>
              </w:rPr>
              <w:t>Maturity Dates</w:t>
            </w:r>
          </w:p>
        </w:tc>
        <w:tc>
          <w:tcPr>
            <w:tcW w:w="8060" w:type="dxa"/>
            <w:vAlign w:val="bottom"/>
          </w:tcPr>
          <w:p>
            <w:pPr>
              <w:ind w:left="1140"/>
              <w:spacing w:after="0"/>
              <w:rPr>
                <w:sz w:val="20"/>
                <w:szCs w:val="20"/>
                <w:color w:val="auto"/>
              </w:rPr>
            </w:pPr>
            <w:r>
              <w:rPr>
                <w:rFonts w:ascii="Arial" w:cs="Arial" w:eastAsia="Arial" w:hAnsi="Arial"/>
                <w:sz w:val="18"/>
                <w:szCs w:val="18"/>
                <w:color w:val="auto"/>
              </w:rPr>
              <w:t>The 2023 Notes will mature on October 2, 2023, the 2025 Notes will mature on</w:t>
            </w:r>
          </w:p>
        </w:tc>
      </w:tr>
      <w:tr>
        <w:trPr>
          <w:trHeight w:val="211"/>
        </w:trPr>
        <w:tc>
          <w:tcPr>
            <w:tcW w:w="3180" w:type="dxa"/>
            <w:vAlign w:val="bottom"/>
          </w:tcPr>
          <w:p>
            <w:pPr>
              <w:spacing w:after="0"/>
              <w:rPr>
                <w:sz w:val="18"/>
                <w:szCs w:val="18"/>
                <w:color w:val="auto"/>
              </w:rPr>
            </w:pPr>
          </w:p>
        </w:tc>
        <w:tc>
          <w:tcPr>
            <w:tcW w:w="8060" w:type="dxa"/>
            <w:vAlign w:val="bottom"/>
          </w:tcPr>
          <w:p>
            <w:pPr>
              <w:ind w:left="1140"/>
              <w:spacing w:after="0"/>
              <w:rPr>
                <w:sz w:val="20"/>
                <w:szCs w:val="20"/>
                <w:color w:val="auto"/>
              </w:rPr>
            </w:pPr>
            <w:r>
              <w:rPr>
                <w:rFonts w:ascii="Arial" w:cs="Arial" w:eastAsia="Arial" w:hAnsi="Arial"/>
                <w:sz w:val="18"/>
                <w:szCs w:val="18"/>
                <w:color w:val="auto"/>
              </w:rPr>
              <w:t>October 1, 2025 and the 2027 Notes will mature on October 1, 2027.</w:t>
            </w:r>
          </w:p>
        </w:tc>
      </w:tr>
      <w:tr>
        <w:trPr>
          <w:trHeight w:val="397"/>
        </w:trPr>
        <w:tc>
          <w:tcPr>
            <w:tcW w:w="3180" w:type="dxa"/>
            <w:vAlign w:val="bottom"/>
          </w:tcPr>
          <w:p>
            <w:pPr>
              <w:ind w:left="200"/>
              <w:spacing w:after="0"/>
              <w:rPr>
                <w:sz w:val="20"/>
                <w:szCs w:val="20"/>
                <w:color w:val="auto"/>
              </w:rPr>
            </w:pPr>
            <w:r>
              <w:rPr>
                <w:rFonts w:ascii="Arial" w:cs="Arial" w:eastAsia="Arial" w:hAnsi="Arial"/>
                <w:sz w:val="18"/>
                <w:szCs w:val="18"/>
                <w:color w:val="auto"/>
              </w:rPr>
              <w:t>Interest Rates</w:t>
            </w:r>
          </w:p>
        </w:tc>
        <w:tc>
          <w:tcPr>
            <w:tcW w:w="8060" w:type="dxa"/>
            <w:vAlign w:val="bottom"/>
          </w:tcPr>
          <w:p>
            <w:pPr>
              <w:ind w:left="1140"/>
              <w:spacing w:after="0"/>
              <w:rPr>
                <w:sz w:val="20"/>
                <w:szCs w:val="20"/>
                <w:color w:val="auto"/>
              </w:rPr>
            </w:pPr>
            <w:r>
              <w:rPr>
                <w:rFonts w:ascii="Arial" w:cs="Arial" w:eastAsia="Arial" w:hAnsi="Arial"/>
                <w:sz w:val="18"/>
                <w:szCs w:val="18"/>
                <w:color w:val="auto"/>
              </w:rPr>
              <w:t>Interest on the 2023 Notes will accrue at a rate of 5.40% per year, interest on the 2025</w:t>
            </w:r>
          </w:p>
        </w:tc>
      </w:tr>
      <w:tr>
        <w:trPr>
          <w:trHeight w:val="203"/>
        </w:trPr>
        <w:tc>
          <w:tcPr>
            <w:tcW w:w="3180" w:type="dxa"/>
            <w:vAlign w:val="bottom"/>
          </w:tcPr>
          <w:p>
            <w:pPr>
              <w:spacing w:after="0"/>
              <w:rPr>
                <w:sz w:val="17"/>
                <w:szCs w:val="17"/>
                <w:color w:val="auto"/>
              </w:rPr>
            </w:pPr>
          </w:p>
        </w:tc>
        <w:tc>
          <w:tcPr>
            <w:tcW w:w="8060" w:type="dxa"/>
            <w:vAlign w:val="bottom"/>
          </w:tcPr>
          <w:p>
            <w:pPr>
              <w:ind w:left="1140"/>
              <w:spacing w:after="0" w:line="202" w:lineRule="exact"/>
              <w:rPr>
                <w:sz w:val="20"/>
                <w:szCs w:val="20"/>
                <w:color w:val="auto"/>
              </w:rPr>
            </w:pPr>
            <w:r>
              <w:rPr>
                <w:rFonts w:ascii="Arial" w:cs="Arial" w:eastAsia="Arial" w:hAnsi="Arial"/>
                <w:sz w:val="18"/>
                <w:szCs w:val="18"/>
                <w:color w:val="auto"/>
              </w:rPr>
              <w:t>Notes will accrue at a rate of 6.125% per year and interest on the 2027 Notes will</w:t>
            </w:r>
          </w:p>
        </w:tc>
      </w:tr>
      <w:tr>
        <w:trPr>
          <w:trHeight w:val="211"/>
        </w:trPr>
        <w:tc>
          <w:tcPr>
            <w:tcW w:w="3180" w:type="dxa"/>
            <w:vAlign w:val="bottom"/>
          </w:tcPr>
          <w:p>
            <w:pPr>
              <w:spacing w:after="0"/>
              <w:rPr>
                <w:sz w:val="18"/>
                <w:szCs w:val="18"/>
                <w:color w:val="auto"/>
              </w:rPr>
            </w:pPr>
          </w:p>
        </w:tc>
        <w:tc>
          <w:tcPr>
            <w:tcW w:w="8060" w:type="dxa"/>
            <w:vAlign w:val="bottom"/>
          </w:tcPr>
          <w:p>
            <w:pPr>
              <w:ind w:left="1140"/>
              <w:spacing w:after="0"/>
              <w:rPr>
                <w:sz w:val="20"/>
                <w:szCs w:val="20"/>
                <w:color w:val="auto"/>
              </w:rPr>
            </w:pPr>
            <w:r>
              <w:rPr>
                <w:rFonts w:ascii="Arial" w:cs="Arial" w:eastAsia="Arial" w:hAnsi="Arial"/>
                <w:sz w:val="18"/>
                <w:szCs w:val="18"/>
                <w:color w:val="auto"/>
              </w:rPr>
              <w:t>accrue at a rate of 6.80% per year.</w:t>
            </w:r>
          </w:p>
        </w:tc>
      </w:tr>
      <w:tr>
        <w:trPr>
          <w:trHeight w:val="397"/>
        </w:trPr>
        <w:tc>
          <w:tcPr>
            <w:tcW w:w="31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060" w:type="dxa"/>
            <w:vAlign w:val="bottom"/>
          </w:tcPr>
          <w:p>
            <w:pPr>
              <w:ind w:left="1140"/>
              <w:spacing w:after="0"/>
              <w:rPr>
                <w:sz w:val="20"/>
                <w:szCs w:val="20"/>
                <w:color w:val="auto"/>
              </w:rPr>
            </w:pPr>
            <w:r>
              <w:rPr>
                <w:rFonts w:ascii="Arial" w:cs="Arial" w:eastAsia="Arial" w:hAnsi="Arial"/>
                <w:sz w:val="18"/>
                <w:szCs w:val="18"/>
                <w:color w:val="auto"/>
              </w:rPr>
              <w:t>Interest on the 2023 Notes will be paid semi-annually on April 2 and October 2 of each</w:t>
            </w:r>
          </w:p>
        </w:tc>
      </w:tr>
      <w:tr>
        <w:trPr>
          <w:trHeight w:val="203"/>
        </w:trPr>
        <w:tc>
          <w:tcPr>
            <w:tcW w:w="3180" w:type="dxa"/>
            <w:vAlign w:val="bottom"/>
          </w:tcPr>
          <w:p>
            <w:pPr>
              <w:spacing w:after="0"/>
              <w:rPr>
                <w:sz w:val="17"/>
                <w:szCs w:val="17"/>
                <w:color w:val="auto"/>
              </w:rPr>
            </w:pPr>
          </w:p>
        </w:tc>
        <w:tc>
          <w:tcPr>
            <w:tcW w:w="8060" w:type="dxa"/>
            <w:vAlign w:val="bottom"/>
          </w:tcPr>
          <w:p>
            <w:pPr>
              <w:ind w:left="1140"/>
              <w:spacing w:after="0" w:line="202" w:lineRule="exact"/>
              <w:rPr>
                <w:sz w:val="20"/>
                <w:szCs w:val="20"/>
                <w:color w:val="auto"/>
              </w:rPr>
            </w:pPr>
            <w:r>
              <w:rPr>
                <w:rFonts w:ascii="Arial" w:cs="Arial" w:eastAsia="Arial" w:hAnsi="Arial"/>
                <w:sz w:val="18"/>
                <w:szCs w:val="18"/>
                <w:color w:val="auto"/>
              </w:rPr>
              <w:t>year, commencing on October 2, 2020, and will accrue from May 12, 2020. Interest on</w:t>
            </w:r>
          </w:p>
        </w:tc>
      </w:tr>
      <w:tr>
        <w:trPr>
          <w:trHeight w:val="203"/>
        </w:trPr>
        <w:tc>
          <w:tcPr>
            <w:tcW w:w="3180" w:type="dxa"/>
            <w:vAlign w:val="bottom"/>
          </w:tcPr>
          <w:p>
            <w:pPr>
              <w:spacing w:after="0"/>
              <w:rPr>
                <w:sz w:val="17"/>
                <w:szCs w:val="17"/>
                <w:color w:val="auto"/>
              </w:rPr>
            </w:pPr>
          </w:p>
        </w:tc>
        <w:tc>
          <w:tcPr>
            <w:tcW w:w="8060" w:type="dxa"/>
            <w:vAlign w:val="bottom"/>
          </w:tcPr>
          <w:p>
            <w:pPr>
              <w:ind w:left="1140"/>
              <w:spacing w:after="0" w:line="202" w:lineRule="exact"/>
              <w:rPr>
                <w:sz w:val="20"/>
                <w:szCs w:val="20"/>
                <w:color w:val="auto"/>
              </w:rPr>
            </w:pPr>
            <w:r>
              <w:rPr>
                <w:rFonts w:ascii="Arial" w:cs="Arial" w:eastAsia="Arial" w:hAnsi="Arial"/>
                <w:sz w:val="18"/>
                <w:szCs w:val="18"/>
                <w:color w:val="auto"/>
              </w:rPr>
              <w:t>the 2025 Notes and the 2027 Notes will be paid semi-annually on April 1 and</w:t>
            </w:r>
          </w:p>
        </w:tc>
      </w:tr>
      <w:tr>
        <w:trPr>
          <w:trHeight w:val="203"/>
        </w:trPr>
        <w:tc>
          <w:tcPr>
            <w:tcW w:w="3180" w:type="dxa"/>
            <w:vAlign w:val="bottom"/>
          </w:tcPr>
          <w:p>
            <w:pPr>
              <w:spacing w:after="0"/>
              <w:rPr>
                <w:sz w:val="17"/>
                <w:szCs w:val="17"/>
                <w:color w:val="auto"/>
              </w:rPr>
            </w:pPr>
          </w:p>
        </w:tc>
        <w:tc>
          <w:tcPr>
            <w:tcW w:w="8060" w:type="dxa"/>
            <w:vAlign w:val="bottom"/>
          </w:tcPr>
          <w:p>
            <w:pPr>
              <w:ind w:left="1140"/>
              <w:spacing w:after="0" w:line="202" w:lineRule="exact"/>
              <w:rPr>
                <w:sz w:val="20"/>
                <w:szCs w:val="20"/>
                <w:color w:val="auto"/>
              </w:rPr>
            </w:pPr>
            <w:r>
              <w:rPr>
                <w:rFonts w:ascii="Arial" w:cs="Arial" w:eastAsia="Arial" w:hAnsi="Arial"/>
                <w:sz w:val="18"/>
                <w:szCs w:val="18"/>
                <w:color w:val="auto"/>
              </w:rPr>
              <w:t>October 1 of each year, commencing on October 1, 2020, and will accrue from</w:t>
            </w:r>
          </w:p>
        </w:tc>
      </w:tr>
      <w:tr>
        <w:trPr>
          <w:trHeight w:val="211"/>
        </w:trPr>
        <w:tc>
          <w:tcPr>
            <w:tcW w:w="3180" w:type="dxa"/>
            <w:vAlign w:val="bottom"/>
          </w:tcPr>
          <w:p>
            <w:pPr>
              <w:spacing w:after="0"/>
              <w:rPr>
                <w:sz w:val="18"/>
                <w:szCs w:val="18"/>
                <w:color w:val="auto"/>
              </w:rPr>
            </w:pPr>
          </w:p>
        </w:tc>
        <w:tc>
          <w:tcPr>
            <w:tcW w:w="8060" w:type="dxa"/>
            <w:vAlign w:val="bottom"/>
          </w:tcPr>
          <w:p>
            <w:pPr>
              <w:ind w:left="1140"/>
              <w:spacing w:after="0"/>
              <w:rPr>
                <w:sz w:val="20"/>
                <w:szCs w:val="20"/>
                <w:color w:val="auto"/>
              </w:rPr>
            </w:pPr>
            <w:r>
              <w:rPr>
                <w:rFonts w:ascii="Arial" w:cs="Arial" w:eastAsia="Arial" w:hAnsi="Arial"/>
                <w:sz w:val="18"/>
                <w:szCs w:val="18"/>
                <w:color w:val="auto"/>
              </w:rPr>
              <w:t>May 12, 2020.</w:t>
            </w:r>
          </w:p>
        </w:tc>
      </w:tr>
      <w:tr>
        <w:trPr>
          <w:trHeight w:val="405"/>
        </w:trPr>
        <w:tc>
          <w:tcPr>
            <w:tcW w:w="3180" w:type="dxa"/>
            <w:vAlign w:val="bottom"/>
          </w:tcPr>
          <w:p>
            <w:pPr>
              <w:ind w:left="200"/>
              <w:spacing w:after="0"/>
              <w:rPr>
                <w:sz w:val="20"/>
                <w:szCs w:val="20"/>
                <w:color w:val="auto"/>
              </w:rPr>
            </w:pPr>
            <w:r>
              <w:rPr>
                <w:rFonts w:ascii="Arial" w:cs="Arial" w:eastAsia="Arial" w:hAnsi="Arial"/>
                <w:sz w:val="18"/>
                <w:szCs w:val="18"/>
                <w:color w:val="auto"/>
              </w:rPr>
              <w:t>Ranking of the Notes</w:t>
            </w:r>
          </w:p>
        </w:tc>
        <w:tc>
          <w:tcPr>
            <w:tcW w:w="8060" w:type="dxa"/>
            <w:vAlign w:val="bottom"/>
          </w:tcPr>
          <w:p>
            <w:pPr>
              <w:ind w:left="1140"/>
              <w:spacing w:after="0"/>
              <w:rPr>
                <w:sz w:val="20"/>
                <w:szCs w:val="20"/>
                <w:color w:val="auto"/>
              </w:rPr>
            </w:pPr>
            <w:r>
              <w:rPr>
                <w:rFonts w:ascii="Arial" w:cs="Arial" w:eastAsia="Arial" w:hAnsi="Arial"/>
                <w:sz w:val="18"/>
                <w:szCs w:val="18"/>
                <w:color w:val="auto"/>
              </w:rPr>
              <w:t>The Notes will be our general unsecured obligations and will be:</w:t>
            </w:r>
          </w:p>
        </w:tc>
      </w:tr>
      <w:tr>
        <w:trPr>
          <w:trHeight w:val="289"/>
        </w:trPr>
        <w:tc>
          <w:tcPr>
            <w:tcW w:w="3180" w:type="dxa"/>
            <w:vAlign w:val="bottom"/>
          </w:tcPr>
          <w:p>
            <w:pPr>
              <w:spacing w:after="0"/>
              <w:rPr>
                <w:sz w:val="24"/>
                <w:szCs w:val="24"/>
                <w:color w:val="auto"/>
              </w:rPr>
            </w:pPr>
          </w:p>
        </w:tc>
        <w:tc>
          <w:tcPr>
            <w:tcW w:w="8060" w:type="dxa"/>
            <w:vAlign w:val="bottom"/>
          </w:tcPr>
          <w:p>
            <w:pPr>
              <w:ind w:left="1500"/>
              <w:spacing w:after="0"/>
              <w:rPr>
                <w:sz w:val="20"/>
                <w:szCs w:val="20"/>
                <w:color w:val="auto"/>
              </w:rPr>
            </w:pPr>
            <w:r>
              <w:rPr>
                <w:rFonts w:ascii="Arial" w:cs="Arial" w:eastAsia="Arial" w:hAnsi="Arial"/>
                <w:sz w:val="18"/>
                <w:szCs w:val="18"/>
                <w:color w:val="auto"/>
              </w:rPr>
              <w:t>•   equal in right of payment to all of our existing and future indebtedness and</w:t>
            </w:r>
          </w:p>
        </w:tc>
      </w:tr>
      <w:tr>
        <w:trPr>
          <w:trHeight w:val="203"/>
        </w:trPr>
        <w:tc>
          <w:tcPr>
            <w:tcW w:w="3180" w:type="dxa"/>
            <w:vAlign w:val="bottom"/>
          </w:tcPr>
          <w:p>
            <w:pPr>
              <w:spacing w:after="0"/>
              <w:rPr>
                <w:sz w:val="17"/>
                <w:szCs w:val="17"/>
                <w:color w:val="auto"/>
              </w:rPr>
            </w:pPr>
          </w:p>
        </w:tc>
        <w:tc>
          <w:tcPr>
            <w:tcW w:w="8060" w:type="dxa"/>
            <w:vAlign w:val="bottom"/>
          </w:tcPr>
          <w:p>
            <w:pPr>
              <w:ind w:left="1780"/>
              <w:spacing w:after="0" w:line="202" w:lineRule="exact"/>
              <w:rPr>
                <w:sz w:val="20"/>
                <w:szCs w:val="20"/>
                <w:color w:val="auto"/>
              </w:rPr>
            </w:pPr>
            <w:r>
              <w:rPr>
                <w:rFonts w:ascii="Arial" w:cs="Arial" w:eastAsia="Arial" w:hAnsi="Arial"/>
                <w:sz w:val="18"/>
                <w:szCs w:val="18"/>
                <w:color w:val="auto"/>
              </w:rPr>
              <w:t>other obligations that are not, by their terms, expressly subordinated in right of</w:t>
            </w:r>
          </w:p>
        </w:tc>
      </w:tr>
      <w:tr>
        <w:trPr>
          <w:trHeight w:val="211"/>
        </w:trPr>
        <w:tc>
          <w:tcPr>
            <w:tcW w:w="3180" w:type="dxa"/>
            <w:vAlign w:val="bottom"/>
          </w:tcPr>
          <w:p>
            <w:pPr>
              <w:spacing w:after="0"/>
              <w:rPr>
                <w:sz w:val="18"/>
                <w:szCs w:val="18"/>
                <w:color w:val="auto"/>
              </w:rPr>
            </w:pPr>
          </w:p>
        </w:tc>
        <w:tc>
          <w:tcPr>
            <w:tcW w:w="8060" w:type="dxa"/>
            <w:vAlign w:val="bottom"/>
          </w:tcPr>
          <w:p>
            <w:pPr>
              <w:ind w:left="1780"/>
              <w:spacing w:after="0"/>
              <w:rPr>
                <w:sz w:val="20"/>
                <w:szCs w:val="20"/>
                <w:color w:val="auto"/>
              </w:rPr>
            </w:pPr>
            <w:r>
              <w:rPr>
                <w:rFonts w:ascii="Arial" w:cs="Arial" w:eastAsia="Arial" w:hAnsi="Arial"/>
                <w:sz w:val="18"/>
                <w:szCs w:val="18"/>
                <w:color w:val="auto"/>
              </w:rPr>
              <w:t>payment to the Notes;</w:t>
            </w:r>
          </w:p>
        </w:tc>
      </w:tr>
      <w:tr>
        <w:trPr>
          <w:trHeight w:val="275"/>
        </w:trPr>
        <w:tc>
          <w:tcPr>
            <w:tcW w:w="3180" w:type="dxa"/>
            <w:vAlign w:val="bottom"/>
          </w:tcPr>
          <w:p>
            <w:pPr>
              <w:spacing w:after="0"/>
              <w:rPr>
                <w:sz w:val="23"/>
                <w:szCs w:val="23"/>
                <w:color w:val="auto"/>
              </w:rPr>
            </w:pPr>
          </w:p>
        </w:tc>
        <w:tc>
          <w:tcPr>
            <w:tcW w:w="8060" w:type="dxa"/>
            <w:vAlign w:val="bottom"/>
          </w:tcPr>
          <w:p>
            <w:pPr>
              <w:ind w:left="1500"/>
              <w:spacing w:after="0"/>
              <w:rPr>
                <w:sz w:val="20"/>
                <w:szCs w:val="20"/>
                <w:color w:val="auto"/>
              </w:rPr>
            </w:pPr>
            <w:r>
              <w:rPr>
                <w:rFonts w:ascii="Arial" w:cs="Arial" w:eastAsia="Arial" w:hAnsi="Arial"/>
                <w:sz w:val="18"/>
                <w:szCs w:val="18"/>
                <w:color w:val="auto"/>
              </w:rPr>
              <w:t>•   senior in right of payment to any of our existing or future indebtedness and</w:t>
            </w:r>
          </w:p>
        </w:tc>
      </w:tr>
      <w:tr>
        <w:trPr>
          <w:trHeight w:val="203"/>
        </w:trPr>
        <w:tc>
          <w:tcPr>
            <w:tcW w:w="3180" w:type="dxa"/>
            <w:vAlign w:val="bottom"/>
          </w:tcPr>
          <w:p>
            <w:pPr>
              <w:spacing w:after="0"/>
              <w:rPr>
                <w:sz w:val="17"/>
                <w:szCs w:val="17"/>
                <w:color w:val="auto"/>
              </w:rPr>
            </w:pPr>
          </w:p>
        </w:tc>
        <w:tc>
          <w:tcPr>
            <w:tcW w:w="8060" w:type="dxa"/>
            <w:vAlign w:val="bottom"/>
          </w:tcPr>
          <w:p>
            <w:pPr>
              <w:ind w:left="1780"/>
              <w:spacing w:after="0" w:line="202" w:lineRule="exact"/>
              <w:rPr>
                <w:sz w:val="20"/>
                <w:szCs w:val="20"/>
                <w:color w:val="auto"/>
              </w:rPr>
            </w:pPr>
            <w:r>
              <w:rPr>
                <w:rFonts w:ascii="Arial" w:cs="Arial" w:eastAsia="Arial" w:hAnsi="Arial"/>
                <w:sz w:val="18"/>
                <w:szCs w:val="18"/>
                <w:color w:val="auto"/>
              </w:rPr>
              <w:t>other obligations that are, by their terms, expressly subordinated in right of</w:t>
            </w:r>
          </w:p>
        </w:tc>
      </w:tr>
      <w:tr>
        <w:trPr>
          <w:trHeight w:val="196"/>
        </w:trPr>
        <w:tc>
          <w:tcPr>
            <w:tcW w:w="318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tcPr>
          <w:p>
            <w:pPr>
              <w:ind w:left="1780"/>
              <w:spacing w:after="0" w:line="196" w:lineRule="exact"/>
              <w:rPr>
                <w:sz w:val="20"/>
                <w:szCs w:val="20"/>
                <w:color w:val="auto"/>
              </w:rPr>
            </w:pPr>
            <w:r>
              <w:rPr>
                <w:rFonts w:ascii="Arial" w:cs="Arial" w:eastAsia="Arial" w:hAnsi="Arial"/>
                <w:sz w:val="18"/>
                <w:szCs w:val="18"/>
                <w:color w:val="auto"/>
              </w:rPr>
              <w:t>payment to the Notes;</w:t>
            </w:r>
          </w:p>
        </w:tc>
      </w:tr>
      <w:tr>
        <w:trPr>
          <w:trHeight w:val="359"/>
        </w:trPr>
        <w:tc>
          <w:tcPr>
            <w:tcW w:w="3180" w:type="dxa"/>
            <w:vAlign w:val="bottom"/>
          </w:tcPr>
          <w:p>
            <w:pPr>
              <w:spacing w:after="0"/>
              <w:rPr>
                <w:sz w:val="24"/>
                <w:szCs w:val="24"/>
                <w:color w:val="auto"/>
              </w:rPr>
            </w:pPr>
          </w:p>
        </w:tc>
        <w:tc>
          <w:tcPr>
            <w:tcW w:w="8060" w:type="dxa"/>
            <w:vAlign w:val="bottom"/>
          </w:tcPr>
          <w:p>
            <w:pPr>
              <w:ind w:left="23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08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600"/>
              <w:spacing w:after="0"/>
              <w:rPr>
                <w:sz w:val="20"/>
                <w:szCs w:val="20"/>
                <w:color w:val="auto"/>
              </w:rPr>
            </w:pPr>
            <w:r>
              <w:rPr>
                <w:rFonts w:ascii="Arial" w:cs="Arial" w:eastAsia="Arial" w:hAnsi="Arial"/>
                <w:sz w:val="18"/>
                <w:szCs w:val="18"/>
                <w:color w:val="auto"/>
              </w:rPr>
              <w:t>•   effectively subordinated to all of our secured indebtedness and other secured</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880"/>
              <w:spacing w:after="0" w:line="202" w:lineRule="exact"/>
              <w:rPr>
                <w:sz w:val="20"/>
                <w:szCs w:val="20"/>
                <w:color w:val="auto"/>
              </w:rPr>
            </w:pPr>
            <w:r>
              <w:rPr>
                <w:rFonts w:ascii="Arial" w:cs="Arial" w:eastAsia="Arial" w:hAnsi="Arial"/>
                <w:sz w:val="18"/>
                <w:szCs w:val="18"/>
                <w:color w:val="auto"/>
              </w:rPr>
              <w:t>obligations to the extent of the value of the assets securing such secured</w:t>
            </w:r>
          </w:p>
        </w:tc>
      </w:tr>
      <w:tr>
        <w:trPr>
          <w:trHeight w:val="211"/>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880"/>
              <w:spacing w:after="0"/>
              <w:rPr>
                <w:sz w:val="20"/>
                <w:szCs w:val="20"/>
                <w:color w:val="auto"/>
              </w:rPr>
            </w:pPr>
            <w:r>
              <w:rPr>
                <w:rFonts w:ascii="Arial" w:cs="Arial" w:eastAsia="Arial" w:hAnsi="Arial"/>
                <w:sz w:val="18"/>
                <w:szCs w:val="18"/>
                <w:color w:val="auto"/>
              </w:rPr>
              <w:t>indebtedness or other secured obligations; and</w:t>
            </w:r>
          </w:p>
        </w:tc>
      </w:tr>
      <w:tr>
        <w:trPr>
          <w:trHeight w:val="275"/>
        </w:trPr>
        <w:tc>
          <w:tcPr>
            <w:tcW w:w="3080" w:type="dxa"/>
            <w:vAlign w:val="bottom"/>
            <w:tcBorders>
              <w:left w:val="single" w:sz="8" w:color="auto"/>
            </w:tcBorders>
          </w:tcPr>
          <w:p>
            <w:pPr>
              <w:spacing w:after="0"/>
              <w:rPr>
                <w:sz w:val="23"/>
                <w:szCs w:val="23"/>
                <w:color w:val="auto"/>
              </w:rPr>
            </w:pPr>
          </w:p>
        </w:tc>
        <w:tc>
          <w:tcPr>
            <w:tcW w:w="816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structurally subordinated to all indebtedness and other obligations of our</w:t>
            </w:r>
          </w:p>
        </w:tc>
      </w:tr>
      <w:tr>
        <w:trPr>
          <w:trHeight w:val="211"/>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880"/>
              <w:spacing w:after="0"/>
              <w:rPr>
                <w:sz w:val="20"/>
                <w:szCs w:val="20"/>
                <w:color w:val="auto"/>
              </w:rPr>
            </w:pPr>
            <w:r>
              <w:rPr>
                <w:rFonts w:ascii="Arial" w:cs="Arial" w:eastAsia="Arial" w:hAnsi="Arial"/>
                <w:sz w:val="18"/>
                <w:szCs w:val="18"/>
                <w:color w:val="auto"/>
              </w:rPr>
              <w:t>subsidiaries.</w:t>
            </w:r>
          </w:p>
        </w:tc>
      </w:tr>
      <w:tr>
        <w:trPr>
          <w:trHeight w:val="397"/>
        </w:trPr>
        <w:tc>
          <w:tcPr>
            <w:tcW w:w="30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We may, at our option, redeem some or all of the 2023 Notes, the 2025 Notes and the</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240"/>
              <w:spacing w:after="0" w:line="202" w:lineRule="exact"/>
              <w:rPr>
                <w:sz w:val="20"/>
                <w:szCs w:val="20"/>
                <w:color w:val="auto"/>
              </w:rPr>
            </w:pPr>
            <w:r>
              <w:rPr>
                <w:rFonts w:ascii="Arial" w:cs="Arial" w:eastAsia="Arial" w:hAnsi="Arial"/>
                <w:sz w:val="18"/>
                <w:szCs w:val="18"/>
                <w:color w:val="auto"/>
              </w:rPr>
              <w:t>2027 Notes at any time and from time to time at redemption prices described under</w:t>
            </w:r>
          </w:p>
        </w:tc>
      </w:tr>
      <w:tr>
        <w:trPr>
          <w:trHeight w:val="211"/>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“Description of the Notes—Optional Redemption.”</w:t>
            </w:r>
          </w:p>
        </w:tc>
      </w:tr>
      <w:tr>
        <w:trPr>
          <w:trHeight w:val="397"/>
        </w:trPr>
        <w:tc>
          <w:tcPr>
            <w:tcW w:w="30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Covenants</w:t>
            </w: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issued under the Indenture, which will contain covenants that will</w:t>
            </w:r>
          </w:p>
        </w:tc>
      </w:tr>
      <w:tr>
        <w:trPr>
          <w:trHeight w:val="211"/>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limit:</w:t>
            </w:r>
          </w:p>
        </w:tc>
      </w:tr>
      <w:tr>
        <w:trPr>
          <w:trHeight w:val="275"/>
        </w:trPr>
        <w:tc>
          <w:tcPr>
            <w:tcW w:w="3080" w:type="dxa"/>
            <w:vAlign w:val="bottom"/>
            <w:tcBorders>
              <w:left w:val="single" w:sz="8" w:color="auto"/>
            </w:tcBorders>
          </w:tcPr>
          <w:p>
            <w:pPr>
              <w:spacing w:after="0"/>
              <w:rPr>
                <w:sz w:val="23"/>
                <w:szCs w:val="23"/>
                <w:color w:val="auto"/>
              </w:rPr>
            </w:pPr>
          </w:p>
        </w:tc>
        <w:tc>
          <w:tcPr>
            <w:tcW w:w="816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the ability of GM and certain of its subsidiaries to incur indebtedness secured</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880"/>
              <w:spacing w:after="0" w:line="202" w:lineRule="exact"/>
              <w:rPr>
                <w:sz w:val="20"/>
                <w:szCs w:val="20"/>
                <w:color w:val="auto"/>
              </w:rPr>
            </w:pPr>
            <w:r>
              <w:rPr>
                <w:rFonts w:ascii="Arial" w:cs="Arial" w:eastAsia="Arial" w:hAnsi="Arial"/>
                <w:sz w:val="18"/>
                <w:szCs w:val="18"/>
                <w:color w:val="auto"/>
              </w:rPr>
              <w:t>by certain principal domestic manufacturing properties or by any shares of</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880"/>
              <w:spacing w:after="0" w:line="202" w:lineRule="exact"/>
              <w:rPr>
                <w:sz w:val="20"/>
                <w:szCs w:val="20"/>
                <w:color w:val="auto"/>
              </w:rPr>
            </w:pPr>
            <w:r>
              <w:rPr>
                <w:rFonts w:ascii="Arial" w:cs="Arial" w:eastAsia="Arial" w:hAnsi="Arial"/>
                <w:sz w:val="18"/>
                <w:szCs w:val="18"/>
                <w:color w:val="auto"/>
              </w:rPr>
              <w:t>stock or indebtedness of certain manufacturing subsidiaries and to enter into</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880"/>
              <w:spacing w:after="0" w:line="202" w:lineRule="exact"/>
              <w:rPr>
                <w:sz w:val="20"/>
                <w:szCs w:val="20"/>
                <w:color w:val="auto"/>
              </w:rPr>
            </w:pPr>
            <w:r>
              <w:rPr>
                <w:rFonts w:ascii="Arial" w:cs="Arial" w:eastAsia="Arial" w:hAnsi="Arial"/>
                <w:sz w:val="18"/>
                <w:szCs w:val="18"/>
                <w:color w:val="auto"/>
              </w:rPr>
              <w:t>certain sale and leaseback transactions with respect to certain principal</w:t>
            </w:r>
          </w:p>
        </w:tc>
      </w:tr>
      <w:tr>
        <w:trPr>
          <w:trHeight w:val="211"/>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880"/>
              <w:spacing w:after="0"/>
              <w:rPr>
                <w:sz w:val="20"/>
                <w:szCs w:val="20"/>
                <w:color w:val="auto"/>
              </w:rPr>
            </w:pPr>
            <w:r>
              <w:rPr>
                <w:rFonts w:ascii="Arial" w:cs="Arial" w:eastAsia="Arial" w:hAnsi="Arial"/>
                <w:sz w:val="18"/>
                <w:szCs w:val="18"/>
                <w:color w:val="auto"/>
              </w:rPr>
              <w:t>domestic manufacturing properties; and</w:t>
            </w:r>
          </w:p>
        </w:tc>
      </w:tr>
      <w:tr>
        <w:trPr>
          <w:trHeight w:val="275"/>
        </w:trPr>
        <w:tc>
          <w:tcPr>
            <w:tcW w:w="3080" w:type="dxa"/>
            <w:vAlign w:val="bottom"/>
            <w:tcBorders>
              <w:left w:val="single" w:sz="8" w:color="auto"/>
            </w:tcBorders>
          </w:tcPr>
          <w:p>
            <w:pPr>
              <w:spacing w:after="0"/>
              <w:rPr>
                <w:sz w:val="23"/>
                <w:szCs w:val="23"/>
                <w:color w:val="auto"/>
              </w:rPr>
            </w:pPr>
          </w:p>
        </w:tc>
        <w:tc>
          <w:tcPr>
            <w:tcW w:w="816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the ability of GM to enter into certain mergers or certain conveyances,</w:t>
            </w:r>
          </w:p>
        </w:tc>
      </w:tr>
      <w:tr>
        <w:trPr>
          <w:trHeight w:val="211"/>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880"/>
              <w:spacing w:after="0"/>
              <w:rPr>
                <w:sz w:val="20"/>
                <w:szCs w:val="20"/>
                <w:color w:val="auto"/>
              </w:rPr>
            </w:pPr>
            <w:r>
              <w:rPr>
                <w:rFonts w:ascii="Arial" w:cs="Arial" w:eastAsia="Arial" w:hAnsi="Arial"/>
                <w:sz w:val="18"/>
                <w:szCs w:val="18"/>
                <w:color w:val="auto"/>
              </w:rPr>
              <w:t>transfers or leases of all or substantially all of its properties and assets.</w:t>
            </w:r>
          </w:p>
        </w:tc>
      </w:tr>
      <w:tr>
        <w:trPr>
          <w:trHeight w:val="397"/>
        </w:trPr>
        <w:tc>
          <w:tcPr>
            <w:tcW w:w="308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Each of these covenants, however, is subject to significant exceptions. See</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240"/>
              <w:spacing w:after="0" w:line="202" w:lineRule="exact"/>
              <w:rPr>
                <w:sz w:val="20"/>
                <w:szCs w:val="20"/>
                <w:color w:val="auto"/>
              </w:rPr>
            </w:pPr>
            <w:r>
              <w:rPr>
                <w:rFonts w:ascii="Arial" w:cs="Arial" w:eastAsia="Arial" w:hAnsi="Arial"/>
                <w:sz w:val="18"/>
                <w:szCs w:val="18"/>
                <w:color w:val="auto"/>
              </w:rPr>
              <w:t>“Description of the Notes—Certain Covenants” in this prospectus supplement and</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240"/>
              <w:spacing w:after="0" w:line="202" w:lineRule="exact"/>
              <w:rPr>
                <w:sz w:val="20"/>
                <w:szCs w:val="20"/>
                <w:color w:val="auto"/>
              </w:rPr>
            </w:pPr>
            <w:r>
              <w:rPr>
                <w:rFonts w:ascii="Arial" w:cs="Arial" w:eastAsia="Arial" w:hAnsi="Arial"/>
                <w:sz w:val="18"/>
                <w:szCs w:val="18"/>
                <w:color w:val="auto"/>
              </w:rPr>
              <w:t>“Description of Debt Securities—Consolidation, Merger or Sale of Assets” in the</w:t>
            </w:r>
          </w:p>
        </w:tc>
      </w:tr>
      <w:tr>
        <w:trPr>
          <w:trHeight w:val="211"/>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w:t>
            </w:r>
          </w:p>
        </w:tc>
      </w:tr>
      <w:tr>
        <w:trPr>
          <w:trHeight w:val="397"/>
        </w:trPr>
        <w:tc>
          <w:tcPr>
            <w:tcW w:w="30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Indenture does not limit the amount of Notes that we may issue. We may issue</w:t>
            </w:r>
          </w:p>
        </w:tc>
      </w:tr>
      <w:tr>
        <w:trPr>
          <w:trHeight w:val="185"/>
        </w:trPr>
        <w:tc>
          <w:tcPr>
            <w:tcW w:w="3080" w:type="dxa"/>
            <w:vAlign w:val="bottom"/>
            <w:tcBorders>
              <w:left w:val="single" w:sz="8" w:color="auto"/>
            </w:tcBorders>
          </w:tcPr>
          <w:p>
            <w:pPr>
              <w:spacing w:after="0"/>
              <w:rPr>
                <w:sz w:val="16"/>
                <w:szCs w:val="16"/>
                <w:color w:val="auto"/>
              </w:rPr>
            </w:pPr>
          </w:p>
        </w:tc>
        <w:tc>
          <w:tcPr>
            <w:tcW w:w="8160" w:type="dxa"/>
            <w:vAlign w:val="bottom"/>
            <w:tcBorders>
              <w:right w:val="single" w:sz="8" w:color="auto"/>
            </w:tcBorders>
          </w:tcPr>
          <w:p>
            <w:pPr>
              <w:ind w:left="1240"/>
              <w:spacing w:after="0" w:line="184" w:lineRule="exact"/>
              <w:rPr>
                <w:sz w:val="20"/>
                <w:szCs w:val="20"/>
                <w:color w:val="auto"/>
              </w:rPr>
            </w:pPr>
            <w:r>
              <w:rPr>
                <w:rFonts w:ascii="Arial" w:cs="Arial" w:eastAsia="Arial" w:hAnsi="Arial"/>
                <w:sz w:val="18"/>
                <w:szCs w:val="18"/>
                <w:color w:val="auto"/>
              </w:rPr>
              <w:t>additional Notes of any series up to an aggregate principal amount as our board of</w:t>
            </w:r>
          </w:p>
        </w:tc>
      </w:tr>
      <w:tr>
        <w:trPr>
          <w:trHeight w:val="220"/>
        </w:trPr>
        <w:tc>
          <w:tcPr>
            <w:tcW w:w="308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 xml:space="preserve">directors may authorize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additional Notes are not</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240"/>
              <w:spacing w:after="0" w:line="202" w:lineRule="exact"/>
              <w:rPr>
                <w:sz w:val="20"/>
                <w:szCs w:val="20"/>
                <w:color w:val="auto"/>
              </w:rPr>
            </w:pPr>
            <w:r>
              <w:rPr>
                <w:rFonts w:ascii="Arial" w:cs="Arial" w:eastAsia="Arial" w:hAnsi="Arial"/>
                <w:sz w:val="18"/>
                <w:szCs w:val="18"/>
                <w:color w:val="auto"/>
              </w:rPr>
              <w:t>fungible with the Notes of a particular series for U.S. federal income tax purposes, the</w:t>
            </w:r>
          </w:p>
        </w:tc>
      </w:tr>
      <w:tr>
        <w:trPr>
          <w:trHeight w:val="211"/>
        </w:trPr>
        <w:tc>
          <w:tcPr>
            <w:tcW w:w="308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additional Notes will have a separate CUSIP number.</w:t>
            </w:r>
          </w:p>
        </w:tc>
      </w:tr>
      <w:tr>
        <w:trPr>
          <w:trHeight w:val="397"/>
        </w:trPr>
        <w:tc>
          <w:tcPr>
            <w:tcW w:w="30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No Prior Markets</w:t>
            </w:r>
          </w:p>
        </w:tc>
        <w:tc>
          <w:tcPr>
            <w:tcW w:w="81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new securities for which there are currently no existing markets. The</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240"/>
              <w:spacing w:after="0" w:line="202" w:lineRule="exact"/>
              <w:rPr>
                <w:sz w:val="20"/>
                <w:szCs w:val="20"/>
                <w:color w:val="auto"/>
              </w:rPr>
            </w:pPr>
            <w:r>
              <w:rPr>
                <w:rFonts w:ascii="Arial" w:cs="Arial" w:eastAsia="Arial" w:hAnsi="Arial"/>
                <w:sz w:val="18"/>
                <w:szCs w:val="18"/>
                <w:color w:val="auto"/>
              </w:rPr>
              <w:t>Notes will not be listed on any securities exchange. Although the underwriters have</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240"/>
              <w:spacing w:after="0" w:line="202" w:lineRule="exact"/>
              <w:rPr>
                <w:sz w:val="20"/>
                <w:szCs w:val="20"/>
                <w:color w:val="auto"/>
              </w:rPr>
            </w:pPr>
            <w:r>
              <w:rPr>
                <w:rFonts w:ascii="Arial" w:cs="Arial" w:eastAsia="Arial" w:hAnsi="Arial"/>
                <w:sz w:val="18"/>
                <w:szCs w:val="18"/>
                <w:color w:val="auto"/>
              </w:rPr>
              <w:t>advised us that they currently intend to make a market in the Notes of each series,</w:t>
            </w:r>
          </w:p>
        </w:tc>
      </w:tr>
      <w:tr>
        <w:trPr>
          <w:trHeight w:val="202"/>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240"/>
              <w:spacing w:after="0" w:line="202" w:lineRule="exact"/>
              <w:rPr>
                <w:sz w:val="20"/>
                <w:szCs w:val="20"/>
                <w:color w:val="auto"/>
              </w:rPr>
            </w:pPr>
            <w:r>
              <w:rPr>
                <w:rFonts w:ascii="Arial" w:cs="Arial" w:eastAsia="Arial" w:hAnsi="Arial"/>
                <w:sz w:val="18"/>
                <w:szCs w:val="18"/>
                <w:color w:val="auto"/>
              </w:rPr>
              <w:t>they are not obligated to do so and may discontinue any market-making activities at</w:t>
            </w:r>
          </w:p>
        </w:tc>
      </w:tr>
      <w:tr>
        <w:trPr>
          <w:trHeight w:val="203"/>
        </w:trPr>
        <w:tc>
          <w:tcPr>
            <w:tcW w:w="3080" w:type="dxa"/>
            <w:vAlign w:val="bottom"/>
            <w:tcBorders>
              <w:left w:val="single" w:sz="8" w:color="auto"/>
            </w:tcBorders>
          </w:tcPr>
          <w:p>
            <w:pPr>
              <w:spacing w:after="0"/>
              <w:rPr>
                <w:sz w:val="17"/>
                <w:szCs w:val="17"/>
                <w:color w:val="auto"/>
              </w:rPr>
            </w:pPr>
          </w:p>
        </w:tc>
        <w:tc>
          <w:tcPr>
            <w:tcW w:w="8160" w:type="dxa"/>
            <w:vAlign w:val="bottom"/>
            <w:tcBorders>
              <w:right w:val="single" w:sz="8" w:color="auto"/>
            </w:tcBorders>
          </w:tcPr>
          <w:p>
            <w:pPr>
              <w:ind w:left="1240"/>
              <w:spacing w:after="0" w:line="202" w:lineRule="exact"/>
              <w:rPr>
                <w:sz w:val="20"/>
                <w:szCs w:val="20"/>
                <w:color w:val="auto"/>
              </w:rPr>
            </w:pPr>
            <w:r>
              <w:rPr>
                <w:rFonts w:ascii="Arial" w:cs="Arial" w:eastAsia="Arial" w:hAnsi="Arial"/>
                <w:sz w:val="18"/>
                <w:szCs w:val="18"/>
                <w:color w:val="auto"/>
              </w:rPr>
              <w:t>any time without notice. Accordingly, we cannot assure you as to the liquidity of, or the</w:t>
            </w:r>
          </w:p>
        </w:tc>
      </w:tr>
      <w:tr>
        <w:trPr>
          <w:trHeight w:val="196"/>
        </w:trPr>
        <w:tc>
          <w:tcPr>
            <w:tcW w:w="3080" w:type="dxa"/>
            <w:vAlign w:val="bottom"/>
            <w:tcBorders>
              <w:left w:val="single" w:sz="8" w:color="auto"/>
              <w:bottom w:val="single" w:sz="8" w:color="auto"/>
            </w:tcBorders>
          </w:tcPr>
          <w:p>
            <w:pPr>
              <w:spacing w:after="0"/>
              <w:rPr>
                <w:sz w:val="17"/>
                <w:szCs w:val="17"/>
                <w:color w:val="auto"/>
              </w:rPr>
            </w:pPr>
          </w:p>
        </w:tc>
        <w:tc>
          <w:tcPr>
            <w:tcW w:w="8160" w:type="dxa"/>
            <w:vAlign w:val="bottom"/>
            <w:tcBorders>
              <w:bottom w:val="single" w:sz="8" w:color="auto"/>
              <w:right w:val="single" w:sz="8" w:color="auto"/>
            </w:tcBorders>
          </w:tcPr>
          <w:p>
            <w:pPr>
              <w:ind w:left="1240"/>
              <w:spacing w:after="0" w:line="196" w:lineRule="exact"/>
              <w:rPr>
                <w:sz w:val="20"/>
                <w:szCs w:val="20"/>
                <w:color w:val="auto"/>
              </w:rPr>
            </w:pPr>
            <w:r>
              <w:rPr>
                <w:rFonts w:ascii="Arial" w:cs="Arial" w:eastAsia="Arial" w:hAnsi="Arial"/>
                <w:sz w:val="18"/>
                <w:szCs w:val="18"/>
                <w:color w:val="auto"/>
              </w:rPr>
              <w:t>trading markets for, the Notes.</w:t>
            </w:r>
          </w:p>
        </w:tc>
      </w:tr>
      <w:tr>
        <w:trPr>
          <w:trHeight w:val="359"/>
        </w:trPr>
        <w:tc>
          <w:tcPr>
            <w:tcW w:w="3080" w:type="dxa"/>
            <w:vAlign w:val="bottom"/>
          </w:tcPr>
          <w:p>
            <w:pPr>
              <w:spacing w:after="0"/>
              <w:rPr>
                <w:sz w:val="24"/>
                <w:szCs w:val="24"/>
                <w:color w:val="auto"/>
              </w:rPr>
            </w:pPr>
          </w:p>
        </w:tc>
        <w:tc>
          <w:tcPr>
            <w:tcW w:w="8160" w:type="dxa"/>
            <w:vAlign w:val="bottom"/>
          </w:tcPr>
          <w:p>
            <w:pPr>
              <w:ind w:left="24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20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Form and Denomination</w:t>
            </w:r>
          </w:p>
        </w:tc>
        <w:tc>
          <w:tcPr>
            <w:tcW w:w="804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The Notes will be issued in fully registered form and will be represented by global</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notes without interest coupons. The global notes will be deposited with a custodian for</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and registered in the name of a nominee of The Depository Trust Company (“DTC”) in</w:t>
            </w:r>
          </w:p>
        </w:tc>
      </w:tr>
      <w:tr>
        <w:trPr>
          <w:trHeight w:val="202"/>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New York, New York. Investors may elect to hold interests in the global notes through</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DTC and its direct or indirect participants as described under “Description of Debt</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Securities—Book-Entry; Delivery and Form; Global Securities” in the accompanying</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prospectus. The Notes of each series will be issued only in minimum denominations of</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97"/>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Settlement</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It is expected that delivery of the Notes will be made against payment therefor on or</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about May 12, 2020, which will be the third business day following the date of pricing</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of the Notes (such settlement cycle being referred to herein as “T+3”). Under Rule</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15c6-1 of the Exchange Act, trades in the secondary market generally are required to</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settle in two business days, unless the parties to any such trade expressly agree</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otherwise. Accordingly, purchasers who wish to trade the Notes on the date of pricing</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will be required, by virtue of the fact that the Notes initially will settle in T+3, to specify</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an alternate settlement cycle at the time of any such trade to prevent a failed</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settlement. Purchasers of the Notes who wish to trade those Notes on the date of</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pricing should consult their own advisor.</w:t>
            </w:r>
          </w:p>
        </w:tc>
      </w:tr>
      <w:tr>
        <w:trPr>
          <w:trHeight w:val="405"/>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Bank of New York Mellon (the “Trustee”).</w:t>
            </w:r>
          </w:p>
        </w:tc>
      </w:tr>
      <w:tr>
        <w:trPr>
          <w:trHeight w:val="410"/>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We intend to use the net proceeds from this offering for general corporate purposes.</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See “Use of Proceeds.”</w:t>
            </w:r>
          </w:p>
        </w:tc>
      </w:tr>
      <w:tr>
        <w:trPr>
          <w:trHeight w:val="405"/>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State of New York.</w:t>
            </w:r>
          </w:p>
        </w:tc>
      </w:tr>
      <w:tr>
        <w:trPr>
          <w:trHeight w:val="410"/>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See “Risk Factors” beginning on page S-6 of this prospectus supplement, in the</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accompanying prospectus and in our periodic reports filed from time to time with the</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SEC for a discussion of risks you should carefully consider before deciding to invest in</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Notes.</w:t>
            </w:r>
          </w:p>
        </w:tc>
      </w:tr>
      <w:tr>
        <w:trPr>
          <w:trHeight w:val="350"/>
        </w:trPr>
        <w:tc>
          <w:tcPr>
            <w:tcW w:w="3200" w:type="dxa"/>
            <w:vAlign w:val="bottom"/>
            <w:tcBorders>
              <w:left w:val="single" w:sz="8" w:color="auto"/>
              <w:bottom w:val="single" w:sz="8" w:color="auto"/>
            </w:tcBorders>
          </w:tcPr>
          <w:p>
            <w:pPr>
              <w:spacing w:after="0"/>
              <w:rPr>
                <w:sz w:val="24"/>
                <w:szCs w:val="24"/>
                <w:color w:val="auto"/>
              </w:rPr>
            </w:pPr>
          </w:p>
        </w:tc>
        <w:tc>
          <w:tcPr>
            <w:tcW w:w="8040" w:type="dxa"/>
            <w:vAlign w:val="bottom"/>
            <w:tcBorders>
              <w:bottom w:val="single" w:sz="8" w:color="auto"/>
              <w:right w:val="single" w:sz="8" w:color="auto"/>
            </w:tcBorders>
          </w:tcPr>
          <w:p>
            <w:pPr>
              <w:ind w:left="2040"/>
              <w:spacing w:after="0"/>
              <w:rPr>
                <w:sz w:val="20"/>
                <w:szCs w:val="20"/>
                <w:color w:val="auto"/>
              </w:rPr>
            </w:pPr>
            <w:r>
              <w:rPr>
                <w:rFonts w:ascii="Arial" w:cs="Arial" w:eastAsia="Arial" w:hAnsi="Arial"/>
                <w:sz w:val="18"/>
                <w:szCs w:val="18"/>
                <w:color w:val="auto"/>
              </w:rPr>
              <w:t>*******</w:t>
            </w:r>
          </w:p>
        </w:tc>
      </w:tr>
      <w:tr>
        <w:trPr>
          <w:trHeight w:val="359"/>
        </w:trPr>
        <w:tc>
          <w:tcPr>
            <w:tcW w:w="3200" w:type="dxa"/>
            <w:vAlign w:val="bottom"/>
          </w:tcPr>
          <w:p>
            <w:pPr>
              <w:spacing w:after="0"/>
              <w:rPr>
                <w:sz w:val="24"/>
                <w:szCs w:val="24"/>
                <w:color w:val="auto"/>
              </w:rPr>
            </w:pPr>
          </w:p>
        </w:tc>
        <w:tc>
          <w:tcPr>
            <w:tcW w:w="8040" w:type="dxa"/>
            <w:vAlign w:val="bottom"/>
          </w:tcPr>
          <w:p>
            <w:pPr>
              <w:ind w:left="228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right="40" w:firstLine="449"/>
        <w:spacing w:after="0" w:line="236" w:lineRule="auto"/>
        <w:rPr>
          <w:sz w:val="20"/>
          <w:szCs w:val="20"/>
          <w:color w:val="auto"/>
        </w:rPr>
      </w:pPr>
      <w:r>
        <w:rPr>
          <w:rFonts w:ascii="Arial" w:cs="Arial" w:eastAsia="Arial" w:hAnsi="Arial"/>
          <w:sz w:val="18"/>
          <w:szCs w:val="18"/>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2019, as updated by our subsequent filings under the Exchange Act that are incorporated by reference herein, including our Quarterly Reports on Form 10-Q and our Current Reports on Form 8-K and any amendments thereof, before investing in the Notes.</w:t>
      </w: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Risks Related to the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97" w:lineRule="exact"/>
        <w:rPr>
          <w:sz w:val="20"/>
          <w:szCs w:val="20"/>
          <w:color w:val="auto"/>
        </w:rPr>
      </w:pPr>
    </w:p>
    <w:p>
      <w:pPr>
        <w:ind w:firstLine="449"/>
        <w:spacing w:after="0" w:line="266" w:lineRule="auto"/>
        <w:rPr>
          <w:sz w:val="20"/>
          <w:szCs w:val="20"/>
          <w:color w:val="auto"/>
        </w:rPr>
      </w:pPr>
      <w:r>
        <w:rPr>
          <w:rFonts w:ascii="Arial" w:cs="Arial" w:eastAsia="Arial" w:hAnsi="Arial"/>
          <w:sz w:val="16"/>
          <w:szCs w:val="16"/>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March 31, 2020, we had total consolidated liabilities of approximately $202.3 billion (including consolidated indebtedness of approximately $126.5 billion), of which $29.9 billion constitutes indebtedness of General Motors Company (parent company only) under our revolving credit facilities and our existing floating rate senior notes due 2020, floating rate senior notes due 2021,</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4.875% senior notes due 2023, 4.000% senior notes due 2025, 4.200% senior notes due 2027, 5.000% senior notes due 2028, 5.000% senior notes due 2035, 6.600% senior notes due 2036, 5.150% senior notes due 2038, 6.250% senior notes due 2043, 5.200% senior notes due 2045, 6.750% senior notes due 2046, 5.400% senior notes due 2048 and 5.950% senior notes due 2049 and substantially all of the remainder of which are liabilities of our subsidiaries. Furthermore, the credit agreements governing our revolving credit facilities (which provide for borrowings of up to $19.5 billion, of which $15.9 billion was drawn as of March 31, 2020) provide that, during any period in which our long term corporate credit rating is rated below investment grade by at least two of Moody’s Investors Service, Inc., Standard &amp; Poor’s Ratings Service or Fitch Ratings, certain of our domestic subsidiaries must guarantee the obligations of General Motors Company under such revolving credit facilities. In such event, the Notes would be structurally subordinated to the obligations of such subsidiaries under our revolving credit facilities.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67"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Because we are a holding company and conduct substantially all of our operations through subsidiaries, our cash flow and ability to service debt, including the Notes and $29.9 billion of other senior notes and borrowings under our revolving credit facilities,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 requirements of our subsidiaries may limit our ability to obtain cash from our subsidiaries. For example, disruptions in economic activity resulting from the recent outbreak of the coronavirus (COVID-19) may have an adverse impact on our subsidiaries’ industries, their supply chains, their manufacturing operations and facilities, and/or their workforces. See “Risk Factors—</w:t>
      </w:r>
      <w:r>
        <w:rPr>
          <w:rFonts w:ascii="Arial" w:cs="Arial" w:eastAsia="Arial" w:hAnsi="Arial"/>
          <w:sz w:val="18"/>
          <w:szCs w:val="18"/>
          <w:i w:val="1"/>
          <w:iCs w:val="1"/>
          <w:color w:val="auto"/>
        </w:rPr>
        <w:t>The COVID-19 pandemic may disrupt our business and operations, which</w:t>
      </w:r>
      <w:r>
        <w:rPr>
          <w:rFonts w:ascii="Arial" w:cs="Arial" w:eastAsia="Arial" w:hAnsi="Arial"/>
          <w:sz w:val="18"/>
          <w:szCs w:val="18"/>
          <w:color w:val="auto"/>
        </w:rPr>
        <w:t xml:space="preserve"> </w:t>
      </w:r>
      <w:r>
        <w:rPr>
          <w:rFonts w:ascii="Arial" w:cs="Arial" w:eastAsia="Arial" w:hAnsi="Arial"/>
          <w:sz w:val="18"/>
          <w:szCs w:val="18"/>
          <w:i w:val="1"/>
          <w:iCs w:val="1"/>
          <w:color w:val="auto"/>
        </w:rPr>
        <w:t>could materially adversely impact our business, financial condition, liquidity and results of operations</w:t>
      </w:r>
      <w:r>
        <w:rPr>
          <w:rFonts w:ascii="Arial" w:cs="Arial" w:eastAsia="Arial" w:hAnsi="Arial"/>
          <w:sz w:val="18"/>
          <w:szCs w:val="18"/>
          <w:color w:val="auto"/>
        </w:rPr>
        <w:t>” in our Quarterly Report on Form 10-Q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March 31, 2020.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221"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not:</w:t>
      </w:r>
    </w:p>
    <w:p>
      <w:pPr>
        <w:spacing w:after="0" w:line="77" w:lineRule="exact"/>
        <w:rPr>
          <w:sz w:val="20"/>
          <w:szCs w:val="20"/>
          <w:color w:val="auto"/>
        </w:rPr>
      </w:pPr>
    </w:p>
    <w:p>
      <w:pPr>
        <w:ind w:left="880" w:right="60" w:hanging="427"/>
        <w:spacing w:after="0" w:line="238"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72" w:lineRule="exact"/>
        <w:rPr>
          <w:rFonts w:ascii="Arial" w:cs="Arial" w:eastAsia="Arial" w:hAnsi="Arial"/>
          <w:sz w:val="18"/>
          <w:szCs w:val="18"/>
          <w:color w:val="auto"/>
        </w:rPr>
      </w:pPr>
    </w:p>
    <w:p>
      <w:pPr>
        <w:ind w:left="880" w:right="140" w:hanging="427"/>
        <w:spacing w:after="0" w:line="299"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27" w:lineRule="exact"/>
        <w:rPr>
          <w:rFonts w:ascii="Arial" w:cs="Arial" w:eastAsia="Arial" w:hAnsi="Arial"/>
          <w:sz w:val="16"/>
          <w:szCs w:val="16"/>
          <w:color w:val="auto"/>
        </w:rPr>
      </w:pPr>
    </w:p>
    <w:p>
      <w:pPr>
        <w:ind w:left="880" w:right="200" w:hanging="427"/>
        <w:spacing w:after="0" w:line="239"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Notes to the extent of the value of the assets securing the indebtedness;</w:t>
      </w:r>
    </w:p>
    <w:p>
      <w:pPr>
        <w:spacing w:after="0" w:line="73" w:lineRule="exact"/>
        <w:rPr>
          <w:rFonts w:ascii="Arial" w:cs="Arial" w:eastAsia="Arial" w:hAnsi="Arial"/>
          <w:sz w:val="18"/>
          <w:szCs w:val="18"/>
          <w:color w:val="auto"/>
        </w:rPr>
      </w:pPr>
    </w:p>
    <w:p>
      <w:pPr>
        <w:ind w:left="880" w:right="720" w:hanging="427"/>
        <w:spacing w:after="0" w:line="239"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or subordinate in right of payment to the Notes (other than certain secured indebtedness);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76" w:lineRule="exact"/>
        <w:rPr>
          <w:rFonts w:ascii="Arial" w:cs="Arial" w:eastAsia="Arial" w:hAnsi="Arial"/>
          <w:sz w:val="18"/>
          <w:szCs w:val="18"/>
          <w:color w:val="auto"/>
        </w:rPr>
      </w:pPr>
    </w:p>
    <w:p>
      <w:pPr>
        <w:ind w:left="880" w:right="540" w:hanging="427"/>
        <w:spacing w:after="0" w:line="239"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our ability to make investments or pay dividends or make other payments in respect of our equity securities or our other indebtedness;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make an offer to repurchase the Notes in the event of a change in control transaction.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49"/>
        <w:spacing w:after="0" w:line="237" w:lineRule="auto"/>
        <w:rPr>
          <w:sz w:val="20"/>
          <w:szCs w:val="20"/>
          <w:color w:val="auto"/>
        </w:rPr>
      </w:pPr>
      <w:r>
        <w:rPr>
          <w:rFonts w:ascii="Arial" w:cs="Arial" w:eastAsia="Arial" w:hAnsi="Arial"/>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Although the Notes are referred to as “senior notes,” the Notes will be unsecured and will be effectively subordinated to any of our secured debt.</w:t>
      </w:r>
    </w:p>
    <w:p>
      <w:pPr>
        <w:spacing w:after="0" w:line="54"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1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i w:val="1"/>
          <w:iCs w:val="1"/>
          <w:color w:val="auto"/>
        </w:rPr>
        <w:t>If we default or any of our subsidiaries defaults on obligations to pay indebtedness, we may not be able to make payments on the Notes.</w:t>
      </w:r>
    </w:p>
    <w:p>
      <w:pPr>
        <w:spacing w:after="0" w:line="54" w:lineRule="exact"/>
        <w:rPr>
          <w:sz w:val="20"/>
          <w:szCs w:val="20"/>
          <w:color w:val="auto"/>
        </w:rPr>
      </w:pPr>
    </w:p>
    <w:p>
      <w:pPr>
        <w:ind w:right="120" w:firstLine="449"/>
        <w:spacing w:after="0" w:line="235" w:lineRule="auto"/>
        <w:rPr>
          <w:sz w:val="20"/>
          <w:szCs w:val="20"/>
          <w:color w:val="auto"/>
        </w:rPr>
      </w:pPr>
      <w:r>
        <w:rPr>
          <w:rFonts w:ascii="Arial" w:cs="Arial" w:eastAsia="Arial" w:hAnsi="Arial"/>
          <w:sz w:val="18"/>
          <w:szCs w:val="18"/>
          <w:color w:val="auto"/>
        </w:rPr>
        <w:t>Any default under agreements governing our indebtedness or the indebtedness of our subsidiaries, including any default under our three-year, $4.0 billion revolving credit facility, our five-year, $10.5 billion revolving credit facility, our 364-day $1.95 billion revolving credit facility, our three-year, $3.0 billion revolving credit facility or any future revolving credit facility that we may enter into, including the New 364-Day Revolving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currently no markets for the Notes, and we cannot assure you that active trading markets for the Notes will develop.</w:t>
      </w:r>
    </w:p>
    <w:p>
      <w:pPr>
        <w:spacing w:after="0" w:line="97" w:lineRule="exact"/>
        <w:rPr>
          <w:sz w:val="20"/>
          <w:szCs w:val="20"/>
          <w:color w:val="auto"/>
        </w:rPr>
      </w:pPr>
    </w:p>
    <w:p>
      <w:pPr>
        <w:ind w:right="80" w:firstLine="449"/>
        <w:spacing w:after="0" w:line="236" w:lineRule="auto"/>
        <w:rPr>
          <w:sz w:val="20"/>
          <w:szCs w:val="20"/>
          <w:color w:val="auto"/>
        </w:rPr>
      </w:pPr>
      <w:r>
        <w:rPr>
          <w:rFonts w:ascii="Arial" w:cs="Arial" w:eastAsia="Arial" w:hAnsi="Arial"/>
          <w:sz w:val="18"/>
          <w:szCs w:val="18"/>
          <w:color w:val="auto"/>
        </w:rPr>
        <w:t>The Notes will be new securities for which there currently are no established markets. The Notes will not be listed on any securities exchange. We can give you no assurance as to whether any trading markets for the Notes will ever develop or continue, as to your ability to sell the 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a market in the Notes of each series. However, they are not obligated to do so and may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discontinue such market-making at any time without notice. If no active trading markets develop or continue, you may be unable to resell the Notes at their fair value or at any price.</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Even if trading markets do develop, changes in our credit ratings or the debt markets could adversely affect the market prices of the Notes.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prices for the Notes will depend on many factors, including, among others:</w:t>
      </w:r>
    </w:p>
    <w:p>
      <w:pPr>
        <w:spacing w:after="0" w:line="77" w:lineRule="exact"/>
        <w:rPr>
          <w:sz w:val="20"/>
          <w:szCs w:val="20"/>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Notes, assigned by rating agencies;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158" w:lineRule="exact"/>
        <w:rPr>
          <w:sz w:val="20"/>
          <w:szCs w:val="20"/>
          <w:color w:val="auto"/>
        </w:rPr>
      </w:pPr>
    </w:p>
    <w:p>
      <w:pPr>
        <w:jc w:val="both"/>
        <w:ind w:right="340" w:firstLine="449"/>
        <w:spacing w:after="0" w:line="238" w:lineRule="auto"/>
        <w:rPr>
          <w:sz w:val="20"/>
          <w:szCs w:val="20"/>
          <w:color w:val="auto"/>
        </w:rPr>
      </w:pPr>
      <w:r>
        <w:rPr>
          <w:rFonts w:ascii="Arial" w:cs="Arial" w:eastAsia="Arial" w:hAnsi="Arial"/>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54" w:lineRule="exact"/>
        <w:rPr>
          <w:sz w:val="20"/>
          <w:szCs w:val="20"/>
          <w:color w:val="auto"/>
        </w:rPr>
      </w:pPr>
    </w:p>
    <w:p>
      <w:pPr>
        <w:ind w:firstLine="449"/>
        <w:spacing w:after="0" w:line="299" w:lineRule="auto"/>
        <w:rPr>
          <w:sz w:val="20"/>
          <w:szCs w:val="20"/>
          <w:color w:val="auto"/>
        </w:rPr>
      </w:pPr>
      <w:r>
        <w:rPr>
          <w:rFonts w:ascii="Arial" w:cs="Arial" w:eastAsia="Arial" w:hAnsi="Arial"/>
          <w:sz w:val="16"/>
          <w:szCs w:val="16"/>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32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49"/>
        <w:spacing w:after="0" w:line="237" w:lineRule="auto"/>
        <w:rPr>
          <w:sz w:val="20"/>
          <w:szCs w:val="20"/>
          <w:color w:val="auto"/>
        </w:rPr>
      </w:pPr>
      <w:r>
        <w:rPr>
          <w:rFonts w:ascii="Arial" w:cs="Arial" w:eastAsia="Arial" w:hAnsi="Arial"/>
          <w:sz w:val="18"/>
          <w:szCs w:val="18"/>
          <w:color w:val="auto"/>
        </w:rPr>
        <w:t>We expect to receive total net proceeds of approximately $3.97 billion from the issuance of the Notes, after deducting estimated underwriting discounts and commissions and estimated offering expenses payable by us. We intend to use the net proceeds from this offering for general corporate purposes. Our management will have broad discretion in the application of the net proceeds. Until we use the net proceeds from this offering, we intend to invest the funds in short-term investments, including marketable securities.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140" w:firstLine="449"/>
        <w:spacing w:after="0" w:line="236" w:lineRule="auto"/>
        <w:rPr>
          <w:sz w:val="20"/>
          <w:szCs w:val="20"/>
          <w:color w:val="auto"/>
        </w:rPr>
      </w:pPr>
      <w:r>
        <w:rPr>
          <w:rFonts w:ascii="Arial" w:cs="Arial" w:eastAsia="Arial" w:hAnsi="Arial"/>
          <w:sz w:val="18"/>
          <w:szCs w:val="18"/>
          <w:color w:val="auto"/>
        </w:rPr>
        <w:t>The Notes offered hereby will be issued as separate series of debt securities pursuant to the indenture (the “Base Indenture”) dated as of September 27, 2013 between GM and The Bank of New York Mellon, as trustee (the “Trustee”), as amended and supplemented by the sixth supplemental indenture (the “Supplemental Indenture”) to be dated on or about May 12, 2020 between us and the Trustee. The Base Indenture and the Supplemental Indenture, as amended and supplemented, are together referred to herein as the “Indenture.” The Indenture and the Notes are governed by, and construed in accordance with, the laws of the State of New York, United States.</w:t>
      </w:r>
    </w:p>
    <w:p>
      <w:pPr>
        <w:spacing w:after="0" w:line="157"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56" w:lineRule="exact"/>
        <w:rPr>
          <w:sz w:val="20"/>
          <w:szCs w:val="20"/>
          <w:color w:val="auto"/>
        </w:rPr>
      </w:pPr>
    </w:p>
    <w:p>
      <w:pPr>
        <w:ind w:right="160" w:firstLine="449"/>
        <w:spacing w:after="0" w:line="239" w:lineRule="auto"/>
        <w:rPr>
          <w:sz w:val="20"/>
          <w:szCs w:val="20"/>
          <w:color w:val="auto"/>
        </w:rPr>
      </w:pPr>
      <w:r>
        <w:rPr>
          <w:rFonts w:ascii="Arial" w:cs="Arial" w:eastAsia="Arial" w:hAnsi="Arial"/>
          <w:sz w:val="18"/>
          <w:szCs w:val="18"/>
          <w:color w:val="auto"/>
        </w:rPr>
        <w:t>The Notes will be senior, unsecured obligations of GM and will rank equally with all other unsecured and unsubordinated indebtedness of GM (other than obligations preferred by mandatory provisions of law).</w:t>
      </w:r>
    </w:p>
    <w:p>
      <w:pPr>
        <w:spacing w:after="0" w:line="155" w:lineRule="exact"/>
        <w:rPr>
          <w:sz w:val="20"/>
          <w:szCs w:val="20"/>
          <w:color w:val="auto"/>
        </w:rPr>
      </w:pPr>
    </w:p>
    <w:p>
      <w:pPr>
        <w:ind w:right="480" w:firstLine="449"/>
        <w:spacing w:after="0" w:line="238" w:lineRule="auto"/>
        <w:rPr>
          <w:sz w:val="20"/>
          <w:szCs w:val="20"/>
          <w:color w:val="auto"/>
        </w:rPr>
      </w:pPr>
      <w:r>
        <w:rPr>
          <w:rFonts w:ascii="Arial" w:cs="Arial" w:eastAsia="Arial" w:hAnsi="Arial"/>
          <w:sz w:val="18"/>
          <w:szCs w:val="18"/>
          <w:color w:val="auto"/>
        </w:rPr>
        <w:t>The 2023 Notes will mature on October 2, 2023, the 2025 Notes will mature on October 1, 2025 and the 2027 Notes will mature on October 1, 2027; in each case unless we redeem such Notes prior to their respective maturity dates, as described below under “—Optional Redemption.”</w:t>
      </w:r>
    </w:p>
    <w:p>
      <w:pPr>
        <w:spacing w:after="0" w:line="154" w:lineRule="exact"/>
        <w:rPr>
          <w:sz w:val="20"/>
          <w:szCs w:val="20"/>
          <w:color w:val="auto"/>
        </w:rPr>
      </w:pPr>
    </w:p>
    <w:p>
      <w:pPr>
        <w:ind w:right="480" w:firstLine="449"/>
        <w:spacing w:after="0" w:line="238" w:lineRule="auto"/>
        <w:rPr>
          <w:sz w:val="20"/>
          <w:szCs w:val="20"/>
          <w:color w:val="auto"/>
        </w:rPr>
      </w:pPr>
      <w:r>
        <w:rPr>
          <w:rFonts w:ascii="Arial" w:cs="Arial" w:eastAsia="Arial" w:hAnsi="Arial"/>
          <w:sz w:val="18"/>
          <w:szCs w:val="18"/>
          <w:color w:val="auto"/>
        </w:rPr>
        <w:t xml:space="preserve">The Notes will be issued in book-entry form only through the facilities of DTC, including its participants,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See “Description of Debt Securities—Book-Entry; Delivery and Form; Global Securities” in the accompanying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pacing w:after="0" w:line="99" w:lineRule="exact"/>
        <w:rPr>
          <w:sz w:val="20"/>
          <w:szCs w:val="20"/>
          <w:color w:val="auto"/>
        </w:rPr>
      </w:pPr>
    </w:p>
    <w:p>
      <w:pPr>
        <w:ind w:right="900" w:firstLine="449"/>
        <w:spacing w:after="0" w:line="299" w:lineRule="auto"/>
        <w:rPr>
          <w:sz w:val="20"/>
          <w:szCs w:val="20"/>
          <w:color w:val="auto"/>
        </w:rPr>
      </w:pPr>
      <w:r>
        <w:rPr>
          <w:rFonts w:ascii="Arial" w:cs="Arial" w:eastAsia="Arial" w:hAnsi="Arial"/>
          <w:sz w:val="16"/>
          <w:szCs w:val="16"/>
          <w:color w:val="auto"/>
        </w:rPr>
        <w:t>The 2023 Notes will initially be limited to $1,000,000,000 aggregate principal amount, the 2025 Notes will initially be limited to $2,000,000,000 aggregate principal amount and the 2027 Notes will initially be limited to $1,000,000,000 aggregate principal amount.</w:t>
      </w:r>
    </w:p>
    <w:p>
      <w:pPr>
        <w:spacing w:after="0" w:line="109" w:lineRule="exact"/>
        <w:rPr>
          <w:sz w:val="20"/>
          <w:szCs w:val="20"/>
          <w:color w:val="auto"/>
        </w:rPr>
      </w:pPr>
    </w:p>
    <w:p>
      <w:pPr>
        <w:ind w:firstLine="449"/>
        <w:spacing w:after="0" w:line="271" w:lineRule="auto"/>
        <w:rPr>
          <w:sz w:val="20"/>
          <w:szCs w:val="20"/>
          <w:color w:val="auto"/>
        </w:rPr>
      </w:pPr>
      <w:r>
        <w:rPr>
          <w:rFonts w:ascii="Arial" w:cs="Arial" w:eastAsia="Arial" w:hAnsi="Arial"/>
          <w:sz w:val="16"/>
          <w:szCs w:val="16"/>
          <w:color w:val="auto"/>
        </w:rPr>
        <w:t>The 2023 Notes will bear interest at a rate of 5.40% per year, the 2025 Notes will bear interest at a rate of 6.125% per year and the 2027 Notes will bear interest at a rate of 6.80% per year. Each series of Notes will accrue interest, calculated on the basis of a 360-day year consisting of twelve 30-day months, from May 12, 2020, or, in each case, from the most recent interest payment date to which interest has been paid or duly provided for. Interest on the 2023 Notes will be payable in arrears on April 2 and October 2 of each year, with the first payment to be made on October 2, 2020, to the person in whose name such 2023 Notes are registered at the close of business on the March 15 or September 15, as the case may be, next preceding the relevant interest payment date. Interest on the 2025 Notes and the 2027 Notes will be payable in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arrears on April 1 and October 1 of each year, with the first payment to be made on October 1, 2020, to the person in whose name such Notes are registered at the close of business on the March 15 or September 15, as the case may be, next preceding the relevant interest payment date.</w:t>
      </w:r>
    </w:p>
    <w:p>
      <w:pPr>
        <w:spacing w:after="0" w:line="154" w:lineRule="exact"/>
        <w:rPr>
          <w:sz w:val="20"/>
          <w:szCs w:val="20"/>
          <w:color w:val="auto"/>
        </w:rPr>
      </w:pPr>
    </w:p>
    <w:p>
      <w:pPr>
        <w:ind w:right="100" w:firstLine="449"/>
        <w:spacing w:after="0" w:line="237" w:lineRule="auto"/>
        <w:rPr>
          <w:sz w:val="20"/>
          <w:szCs w:val="20"/>
          <w:color w:val="auto"/>
        </w:rPr>
      </w:pPr>
      <w:r>
        <w:rPr>
          <w:rFonts w:ascii="Arial" w:cs="Arial" w:eastAsia="Arial" w:hAnsi="Arial"/>
          <w:sz w:val="18"/>
          <w:szCs w:val="18"/>
          <w:color w:val="auto"/>
        </w:rPr>
        <w:t>If any interest payment date, stated maturity date or earlier redemption date for any series of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 Notes</w:t>
      </w:r>
    </w:p>
    <w:p>
      <w:pPr>
        <w:spacing w:after="0" w:line="97" w:lineRule="exact"/>
        <w:rPr>
          <w:sz w:val="20"/>
          <w:szCs w:val="20"/>
          <w:color w:val="auto"/>
        </w:rPr>
      </w:pPr>
    </w:p>
    <w:p>
      <w:pPr>
        <w:ind w:right="120" w:firstLine="449"/>
        <w:spacing w:after="0" w:line="239" w:lineRule="auto"/>
        <w:rPr>
          <w:sz w:val="20"/>
          <w:szCs w:val="20"/>
          <w:color w:val="auto"/>
        </w:rPr>
      </w:pPr>
      <w:r>
        <w:rPr>
          <w:rFonts w:ascii="Arial" w:cs="Arial" w:eastAsia="Arial" w:hAnsi="Arial"/>
          <w:sz w:val="18"/>
          <w:szCs w:val="18"/>
          <w:color w:val="auto"/>
        </w:rPr>
        <w:t>The Notes of each series will be issued in fully registered form only, in denominations of $2,000 and integral multiples of $1,000 in excess thereof.</w:t>
      </w:r>
    </w:p>
    <w:p>
      <w:pPr>
        <w:spacing w:after="0" w:line="155" w:lineRule="exact"/>
        <w:rPr>
          <w:sz w:val="20"/>
          <w:szCs w:val="20"/>
          <w:color w:val="auto"/>
        </w:rPr>
      </w:pPr>
    </w:p>
    <w:p>
      <w:pPr>
        <w:ind w:right="160" w:firstLine="449"/>
        <w:spacing w:after="0" w:line="236" w:lineRule="auto"/>
        <w:rPr>
          <w:sz w:val="20"/>
          <w:szCs w:val="20"/>
          <w:color w:val="auto"/>
        </w:rPr>
      </w:pPr>
      <w:r>
        <w:rPr>
          <w:rFonts w:ascii="Arial" w:cs="Arial" w:eastAsia="Arial" w:hAnsi="Arial"/>
          <w:sz w:val="18"/>
          <w:szCs w:val="18"/>
          <w:color w:val="auto"/>
        </w:rPr>
        <w:t>Amounts due on the respective stated maturity date of the Notes (or the earlier redemption date of such Notes) will be payable at the corporate trust office of the Trustee, which at the date hereof is 240 Greenwich Street,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57" w:lineRule="exact"/>
        <w:rPr>
          <w:sz w:val="20"/>
          <w:szCs w:val="20"/>
          <w:color w:val="auto"/>
        </w:rPr>
      </w:pPr>
    </w:p>
    <w:p>
      <w:pPr>
        <w:jc w:val="both"/>
        <w:ind w:right="120" w:firstLine="449"/>
        <w:spacing w:after="0" w:line="238" w:lineRule="auto"/>
        <w:rPr>
          <w:sz w:val="20"/>
          <w:szCs w:val="20"/>
          <w:color w:val="auto"/>
        </w:rPr>
      </w:pPr>
      <w:r>
        <w:rPr>
          <w:rFonts w:ascii="Arial" w:cs="Arial" w:eastAsia="Arial" w:hAnsi="Arial"/>
          <w:sz w:val="18"/>
          <w:szCs w:val="18"/>
          <w:color w:val="auto"/>
        </w:rPr>
        <w:t>The term “Business Day”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9"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issued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9" w:lineRule="exact"/>
        <w:rPr>
          <w:sz w:val="20"/>
          <w:szCs w:val="20"/>
          <w:color w:val="auto"/>
        </w:rPr>
      </w:pPr>
    </w:p>
    <w:p>
      <w:pPr>
        <w:ind w:right="40" w:firstLine="449"/>
        <w:spacing w:after="0" w:line="237" w:lineRule="auto"/>
        <w:rPr>
          <w:sz w:val="20"/>
          <w:szCs w:val="20"/>
          <w:color w:val="auto"/>
        </w:rPr>
      </w:pPr>
      <w:r>
        <w:rPr>
          <w:rFonts w:ascii="Arial" w:cs="Arial" w:eastAsia="Arial" w:hAnsi="Arial"/>
          <w:sz w:val="18"/>
          <w:szCs w:val="18"/>
          <w:color w:val="auto"/>
        </w:rPr>
        <w:t>The 2023 Notes are redeemable at any time prior to maturity, as a whole or in part, at our option, on not less than 10 days’ nor more than 60 days’ notice before the applicable redemption date delivered to the registered address of each holder of the 2023 Notes to be redeemed, at a redemption price equal to the greater of (i) 100% of the principal amount of the 2023 Notes to be redeemed; and (ii) as determined by us, the sum of the present values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remaining scheduled payments of principal and interest on the 2023 Notes to be redeemed that would be due from the redemption date to maturity (except that, if such redemption date is not an interest payment date, the amount of the next succeeding scheduled interest payment will be reduced by the amount of interest accrued thereon to the redemption date), discounted to the redemption date on a semi-annual basis at the applicable discount rate for the 2023 Notes, plus accrued and unpaid interest, if any, on the principal amount of the 2023 Notes to be redeemed to, but not including, the applicable redemption date. The discount rate for the 2023 Notes will be the Treasury Rate plus 50 basis points.</w:t>
      </w:r>
    </w:p>
    <w:p>
      <w:pPr>
        <w:spacing w:after="0" w:line="132"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The 2025 Notes and the 2027 Notes are redeemable at any time prior to the applicable Par Call Date (as defined below), as a whole or in part, at our option, on not less than 10 days’ nor more than 60 days’ notice before the applicable redemption date delivered to the registered address of each holder of the Notes to be redeemed, at a redemption price equal to the greater of (i) 100% of the principal amount of the Notes to be redeemed; and (ii) as determined by us, the sum of the present values of the remaining scheduled payments of principal and interest on such series of Notes to be redeemed that would be due from the redemption date to the applicable Par Call Date (except that, if such redemption date is not an interest payment date, the amount of the next succeeding scheduled interest payment will be reduced by the amount of interest accrued thereon to the redemption date), discounted to the redemption date on a semi-annual basis at the applicable discount rate for the Notes, plus accrued and unpaid interest, if any, on the principal amount of the Notes to be redeemed to, but not including, the applicable redemption date. The discount rate for the 2025 Notes will be the Treasury Rate plus 50 basis points. The discount rate for the 2027 Notes will be the Treasury Rate plus 50 basis points.</w:t>
      </w:r>
    </w:p>
    <w:p>
      <w:pPr>
        <w:spacing w:after="0" w:line="160" w:lineRule="exact"/>
        <w:rPr>
          <w:sz w:val="20"/>
          <w:szCs w:val="20"/>
          <w:color w:val="auto"/>
        </w:rPr>
      </w:pPr>
    </w:p>
    <w:p>
      <w:pPr>
        <w:ind w:right="240" w:firstLine="449"/>
        <w:spacing w:after="0" w:line="275" w:lineRule="auto"/>
        <w:rPr>
          <w:sz w:val="20"/>
          <w:szCs w:val="20"/>
          <w:color w:val="auto"/>
        </w:rPr>
      </w:pPr>
      <w:r>
        <w:rPr>
          <w:rFonts w:ascii="Arial" w:cs="Arial" w:eastAsia="Arial" w:hAnsi="Arial"/>
          <w:sz w:val="16"/>
          <w:szCs w:val="16"/>
          <w:color w:val="auto"/>
        </w:rPr>
        <w:t>The 2025 Notes and the 2027 Notes will be redeemable at any time on or after the applicable Par Call Date, as a whole or in part, at our option, on not less than 10 days’ nor more than 60 days’ notice before the applicable redemption date delivered to the registered address of each holder of the Notes to be redeemed, at a redemption price equal to 100% of the principal amount of the Notes to be redeemed, plus accrued and unpaid interest, if any, on the principal amount of the Notes to be redeemed to, but not including, the applicable redemption date.</w:t>
      </w:r>
    </w:p>
    <w:p>
      <w:pPr>
        <w:spacing w:after="0" w:line="129" w:lineRule="exact"/>
        <w:rPr>
          <w:sz w:val="20"/>
          <w:szCs w:val="20"/>
          <w:color w:val="auto"/>
        </w:rPr>
      </w:pPr>
    </w:p>
    <w:p>
      <w:pPr>
        <w:ind w:right="360" w:firstLine="449"/>
        <w:spacing w:after="0" w:line="239"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37" w:lineRule="exact"/>
        <w:rPr>
          <w:sz w:val="20"/>
          <w:szCs w:val="20"/>
          <w:color w:val="auto"/>
        </w:rPr>
      </w:pPr>
    </w:p>
    <w:p>
      <w:pPr>
        <w:ind w:right="60" w:firstLine="449"/>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remaining term of the Notes of the applicable series to be redeemed that would be used, at the time of selection and in accordance with customary market practice, in pricing new issues of corporate debt securities of a comparable maturity to the remaining term of such Notes (assuming for this purpose, in the case of the 2025 Notes and the 2027 Notes only, that such Notes mature on the applicable Par Call Date).</w:t>
      </w:r>
    </w:p>
    <w:p>
      <w:pPr>
        <w:spacing w:after="0" w:line="135" w:lineRule="exact"/>
        <w:rPr>
          <w:sz w:val="20"/>
          <w:szCs w:val="20"/>
          <w:color w:val="auto"/>
        </w:rPr>
      </w:pPr>
    </w:p>
    <w:p>
      <w:pPr>
        <w:ind w:right="300" w:firstLine="44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as determined by us, (A) the average of the five Reference Treasury Dealer Quotations for such redemption date, after excluding the highest and lowest of the Reference Treasury Dealer Quotations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 if we obtain fewer than five Reference Treasury Dealer Quotations, the average of all Reference Treasury Dealer Quotations so received.</w:t>
      </w:r>
    </w:p>
    <w:p>
      <w:pPr>
        <w:spacing w:after="0" w:line="140" w:lineRule="exact"/>
        <w:rPr>
          <w:sz w:val="20"/>
          <w:szCs w:val="20"/>
          <w:color w:val="auto"/>
        </w:rPr>
      </w:pPr>
    </w:p>
    <w:p>
      <w:pPr>
        <w:ind w:right="60" w:firstLine="44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September 1, 2025, in the case of the 2025 Notes (one month prior to maturity), and August 1, 2027, in the case of the 2027 Notes (two months prior to maturity).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Deutsche Bank Securities Inc., Barclays Capital Inc., BofA Securities, Inc., Citigroup Global Markets Inc., Goldman Sachs &amp; Co. LLC, J.P. Morgan Securities LLC and Morgan Stanley &amp; Co. LLC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135" w:lineRule="exact"/>
        <w:rPr>
          <w:sz w:val="20"/>
          <w:szCs w:val="20"/>
          <w:color w:val="auto"/>
        </w:rPr>
      </w:pPr>
    </w:p>
    <w:p>
      <w:pPr>
        <w:ind w:right="180" w:firstLine="4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34" w:lineRule="exact"/>
        <w:rPr>
          <w:sz w:val="20"/>
          <w:szCs w:val="20"/>
          <w:color w:val="auto"/>
        </w:rPr>
      </w:pPr>
    </w:p>
    <w:p>
      <w:pPr>
        <w:jc w:val="both"/>
        <w:ind w:right="220" w:firstLine="44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14" w:lineRule="exact"/>
        <w:rPr>
          <w:sz w:val="20"/>
          <w:szCs w:val="20"/>
          <w:color w:val="auto"/>
        </w:rPr>
      </w:pPr>
    </w:p>
    <w:p>
      <w:pPr>
        <w:ind w:right="60" w:firstLine="449"/>
        <w:spacing w:after="0" w:line="239"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applicable series of or portions of such Notes called for redemption.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definitions shall be applicable to the covenants specified below:</w:t>
      </w:r>
    </w:p>
    <w:p>
      <w:pPr>
        <w:spacing w:after="0" w:line="158"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48" w:lineRule="exact"/>
        <w:rPr>
          <w:sz w:val="20"/>
          <w:szCs w:val="20"/>
          <w:color w:val="auto"/>
        </w:rPr>
      </w:pPr>
    </w:p>
    <w:p>
      <w:pPr>
        <w:ind w:right="220" w:firstLine="44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forth on the most recently available consolidated balance sheet of GM and its subsidiaries in accordance with generally accepted accounting principles in the United States.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158" w:lineRule="exact"/>
        <w:rPr>
          <w:sz w:val="20"/>
          <w:szCs w:val="20"/>
          <w:color w:val="auto"/>
        </w:rPr>
      </w:pPr>
    </w:p>
    <w:p>
      <w:pPr>
        <w:ind w:right="120" w:firstLine="44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Manufacturing Subsidiary</w:t>
      </w:r>
      <w:r>
        <w:rPr>
          <w:rFonts w:ascii="Arial" w:cs="Arial" w:eastAsia="Arial" w:hAnsi="Arial"/>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40" w:lineRule="exact"/>
        <w:rPr>
          <w:sz w:val="20"/>
          <w:szCs w:val="20"/>
          <w:color w:val="auto"/>
        </w:rPr>
      </w:pPr>
    </w:p>
    <w:p>
      <w:pPr>
        <w:ind w:right="780" w:firstLine="44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any mortgage, pledge, lien, security interest, conditional sale or other title retention agreement or other similar encumbrance.</w:t>
      </w:r>
    </w:p>
    <w:p>
      <w:pPr>
        <w:spacing w:after="0" w:line="119" w:lineRule="exact"/>
        <w:rPr>
          <w:sz w:val="20"/>
          <w:szCs w:val="20"/>
          <w:color w:val="auto"/>
        </w:rPr>
      </w:pPr>
    </w:p>
    <w:p>
      <w:pPr>
        <w:ind w:right="60" w:firstLine="44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Domestic Manufacturing Property</w:t>
      </w:r>
      <w:r>
        <w:rPr>
          <w:rFonts w:ascii="Arial" w:cs="Arial" w:eastAsia="Arial" w:hAnsi="Arial"/>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40" w:lineRule="exact"/>
        <w:rPr>
          <w:sz w:val="20"/>
          <w:szCs w:val="20"/>
          <w:color w:val="auto"/>
        </w:rPr>
      </w:pPr>
    </w:p>
    <w:p>
      <w:pPr>
        <w:ind w:right="60" w:firstLine="4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34" w:lineRule="exact"/>
        <w:rPr>
          <w:sz w:val="20"/>
          <w:szCs w:val="20"/>
          <w:color w:val="auto"/>
        </w:rPr>
      </w:pPr>
    </w:p>
    <w:p>
      <w:pPr>
        <w:ind w:firstLine="449"/>
        <w:spacing w:after="0" w:line="237" w:lineRule="auto"/>
        <w:rPr>
          <w:sz w:val="20"/>
          <w:szCs w:val="20"/>
          <w:color w:val="auto"/>
        </w:rPr>
      </w:pPr>
      <w:r>
        <w:rPr>
          <w:rFonts w:ascii="Arial" w:cs="Arial" w:eastAsia="Arial" w:hAnsi="Arial"/>
          <w:sz w:val="18"/>
          <w:szCs w:val="18"/>
          <w:i w:val="1"/>
          <w:iCs w:val="1"/>
          <w:color w:val="auto"/>
        </w:rPr>
        <w:t xml:space="preserve">Limitation on Liens. </w:t>
      </w:r>
      <w:r>
        <w:rPr>
          <w:rFonts w:ascii="Arial" w:cs="Arial" w:eastAsia="Arial" w:hAnsi="Arial"/>
          <w:sz w:val="18"/>
          <w:szCs w:val="18"/>
          <w:color w:val="auto"/>
        </w:rPr>
        <w:t>For the benefit of the Notes, we will not, nor will we permit any Manufacturing Subsidiary to, issue or assume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77" w:lineRule="exact"/>
        <w:rPr>
          <w:sz w:val="20"/>
          <w:szCs w:val="20"/>
          <w:color w:val="auto"/>
        </w:rPr>
      </w:pPr>
    </w:p>
    <w:p>
      <w:pPr>
        <w:ind w:left="1000" w:right="660" w:hanging="547"/>
        <w:spacing w:after="0" w:line="23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73" w:lineRule="exact"/>
        <w:rPr>
          <w:rFonts w:ascii="Arial" w:cs="Arial" w:eastAsia="Arial" w:hAnsi="Arial"/>
          <w:sz w:val="18"/>
          <w:szCs w:val="18"/>
          <w:color w:val="auto"/>
        </w:rPr>
      </w:pPr>
    </w:p>
    <w:p>
      <w:pPr>
        <w:ind w:left="1000" w:hanging="547"/>
        <w:spacing w:after="0" w:line="275"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47" w:lineRule="exact"/>
        <w:rPr>
          <w:rFonts w:ascii="Arial" w:cs="Arial" w:eastAsia="Arial" w:hAnsi="Arial"/>
          <w:sz w:val="16"/>
          <w:szCs w:val="16"/>
          <w:color w:val="auto"/>
        </w:rPr>
      </w:pPr>
    </w:p>
    <w:p>
      <w:pPr>
        <w:ind w:left="1000" w:hanging="54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76" w:lineRule="exact"/>
        <w:rPr>
          <w:rFonts w:ascii="Arial" w:cs="Arial" w:eastAsia="Arial" w:hAnsi="Arial"/>
          <w:sz w:val="18"/>
          <w:szCs w:val="18"/>
          <w:color w:val="auto"/>
        </w:rPr>
      </w:pPr>
    </w:p>
    <w:p>
      <w:pPr>
        <w:jc w:val="both"/>
        <w:ind w:left="1000" w:right="160" w:hanging="547"/>
        <w:spacing w:after="0" w:line="238"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72" w:lineRule="exact"/>
        <w:rPr>
          <w:rFonts w:ascii="Arial" w:cs="Arial" w:eastAsia="Arial" w:hAnsi="Arial"/>
          <w:sz w:val="18"/>
          <w:szCs w:val="18"/>
          <w:color w:val="auto"/>
        </w:rPr>
      </w:pPr>
    </w:p>
    <w:p>
      <w:pPr>
        <w:ind w:left="1000" w:right="40" w:hanging="547"/>
        <w:spacing w:after="0" w:line="23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74" w:lineRule="exact"/>
        <w:rPr>
          <w:rFonts w:ascii="Arial" w:cs="Arial" w:eastAsia="Arial" w:hAnsi="Arial"/>
          <w:sz w:val="18"/>
          <w:szCs w:val="18"/>
          <w:color w:val="auto"/>
        </w:rPr>
      </w:pPr>
    </w:p>
    <w:p>
      <w:pPr>
        <w:ind w:left="1000" w:hanging="54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existing on the date of issuance of the Notes; or</w:t>
      </w:r>
    </w:p>
    <w:p>
      <w:pPr>
        <w:spacing w:after="0" w:line="76" w:lineRule="exact"/>
        <w:rPr>
          <w:rFonts w:ascii="Arial" w:cs="Arial" w:eastAsia="Arial" w:hAnsi="Arial"/>
          <w:sz w:val="18"/>
          <w:szCs w:val="18"/>
          <w:color w:val="auto"/>
        </w:rPr>
      </w:pPr>
    </w:p>
    <w:p>
      <w:pPr>
        <w:ind w:left="1000" w:right="220" w:hanging="547"/>
        <w:spacing w:after="0" w:line="23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39" w:lineRule="exact"/>
        <w:rPr>
          <w:sz w:val="20"/>
          <w:szCs w:val="20"/>
          <w:color w:val="auto"/>
        </w:rPr>
      </w:pPr>
    </w:p>
    <w:p>
      <w:pPr>
        <w:ind w:right="20" w:firstLine="449"/>
        <w:spacing w:after="0" w:line="241" w:lineRule="auto"/>
        <w:rPr>
          <w:sz w:val="20"/>
          <w:szCs w:val="20"/>
          <w:color w:val="auto"/>
        </w:rPr>
      </w:pPr>
      <w:r>
        <w:rPr>
          <w:rFonts w:ascii="Arial" w:cs="Arial" w:eastAsia="Arial" w:hAnsi="Arial"/>
          <w:sz w:val="18"/>
          <w:szCs w:val="18"/>
          <w:i w:val="1"/>
          <w:iCs w:val="1"/>
          <w:color w:val="auto"/>
        </w:rPr>
        <w:t xml:space="preserve">Limitation on Sales and Lease-Backs. </w:t>
      </w:r>
      <w:r>
        <w:rPr>
          <w:rFonts w:ascii="Arial" w:cs="Arial" w:eastAsia="Arial" w:hAnsi="Arial"/>
          <w:sz w:val="18"/>
          <w:szCs w:val="18"/>
          <w:color w:val="auto"/>
        </w:rPr>
        <w:t>For the benefit of the Notes, we will not, nor will we permit any Manufacturing Subsidiary to, enter</w:t>
      </w:r>
      <w:r>
        <w:rPr>
          <w:rFonts w:ascii="Arial" w:cs="Arial" w:eastAsia="Arial" w:hAnsi="Arial"/>
          <w:sz w:val="18"/>
          <w:szCs w:val="18"/>
          <w:i w:val="1"/>
          <w:iCs w:val="1"/>
          <w:color w:val="auto"/>
        </w:rPr>
        <w:t xml:space="preserve"> </w:t>
      </w:r>
      <w:r>
        <w:rPr>
          <w:rFonts w:ascii="Arial" w:cs="Arial" w:eastAsia="Arial" w:hAnsi="Arial"/>
          <w:sz w:val="18"/>
          <w:szCs w:val="18"/>
          <w:color w:val="auto"/>
        </w:rPr>
        <w:t>into any 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72" w:lineRule="exact"/>
        <w:rPr>
          <w:sz w:val="20"/>
          <w:szCs w:val="20"/>
          <w:color w:val="auto"/>
        </w:rPr>
      </w:pPr>
    </w:p>
    <w:p>
      <w:pPr>
        <w:ind w:left="1000" w:right="80" w:hanging="547"/>
        <w:spacing w:after="0" w:line="275"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000" w:right="260"/>
        <w:spacing w:after="0" w:line="238" w:lineRule="auto"/>
        <w:rPr>
          <w:sz w:val="20"/>
          <w:szCs w:val="20"/>
          <w:color w:val="auto"/>
        </w:rPr>
      </w:pPr>
      <w:r>
        <w:rPr>
          <w:rFonts w:ascii="Arial" w:cs="Arial" w:eastAsia="Arial" w:hAnsi="Arial"/>
          <w:sz w:val="18"/>
          <w:szCs w:val="18"/>
          <w:color w:val="auto"/>
        </w:rPr>
        <w:t>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73" w:lineRule="exact"/>
        <w:rPr>
          <w:sz w:val="20"/>
          <w:szCs w:val="20"/>
          <w:color w:val="auto"/>
        </w:rPr>
      </w:pPr>
    </w:p>
    <w:p>
      <w:pPr>
        <w:ind w:left="1000" w:hanging="547"/>
        <w:spacing w:after="0" w:line="23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w:t>
      </w:r>
    </w:p>
    <w:p>
      <w:pPr>
        <w:spacing w:after="0" w:line="180" w:lineRule="exact"/>
        <w:rPr>
          <w:sz w:val="20"/>
          <w:szCs w:val="20"/>
          <w:color w:val="auto"/>
        </w:rPr>
      </w:pPr>
    </w:p>
    <w:p>
      <w:pPr>
        <w:ind w:right="80" w:firstLine="449"/>
        <w:spacing w:after="0" w:line="268" w:lineRule="auto"/>
        <w:rPr>
          <w:sz w:val="20"/>
          <w:szCs w:val="20"/>
          <w:color w:val="auto"/>
        </w:rPr>
      </w:pPr>
      <w:r>
        <w:rPr>
          <w:rFonts w:ascii="Arial" w:cs="Arial" w:eastAsia="Arial" w:hAnsi="Arial"/>
          <w:sz w:val="16"/>
          <w:szCs w:val="16"/>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80" w:lineRule="exact"/>
        <w:rPr>
          <w:sz w:val="20"/>
          <w:szCs w:val="20"/>
          <w:color w:val="auto"/>
        </w:rPr>
      </w:pPr>
    </w:p>
    <w:p>
      <w:pPr>
        <w:ind w:right="540" w:firstLine="449"/>
        <w:spacing w:after="0" w:line="239" w:lineRule="auto"/>
        <w:rPr>
          <w:sz w:val="20"/>
          <w:szCs w:val="20"/>
          <w:color w:val="auto"/>
        </w:rPr>
      </w:pPr>
      <w:r>
        <w:rPr>
          <w:rFonts w:ascii="Arial" w:cs="Arial" w:eastAsia="Arial" w:hAnsi="Arial"/>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TAX CONSIDERATIONS</w:t>
      </w:r>
    </w:p>
    <w:p>
      <w:pPr>
        <w:spacing w:after="0" w:line="180" w:lineRule="exact"/>
        <w:rPr>
          <w:sz w:val="20"/>
          <w:szCs w:val="20"/>
          <w:color w:val="auto"/>
        </w:rPr>
      </w:pPr>
    </w:p>
    <w:p>
      <w:pPr>
        <w:ind w:right="80" w:firstLine="449"/>
        <w:spacing w:after="0" w:line="236" w:lineRule="auto"/>
        <w:rPr>
          <w:sz w:val="20"/>
          <w:szCs w:val="20"/>
          <w:color w:val="auto"/>
        </w:rPr>
      </w:pPr>
      <w:r>
        <w:rPr>
          <w:rFonts w:ascii="Arial" w:cs="Arial" w:eastAsia="Arial" w:hAnsi="Arial"/>
          <w:sz w:val="18"/>
          <w:szCs w:val="18"/>
          <w:color w:val="auto"/>
        </w:rPr>
        <w:t>The following is a general discussion of U.S. generally applicable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57"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This discussion is based on the U.S. Internal Revenue Code of 1986, as amended (the “Code”), Treasury regulations promulgated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persons required to accelerate the recognition of any item of gross income with respect to the Notes as a result of such income being recognized on any applicable financial statement,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60" w:lineRule="exact"/>
        <w:rPr>
          <w:sz w:val="20"/>
          <w:szCs w:val="20"/>
          <w:color w:val="auto"/>
        </w:rPr>
      </w:pPr>
    </w:p>
    <w:p>
      <w:pPr>
        <w:ind w:right="40" w:firstLine="449"/>
        <w:spacing w:after="0" w:line="237"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32" w:lineRule="exact"/>
        <w:rPr>
          <w:sz w:val="20"/>
          <w:szCs w:val="20"/>
          <w:color w:val="auto"/>
        </w:rPr>
      </w:pPr>
    </w:p>
    <w:p>
      <w:pPr>
        <w:ind w:right="40" w:firstLine="449"/>
        <w:spacing w:after="0" w:line="249"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47" w:lineRule="exact"/>
        <w:rPr>
          <w:sz w:val="20"/>
          <w:szCs w:val="20"/>
          <w:color w:val="auto"/>
        </w:rPr>
      </w:pPr>
    </w:p>
    <w:p>
      <w:pPr>
        <w:ind w:right="40" w:firstLine="449"/>
        <w:spacing w:after="0" w:line="271" w:lineRule="auto"/>
        <w:rPr>
          <w:sz w:val="20"/>
          <w:szCs w:val="20"/>
          <w:color w:val="auto"/>
        </w:rPr>
      </w:pPr>
      <w:r>
        <w:rPr>
          <w:rFonts w:ascii="Arial" w:cs="Arial" w:eastAsia="Arial" w:hAnsi="Arial"/>
          <w:sz w:val="16"/>
          <w:szCs w:val="16"/>
          <w:color w:val="auto"/>
        </w:rPr>
        <w:t>As used in this discussion, the term “U.S. Holder” means a beneficial owner of a Note that, for U.S. federal income tax purposes, is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49"/>
        <w:spacing w:after="0" w:line="238" w:lineRule="auto"/>
        <w:rPr>
          <w:sz w:val="20"/>
          <w:szCs w:val="20"/>
          <w:color w:val="auto"/>
        </w:rPr>
      </w:pPr>
      <w:r>
        <w:rPr>
          <w:rFonts w:ascii="Arial" w:cs="Arial" w:eastAsia="Arial" w:hAnsi="Arial"/>
          <w:sz w:val="18"/>
          <w:szCs w:val="18"/>
          <w:color w:val="auto"/>
        </w:rPr>
        <w:t>The term “Non-U.S. Holder” means a beneficial owner of a Note that is, for U.S. federal income tax purposes, an individual, corporation, estate or trust that is not a U.S. Holder. For purposes of this “U.S. Federal Tax Considerations” section only, the term “Holder” means a U.S. Holder or a Non-U.S. Holder (as those terms are defined herein).</w:t>
      </w:r>
    </w:p>
    <w:p>
      <w:pPr>
        <w:spacing w:after="0" w:line="154" w:lineRule="exact"/>
        <w:rPr>
          <w:sz w:val="20"/>
          <w:szCs w:val="20"/>
          <w:color w:val="auto"/>
        </w:rPr>
      </w:pPr>
    </w:p>
    <w:p>
      <w:pPr>
        <w:ind w:firstLine="449"/>
        <w:spacing w:after="0" w:line="238" w:lineRule="auto"/>
        <w:rPr>
          <w:sz w:val="20"/>
          <w:szCs w:val="20"/>
          <w:color w:val="auto"/>
        </w:rPr>
      </w:pPr>
      <w:r>
        <w:rPr>
          <w:rFonts w:ascii="Arial" w:cs="Arial" w:eastAsia="Arial" w:hAnsi="Arial"/>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Stated Interest</w:t>
      </w:r>
    </w:p>
    <w:p>
      <w:pPr>
        <w:spacing w:after="0" w:line="97" w:lineRule="exact"/>
        <w:rPr>
          <w:sz w:val="20"/>
          <w:szCs w:val="20"/>
          <w:color w:val="auto"/>
        </w:rPr>
      </w:pPr>
    </w:p>
    <w:p>
      <w:pPr>
        <w:ind w:right="80" w:firstLine="449"/>
        <w:spacing w:after="0" w:line="239" w:lineRule="auto"/>
        <w:rPr>
          <w:sz w:val="20"/>
          <w:szCs w:val="20"/>
          <w:color w:val="auto"/>
        </w:rPr>
      </w:pPr>
      <w:r>
        <w:rPr>
          <w:rFonts w:ascii="Arial" w:cs="Arial" w:eastAsia="Arial" w:hAnsi="Arial"/>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Original Issue Discount</w:t>
      </w:r>
    </w:p>
    <w:p>
      <w:pPr>
        <w:spacing w:after="0" w:line="79" w:lineRule="exact"/>
        <w:rPr>
          <w:sz w:val="20"/>
          <w:szCs w:val="20"/>
          <w:color w:val="auto"/>
        </w:rPr>
      </w:pPr>
    </w:p>
    <w:p>
      <w:pPr>
        <w:ind w:right="140" w:firstLine="449"/>
        <w:spacing w:after="0" w:line="241" w:lineRule="auto"/>
        <w:rPr>
          <w:sz w:val="20"/>
          <w:szCs w:val="20"/>
          <w:color w:val="auto"/>
        </w:rPr>
      </w:pPr>
      <w:r>
        <w:rPr>
          <w:rFonts w:ascii="Arial" w:cs="Arial" w:eastAsia="Arial" w:hAnsi="Arial"/>
          <w:sz w:val="18"/>
          <w:szCs w:val="18"/>
          <w:color w:val="auto"/>
        </w:rPr>
        <w:t xml:space="preserve">The Notes are expected to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original issue discount (“OID”) for U.S. federal income tax purposes. However, if the stated principal amount of any series of Notes exceeds their issue price (as defined above) by at least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such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97" w:lineRule="exact"/>
        <w:rPr>
          <w:sz w:val="20"/>
          <w:szCs w:val="20"/>
          <w:color w:val="auto"/>
        </w:rPr>
      </w:pPr>
    </w:p>
    <w:p>
      <w:pPr>
        <w:ind w:right="80" w:firstLine="449"/>
        <w:spacing w:after="0" w:line="235" w:lineRule="auto"/>
        <w:rPr>
          <w:sz w:val="20"/>
          <w:szCs w:val="20"/>
          <w:color w:val="auto"/>
        </w:rPr>
      </w:pPr>
      <w:r>
        <w:rPr>
          <w:rFonts w:ascii="Arial" w:cs="Arial" w:eastAsia="Arial" w:hAnsi="Arial"/>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97" w:lineRule="exact"/>
        <w:rPr>
          <w:sz w:val="20"/>
          <w:szCs w:val="20"/>
          <w:color w:val="auto"/>
        </w:rPr>
      </w:pPr>
    </w:p>
    <w:p>
      <w:pPr>
        <w:ind w:right="20" w:firstLine="449"/>
        <w:spacing w:after="0" w:line="237" w:lineRule="auto"/>
        <w:rPr>
          <w:sz w:val="20"/>
          <w:szCs w:val="20"/>
          <w:color w:val="auto"/>
        </w:rPr>
      </w:pPr>
      <w:r>
        <w:rPr>
          <w:rFonts w:ascii="Arial" w:cs="Arial" w:eastAsia="Arial" w:hAnsi="Arial"/>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 and Disposition of Notes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discussion below:</w:t>
      </w:r>
    </w:p>
    <w:p>
      <w:pPr>
        <w:spacing w:after="0" w:line="77" w:lineRule="exact"/>
        <w:rPr>
          <w:sz w:val="20"/>
          <w:szCs w:val="20"/>
          <w:color w:val="auto"/>
        </w:rPr>
      </w:pPr>
    </w:p>
    <w:p>
      <w:pPr>
        <w:ind w:left="1000" w:right="40" w:hanging="547"/>
        <w:spacing w:after="0" w:line="23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and (iv) the certification requirements described below are satisfied; and</w:t>
      </w:r>
    </w:p>
    <w:p>
      <w:pPr>
        <w:spacing w:after="0" w:line="74" w:lineRule="exact"/>
        <w:rPr>
          <w:rFonts w:ascii="Arial" w:cs="Arial" w:eastAsia="Arial" w:hAnsi="Arial"/>
          <w:sz w:val="18"/>
          <w:szCs w:val="18"/>
          <w:color w:val="auto"/>
        </w:rPr>
      </w:pPr>
    </w:p>
    <w:p>
      <w:pPr>
        <w:ind w:left="1000" w:right="220" w:hanging="547"/>
        <w:spacing w:after="0" w:line="23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w:t>
      </w:r>
    </w:p>
    <w:p>
      <w:pPr>
        <w:spacing w:after="0" w:line="154" w:lineRule="exact"/>
        <w:rPr>
          <w:sz w:val="20"/>
          <w:szCs w:val="20"/>
          <w:color w:val="auto"/>
        </w:rPr>
      </w:pPr>
    </w:p>
    <w:p>
      <w:pPr>
        <w:ind w:firstLine="449"/>
        <w:spacing w:after="0" w:line="237" w:lineRule="auto"/>
        <w:rPr>
          <w:sz w:val="20"/>
          <w:szCs w:val="20"/>
          <w:color w:val="auto"/>
        </w:rPr>
      </w:pPr>
      <w:r>
        <w:rPr>
          <w:rFonts w:ascii="Arial" w:cs="Arial" w:eastAsia="Arial" w:hAnsi="Arial"/>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54" w:lineRule="exact"/>
        <w:rPr>
          <w:sz w:val="20"/>
          <w:szCs w:val="20"/>
          <w:color w:val="auto"/>
        </w:rPr>
      </w:pPr>
    </w:p>
    <w:p>
      <w:pPr>
        <w:ind w:right="20" w:firstLine="449"/>
        <w:spacing w:after="0" w:line="237" w:lineRule="auto"/>
        <w:rPr>
          <w:sz w:val="20"/>
          <w:szCs w:val="20"/>
          <w:color w:val="auto"/>
        </w:rPr>
      </w:pPr>
      <w:r>
        <w:rPr>
          <w:rFonts w:ascii="Arial" w:cs="Arial" w:eastAsia="Arial" w:hAnsi="Arial"/>
          <w:sz w:val="18"/>
          <w:szCs w:val="18"/>
          <w:color w:val="auto"/>
        </w:rPr>
        <w:t>If the requirements set forth in clause (a) above are not satisfied with respect to a Non-U.S. Holder, and subject to the immediately following paragraph,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54" w:lineRule="exact"/>
        <w:rPr>
          <w:sz w:val="20"/>
          <w:szCs w:val="20"/>
          <w:color w:val="auto"/>
        </w:rPr>
      </w:pPr>
    </w:p>
    <w:p>
      <w:pPr>
        <w:ind w:right="100" w:firstLine="449"/>
        <w:spacing w:after="0" w:line="235" w:lineRule="auto"/>
        <w:rPr>
          <w:sz w:val="20"/>
          <w:szCs w:val="20"/>
          <w:color w:val="auto"/>
        </w:rPr>
      </w:pPr>
      <w:r>
        <w:rPr>
          <w:rFonts w:ascii="Arial" w:cs="Arial" w:eastAsia="Arial" w:hAnsi="Arial"/>
          <w:sz w:val="18"/>
          <w:szCs w:val="18"/>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United States),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60" w:lineRule="exact"/>
        <w:rPr>
          <w:sz w:val="20"/>
          <w:szCs w:val="20"/>
          <w:color w:val="auto"/>
        </w:rPr>
      </w:pPr>
    </w:p>
    <w:p>
      <w:pPr>
        <w:jc w:val="both"/>
        <w:ind w:right="120" w:firstLine="449"/>
        <w:spacing w:after="0" w:line="238" w:lineRule="auto"/>
        <w:rPr>
          <w:sz w:val="20"/>
          <w:szCs w:val="20"/>
          <w:color w:val="auto"/>
        </w:rPr>
      </w:pPr>
      <w:r>
        <w:rPr>
          <w:rFonts w:ascii="Arial" w:cs="Arial" w:eastAsia="Arial" w:hAnsi="Arial"/>
          <w:sz w:val="18"/>
          <w:szCs w:val="18"/>
          <w:color w:val="auto"/>
        </w:rPr>
        <w:t>Gain realized on the sale, exchange, redemption, retirement or other taxable disposition of a Note that is described in clause (b)(ii) above generally will be subject to a flat 30% U.S. federal income tax (or a lower rate if provided by an applicable tax treaty), which gain may be offset by U.S. source capital losses of the Non-U.S. Holder provided certain other requirements are satisfied.</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32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FATCA Withholding</w:t>
      </w:r>
    </w:p>
    <w:p>
      <w:pPr>
        <w:spacing w:after="0" w:line="97" w:lineRule="exact"/>
        <w:rPr>
          <w:sz w:val="20"/>
          <w:szCs w:val="20"/>
          <w:color w:val="auto"/>
        </w:rPr>
      </w:pPr>
    </w:p>
    <w:p>
      <w:pPr>
        <w:ind w:right="40" w:firstLine="449"/>
        <w:spacing w:after="0" w:line="267" w:lineRule="auto"/>
        <w:rPr>
          <w:sz w:val="20"/>
          <w:szCs w:val="20"/>
          <w:color w:val="auto"/>
        </w:rPr>
      </w:pPr>
      <w:r>
        <w:rPr>
          <w:rFonts w:ascii="Arial" w:cs="Arial" w:eastAsia="Arial" w:hAnsi="Arial"/>
          <w:sz w:val="16"/>
          <w:szCs w:val="16"/>
          <w:color w:val="auto"/>
        </w:rPr>
        <w:t>Provisions in the Code commonly referred to as “FATCA” impose withholding of 30% on payments of interest on the Notes and, subject to the discussion of proposed Treasury regulations below,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 entitled to a refund of any amounts withheld by filing a U.S. federal income tax return (which may entail a significant administrative burden). Proposed Treasury regulations eliminate the 30% FATCA withholding on payments of gross proceeds. The preamble to those proposed Treasury regulations provides that taxpayers may rely on these proposed Treasury regulations until final Treasury regulations are issued. There can be no assurance, however, that final Treasury regulations would provide an exemption from FATCA withholding for gross proceeds. Prospective investors should consult their tax advisers regarding the effects of FATCA on their investment in the Notes.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7" w:lineRule="exact"/>
        <w:rPr>
          <w:sz w:val="20"/>
          <w:szCs w:val="20"/>
          <w:color w:val="auto"/>
        </w:rPr>
      </w:pPr>
    </w:p>
    <w:p>
      <w:pPr>
        <w:ind w:right="60" w:firstLine="449"/>
        <w:spacing w:after="0" w:line="237" w:lineRule="auto"/>
        <w:rPr>
          <w:sz w:val="20"/>
          <w:szCs w:val="20"/>
          <w:color w:val="auto"/>
        </w:rPr>
      </w:pPr>
      <w:r>
        <w:rPr>
          <w:rFonts w:ascii="Arial" w:cs="Arial" w:eastAsia="Arial" w:hAnsi="Arial"/>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54" w:lineRule="exact"/>
        <w:rPr>
          <w:sz w:val="20"/>
          <w:szCs w:val="20"/>
          <w:color w:val="auto"/>
        </w:rPr>
      </w:pPr>
    </w:p>
    <w:p>
      <w:pPr>
        <w:ind w:right="60" w:firstLine="449"/>
        <w:spacing w:after="0" w:line="236" w:lineRule="auto"/>
        <w:rPr>
          <w:sz w:val="20"/>
          <w:szCs w:val="20"/>
          <w:color w:val="auto"/>
        </w:rPr>
      </w:pPr>
      <w:r>
        <w:rPr>
          <w:rFonts w:ascii="Arial" w:cs="Arial" w:eastAsia="Arial" w:hAnsi="Arial"/>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55" w:lineRule="exact"/>
        <w:rPr>
          <w:sz w:val="20"/>
          <w:szCs w:val="20"/>
          <w:color w:val="auto"/>
        </w:rPr>
      </w:pPr>
    </w:p>
    <w:p>
      <w:pPr>
        <w:ind w:firstLine="449"/>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Estate Tax</w:t>
      </w:r>
    </w:p>
    <w:p>
      <w:pPr>
        <w:spacing w:after="0" w:line="97" w:lineRule="exact"/>
        <w:rPr>
          <w:sz w:val="20"/>
          <w:szCs w:val="20"/>
          <w:color w:val="auto"/>
        </w:rPr>
      </w:pPr>
    </w:p>
    <w:p>
      <w:pPr>
        <w:ind w:right="400" w:firstLine="449"/>
        <w:spacing w:after="0" w:line="236" w:lineRule="auto"/>
        <w:rPr>
          <w:sz w:val="20"/>
          <w:szCs w:val="20"/>
          <w:color w:val="auto"/>
        </w:rPr>
      </w:pPr>
      <w:r>
        <w:rPr>
          <w:rFonts w:ascii="Arial" w:cs="Arial" w:eastAsia="Arial" w:hAnsi="Arial"/>
          <w:sz w:val="18"/>
          <w:szCs w:val="18"/>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 (i) such Non-U.S. Holder does not actually or constructively own 10% or more of the combined voting power of all classes of GM’s stock and (ii) amounts treated as interest earned on the Note are not effectively connected with the conduct of a trade or business in the United States by such Non-U.S. Holder.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jc w:val="both"/>
        <w:ind w:right="240" w:firstLine="449"/>
        <w:spacing w:after="0" w:line="238"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for whom Deutsche Bank Securities Inc. is acting as representative, have severally agreed to purchase, and we have agreed to sell to each underwriter, the principal amount of the Notes set forth opposite the underwriter’s name.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55"/>
              <w:spacing w:after="0"/>
              <w:rPr>
                <w:sz w:val="20"/>
                <w:szCs w:val="20"/>
                <w:color w:val="auto"/>
              </w:rPr>
            </w:pPr>
            <w:r>
              <w:rPr>
                <w:rFonts w:ascii="Arial" w:cs="Arial" w:eastAsia="Arial" w:hAnsi="Arial"/>
                <w:sz w:val="13"/>
                <w:szCs w:val="13"/>
                <w:b w:val="1"/>
                <w:bCs w:val="1"/>
                <w:color w:val="auto"/>
              </w:rPr>
              <w:t>Principal</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rPr>
              <w:t>Principal</w:t>
            </w:r>
          </w:p>
        </w:tc>
        <w:tc>
          <w:tcPr>
            <w:tcW w:w="26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75"/>
              <w:spacing w:after="0"/>
              <w:rPr>
                <w:sz w:val="20"/>
                <w:szCs w:val="20"/>
                <w:color w:val="auto"/>
              </w:rPr>
            </w:pPr>
            <w:r>
              <w:rPr>
                <w:rFonts w:ascii="Arial" w:cs="Arial" w:eastAsia="Arial" w:hAnsi="Arial"/>
                <w:sz w:val="13"/>
                <w:szCs w:val="13"/>
                <w:b w:val="1"/>
                <w:bCs w:val="1"/>
                <w:color w:val="auto"/>
              </w:rPr>
              <w:t>Amount of</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rPr>
              <w:t>Amount of</w:t>
            </w:r>
          </w:p>
        </w:tc>
        <w:tc>
          <w:tcPr>
            <w:tcW w:w="260" w:type="dxa"/>
            <w:vAlign w:val="bottom"/>
          </w:tcPr>
          <w:p>
            <w:pPr>
              <w:spacing w:after="0"/>
              <w:rPr>
                <w:sz w:val="12"/>
                <w:szCs w:val="1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rPr>
              <w:t>Underwriter</w:t>
            </w:r>
          </w:p>
        </w:tc>
        <w:tc>
          <w:tcPr>
            <w:tcW w:w="52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55"/>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55"/>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5"/>
              <w:spacing w:after="0"/>
              <w:rPr>
                <w:sz w:val="20"/>
                <w:szCs w:val="20"/>
                <w:color w:val="auto"/>
              </w:rPr>
            </w:pPr>
            <w:r>
              <w:rPr>
                <w:rFonts w:ascii="Arial" w:cs="Arial" w:eastAsia="Arial" w:hAnsi="Arial"/>
                <w:sz w:val="13"/>
                <w:szCs w:val="13"/>
                <w:b w:val="1"/>
                <w:bCs w:val="1"/>
                <w:color w:val="auto"/>
              </w:rPr>
              <w:t>2027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80" w:type="dxa"/>
            <w:vAlign w:val="bottom"/>
            <w:tcBorders>
              <w:bottom w:val="single" w:sz="8" w:color="auto"/>
            </w:tcBorders>
            <w:vMerge w:val="continue"/>
          </w:tcPr>
          <w:p>
            <w:pPr>
              <w:spacing w:after="0"/>
              <w:rPr>
                <w:sz w:val="13"/>
                <w:szCs w:val="13"/>
                <w:color w:val="auto"/>
              </w:rPr>
            </w:pPr>
          </w:p>
        </w:tc>
        <w:tc>
          <w:tcPr>
            <w:tcW w:w="5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55"/>
              <w:spacing w:after="0"/>
              <w:rPr>
                <w:sz w:val="20"/>
                <w:szCs w:val="20"/>
                <w:color w:val="auto"/>
              </w:rPr>
            </w:pPr>
            <w:r>
              <w:rPr>
                <w:rFonts w:ascii="Arial" w:cs="Arial" w:eastAsia="Arial" w:hAnsi="Arial"/>
                <w:sz w:val="13"/>
                <w:szCs w:val="13"/>
                <w:b w:val="1"/>
                <w:bCs w:val="1"/>
                <w:color w:val="auto"/>
              </w:rPr>
              <w:t>Notes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rPr>
              <w:t>Notes</w:t>
            </w:r>
          </w:p>
        </w:tc>
        <w:tc>
          <w:tcPr>
            <w:tcW w:w="26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Notes</w:t>
            </w: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65,200,000</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2"/>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130,400,000</w:t>
            </w:r>
          </w:p>
        </w:tc>
        <w:tc>
          <w:tcPr>
            <w:tcW w:w="260" w:type="dxa"/>
            <w:vAlign w:val="bottom"/>
            <w:shd w:val="clear" w:color="auto" w:fill="CCEEFF"/>
          </w:tcPr>
          <w:p>
            <w:pPr>
              <w:jc w:val="right"/>
              <w:ind w:right="72"/>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65,200,000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Barclays Capital Inc.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65,200,000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130,400,000</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65,200,000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BofA Securities, Inc.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65,200,000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130,400,000</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65,200,000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130,400,000</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65,200,000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65,200,000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130,400,000</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65,200,000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130,400,000</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65,200,000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65,200,000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130,400,000</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Banca IMI S.p.A.</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BBVA Securities Inc.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BNP Paribas Securities Corp.</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Commerz Markets LLC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Credit Agricole Securities (USA) Inc.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Mizuho Securities USA LLC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NatWest Markets Securities Inc.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Scotia Capital (USA) Inc.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SMBC Nikko Securities America, Inc.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SG Americas Securities, LLC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TD Securities (USA) LLC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Academy Securities, Inc.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14,820,000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29,640,000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14,820,000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Banco Bradesco BBI S.A.</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ICBC Standard Bank Plc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14,820,000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29,640,000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14,820,000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Lloyds Securities Inc.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MUFG Securities Americas Inc.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14,820,000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29,640,000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14,820,000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Santander Investment Securities Inc.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SunTrust Robinson Humphrey, Inc.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14,820,000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29,640,000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14,820,000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WR Securities, LLC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29,640,000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Loop Capital Markets LLC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3,400,000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6,800,000</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Samuel A. Ramirez &amp; Company, Inc.</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6,800,000</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Siebert Williams Shank &amp; Co., LLC</w:t>
            </w: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3,400,000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6,800,000</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2,000,000,000</w:t>
            </w:r>
          </w:p>
        </w:tc>
        <w:tc>
          <w:tcPr>
            <w:tcW w:w="2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449"/>
        <w:spacing w:after="0" w:line="237"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54" w:lineRule="exact"/>
        <w:rPr>
          <w:sz w:val="20"/>
          <w:szCs w:val="20"/>
          <w:color w:val="auto"/>
        </w:rPr>
      </w:pPr>
    </w:p>
    <w:p>
      <w:pPr>
        <w:ind w:right="780" w:firstLine="449"/>
        <w:spacing w:after="0" w:line="239" w:lineRule="auto"/>
        <w:rPr>
          <w:sz w:val="20"/>
          <w:szCs w:val="20"/>
          <w:color w:val="auto"/>
        </w:rPr>
      </w:pPr>
      <w:r>
        <w:rPr>
          <w:rFonts w:ascii="Arial" w:cs="Arial" w:eastAsia="Arial" w:hAnsi="Arial"/>
          <w:sz w:val="18"/>
          <w:szCs w:val="18"/>
          <w:color w:val="auto"/>
        </w:rPr>
        <w:t>The underwriters initially propose to offer the Notes to the public at the public offering prices that appear on the cover page of this prospectus supplement. The underwriters may offer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Notes to selected dealers at the public offering price minus a concession of up to 0.250% of the principal amount of the 2023 Notes, 0.325% of the principal amount of the 2025 Notes and 0.300% of the principal amount of the 2027 Notes. In addition, the underwriters may allow, and those selected dealers may reallow, a concession of up to 0.150% of the principal amount of the 2023 Notes, 0.200% of the principal amount of the 2025 Notes and 0.250% of the principal amount of the 2027 Notes to certain other dealers. After the initial offering, the 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55" w:lineRule="exact"/>
        <w:rPr>
          <w:sz w:val="20"/>
          <w:szCs w:val="20"/>
          <w:color w:val="auto"/>
        </w:rPr>
      </w:pPr>
    </w:p>
    <w:p>
      <w:pPr>
        <w:ind w:firstLine="449"/>
        <w:spacing w:after="0" w:line="237" w:lineRule="auto"/>
        <w:rPr>
          <w:sz w:val="20"/>
          <w:szCs w:val="20"/>
          <w:color w:val="auto"/>
        </w:rPr>
      </w:pPr>
      <w:r>
        <w:rPr>
          <w:rFonts w:ascii="Arial" w:cs="Arial" w:eastAsia="Arial" w:hAnsi="Arial"/>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 on behalf of the underwriters.</w:t>
      </w:r>
    </w:p>
    <w:p>
      <w:pPr>
        <w:spacing w:after="0" w:line="154" w:lineRule="exact"/>
        <w:rPr>
          <w:sz w:val="20"/>
          <w:szCs w:val="20"/>
          <w:color w:val="auto"/>
        </w:rPr>
      </w:pPr>
    </w:p>
    <w:p>
      <w:pPr>
        <w:ind w:right="100" w:firstLine="449"/>
        <w:spacing w:after="0" w:line="236" w:lineRule="auto"/>
        <w:rPr>
          <w:sz w:val="20"/>
          <w:szCs w:val="20"/>
          <w:color w:val="auto"/>
        </w:rPr>
      </w:pPr>
      <w:r>
        <w:rPr>
          <w:rFonts w:ascii="Arial" w:cs="Arial" w:eastAsia="Arial" w:hAnsi="Arial"/>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of each series. However, they are not obligated to do so and they may discontinue any market-making activities with respect to the Notes at any time without notice. Accordingly, we cannot assure you as to the liquidity of, or the maintenance of any trading market for, the Notes.</w:t>
      </w:r>
    </w:p>
    <w:p>
      <w:pPr>
        <w:spacing w:after="0" w:line="156" w:lineRule="exact"/>
        <w:rPr>
          <w:sz w:val="20"/>
          <w:szCs w:val="20"/>
          <w:color w:val="auto"/>
        </w:rPr>
      </w:pPr>
    </w:p>
    <w:p>
      <w:pPr>
        <w:ind w:right="260" w:firstLine="449"/>
        <w:spacing w:after="0" w:line="299" w:lineRule="auto"/>
        <w:rPr>
          <w:sz w:val="20"/>
          <w:szCs w:val="20"/>
          <w:color w:val="auto"/>
        </w:rPr>
      </w:pPr>
      <w:r>
        <w:rPr>
          <w:rFonts w:ascii="Arial" w:cs="Arial" w:eastAsia="Arial" w:hAnsi="Arial"/>
          <w:sz w:val="16"/>
          <w:szCs w:val="16"/>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Per 2023 Note (expressed as a percentage)</w:t>
            </w:r>
          </w:p>
        </w:tc>
        <w:tc>
          <w:tcPr>
            <w:tcW w:w="25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03"/>
        </w:trPr>
        <w:tc>
          <w:tcPr>
            <w:tcW w:w="5880" w:type="dxa"/>
            <w:vAlign w:val="bottom"/>
          </w:tcPr>
          <w:p>
            <w:pPr>
              <w:ind w:left="440"/>
              <w:spacing w:after="0" w:line="202" w:lineRule="exact"/>
              <w:rPr>
                <w:sz w:val="20"/>
                <w:szCs w:val="20"/>
                <w:color w:val="auto"/>
              </w:rPr>
            </w:pPr>
            <w:r>
              <w:rPr>
                <w:rFonts w:ascii="Arial" w:cs="Arial" w:eastAsia="Arial" w:hAnsi="Arial"/>
                <w:sz w:val="18"/>
                <w:szCs w:val="18"/>
                <w:color w:val="auto"/>
              </w:rPr>
              <w:t>Total</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912"/>
              <w:spacing w:after="0" w:line="202" w:lineRule="exact"/>
              <w:rPr>
                <w:sz w:val="20"/>
                <w:szCs w:val="20"/>
                <w:color w:val="auto"/>
              </w:rPr>
            </w:pPr>
            <w:r>
              <w:rPr>
                <w:rFonts w:ascii="Arial" w:cs="Arial" w:eastAsia="Arial" w:hAnsi="Arial"/>
                <w:sz w:val="18"/>
                <w:szCs w:val="18"/>
                <w:color w:val="auto"/>
              </w:rPr>
              <w:t>4,000,000</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2025 Note (expressed as a percentage)</w:t>
            </w:r>
          </w:p>
        </w:tc>
        <w:tc>
          <w:tcPr>
            <w:tcW w:w="25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r>
      <w:tr>
        <w:trPr>
          <w:trHeight w:val="203"/>
        </w:trPr>
        <w:tc>
          <w:tcPr>
            <w:tcW w:w="5880" w:type="dxa"/>
            <w:vAlign w:val="bottom"/>
          </w:tcPr>
          <w:p>
            <w:pPr>
              <w:ind w:left="440"/>
              <w:spacing w:after="0" w:line="202" w:lineRule="exact"/>
              <w:rPr>
                <w:sz w:val="20"/>
                <w:szCs w:val="20"/>
                <w:color w:val="auto"/>
              </w:rPr>
            </w:pPr>
            <w:r>
              <w:rPr>
                <w:rFonts w:ascii="Arial" w:cs="Arial" w:eastAsia="Arial" w:hAnsi="Arial"/>
                <w:sz w:val="18"/>
                <w:szCs w:val="18"/>
                <w:color w:val="auto"/>
              </w:rPr>
              <w:t>Total</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912"/>
              <w:spacing w:after="0" w:line="202" w:lineRule="exact"/>
              <w:rPr>
                <w:sz w:val="20"/>
                <w:szCs w:val="20"/>
                <w:color w:val="auto"/>
              </w:rPr>
            </w:pPr>
            <w:r>
              <w:rPr>
                <w:rFonts w:ascii="Arial" w:cs="Arial" w:eastAsia="Arial" w:hAnsi="Arial"/>
                <w:sz w:val="18"/>
                <w:szCs w:val="18"/>
                <w:color w:val="auto"/>
                <w:w w:val="95"/>
              </w:rPr>
              <w:t>10,000,000</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2027 Note (expressed as a percentage)</w:t>
            </w:r>
          </w:p>
        </w:tc>
        <w:tc>
          <w:tcPr>
            <w:tcW w:w="25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0.55%</w:t>
            </w:r>
          </w:p>
        </w:tc>
      </w:tr>
      <w:tr>
        <w:trPr>
          <w:trHeight w:val="214"/>
        </w:trPr>
        <w:tc>
          <w:tcPr>
            <w:tcW w:w="5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12"/>
              <w:spacing w:after="0"/>
              <w:rPr>
                <w:sz w:val="20"/>
                <w:szCs w:val="20"/>
                <w:color w:val="auto"/>
              </w:rPr>
            </w:pPr>
            <w:r>
              <w:rPr>
                <w:rFonts w:ascii="Arial" w:cs="Arial" w:eastAsia="Arial" w:hAnsi="Arial"/>
                <w:sz w:val="18"/>
                <w:szCs w:val="18"/>
                <w:color w:val="auto"/>
              </w:rPr>
              <w:t>5,500,000</w:t>
            </w:r>
          </w:p>
        </w:tc>
      </w:tr>
    </w:tbl>
    <w:p>
      <w:pPr>
        <w:spacing w:after="0" w:line="154" w:lineRule="exact"/>
        <w:rPr>
          <w:sz w:val="20"/>
          <w:szCs w:val="20"/>
          <w:color w:val="auto"/>
        </w:rPr>
      </w:pPr>
    </w:p>
    <w:p>
      <w:pPr>
        <w:ind w:right="180" w:firstLine="449"/>
        <w:spacing w:after="0" w:line="239" w:lineRule="auto"/>
        <w:rPr>
          <w:sz w:val="20"/>
          <w:szCs w:val="20"/>
          <w:color w:val="auto"/>
        </w:rPr>
      </w:pPr>
      <w:r>
        <w:rPr>
          <w:rFonts w:ascii="Arial" w:cs="Arial" w:eastAsia="Arial" w:hAnsi="Arial"/>
          <w:sz w:val="18"/>
          <w:szCs w:val="18"/>
          <w:color w:val="auto"/>
        </w:rPr>
        <w:t>We estimate that our portion of the total expenses of the offering, exclusive of the underwriter discounts payable by us in the offering and reimbursements of certain expenses incurred in connection with the offering, will be $850,000.</w:t>
      </w:r>
    </w:p>
    <w:p>
      <w:pPr>
        <w:spacing w:after="0" w:line="155" w:lineRule="exact"/>
        <w:rPr>
          <w:sz w:val="20"/>
          <w:szCs w:val="20"/>
          <w:color w:val="auto"/>
        </w:rPr>
      </w:pPr>
    </w:p>
    <w:p>
      <w:pPr>
        <w:ind w:right="100" w:firstLine="449"/>
        <w:spacing w:after="0" w:line="236" w:lineRule="auto"/>
        <w:rPr>
          <w:sz w:val="20"/>
          <w:szCs w:val="20"/>
          <w:color w:val="auto"/>
        </w:rPr>
      </w:pPr>
      <w:r>
        <w:rPr>
          <w:rFonts w:ascii="Arial" w:cs="Arial" w:eastAsia="Arial" w:hAnsi="Arial"/>
          <w:sz w:val="18"/>
          <w:szCs w:val="18"/>
          <w:color w:val="auto"/>
        </w:rPr>
        <w:t>It is expected that delivery of the Notes will be made against payment therefor on or about May 12, 2020, which will be the third business day following the date of pricing of the Notes (such settlement cycle being referred to herein as “T+3”). Under Rule 15c6-1 of the Exchange Act, trades in the secondary market generally are required to settle in two business days, unless the parties to any such trade expressly agree otherwise. Accordingly, purchasers who wish to trade the Notes on the date of pricing will be required, by virtue of the fact that the Notes initially will settle in T+3, to specify an alternate settlement cycle at the time of any such trade to prevent a failed settlement. Purchasers of the Notes who wish to trade those Notes on the date of pricing should consult their own advisor.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firstLine="449"/>
        <w:spacing w:after="0" w:line="239"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4" w:lineRule="exact"/>
        <w:rPr>
          <w:sz w:val="20"/>
          <w:szCs w:val="20"/>
          <w:color w:val="auto"/>
        </w:rPr>
      </w:pPr>
    </w:p>
    <w:p>
      <w:pPr>
        <w:ind w:left="880" w:right="100" w:hanging="427"/>
        <w:spacing w:after="0" w:line="239"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the offering.</w:t>
      </w:r>
    </w:p>
    <w:p>
      <w:pPr>
        <w:spacing w:after="0" w:line="73" w:lineRule="exact"/>
        <w:rPr>
          <w:rFonts w:ascii="Arial" w:cs="Arial" w:eastAsia="Arial" w:hAnsi="Arial"/>
          <w:sz w:val="18"/>
          <w:szCs w:val="18"/>
          <w:color w:val="auto"/>
        </w:rPr>
      </w:pPr>
    </w:p>
    <w:p>
      <w:pPr>
        <w:ind w:left="880" w:right="160" w:hanging="427"/>
        <w:spacing w:after="0" w:line="239"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ind w:right="440" w:firstLine="449"/>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54" w:lineRule="exact"/>
        <w:rPr>
          <w:sz w:val="20"/>
          <w:szCs w:val="20"/>
          <w:color w:val="auto"/>
        </w:rPr>
      </w:pPr>
    </w:p>
    <w:p>
      <w:pPr>
        <w:ind w:right="80" w:firstLine="449"/>
        <w:spacing w:after="0" w:line="236"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57"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particular, one or more of the underwriters of this offering are expected to act as lenders and/or agents under the New 364-Day Revolving Facility.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60" w:lineRule="exact"/>
        <w:rPr>
          <w:sz w:val="20"/>
          <w:szCs w:val="20"/>
          <w:color w:val="auto"/>
        </w:rPr>
      </w:pPr>
    </w:p>
    <w:p>
      <w:pPr>
        <w:ind w:right="120" w:firstLine="449"/>
        <w:spacing w:after="0" w:line="236"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firstLine="449"/>
        <w:spacing w:after="0" w:line="238" w:lineRule="auto"/>
        <w:rPr>
          <w:sz w:val="20"/>
          <w:szCs w:val="20"/>
          <w:color w:val="auto"/>
        </w:rPr>
      </w:pPr>
      <w:r>
        <w:rPr>
          <w:rFonts w:ascii="Arial" w:cs="Arial" w:eastAsia="Arial" w:hAnsi="Arial"/>
          <w:sz w:val="18"/>
          <w:szCs w:val="18"/>
          <w:color w:val="auto"/>
        </w:rPr>
        <w:t>Bradesco Securities Inc. will act as agent of Banco Bradesco BBI S.A. for sales of the Notes in the United States of America. Banco Bradesco BBI S.A. is not a broker-dealer registered with the SEC, and therefore may not make sales of any Notes in the United States to U.S. persons. Banco Bradesco BBI S.A. and Bradesco Securities Inc. are affiliates of Banco Bradesco S.A.</w:t>
      </w:r>
    </w:p>
    <w:p>
      <w:pPr>
        <w:spacing w:after="0" w:line="154" w:lineRule="exact"/>
        <w:rPr>
          <w:sz w:val="20"/>
          <w:szCs w:val="20"/>
          <w:color w:val="auto"/>
        </w:rPr>
      </w:pPr>
    </w:p>
    <w:p>
      <w:pPr>
        <w:ind w:right="40" w:firstLine="449"/>
        <w:spacing w:after="0" w:line="239" w:lineRule="auto"/>
        <w:rPr>
          <w:sz w:val="20"/>
          <w:szCs w:val="20"/>
          <w:color w:val="auto"/>
        </w:rPr>
      </w:pPr>
      <w:r>
        <w:rPr>
          <w:rFonts w:ascii="Arial" w:cs="Arial" w:eastAsia="Arial" w:hAnsi="Arial"/>
          <w:sz w:val="18"/>
          <w:szCs w:val="18"/>
          <w:color w:val="auto"/>
        </w:rPr>
        <w:t>Banca IMI S.p.A. is not a U.S. registered broker-dealer and it will not effect any offers or sales of any Notes in the United States unless it is through one or more U.S. registered broker-dealers as permitted by the regulations of FINRA.</w:t>
      </w:r>
    </w:p>
    <w:p>
      <w:pPr>
        <w:spacing w:after="0" w:line="155" w:lineRule="exact"/>
        <w:rPr>
          <w:sz w:val="20"/>
          <w:szCs w:val="20"/>
          <w:color w:val="auto"/>
        </w:rPr>
      </w:pPr>
    </w:p>
    <w:p>
      <w:pPr>
        <w:ind w:right="60" w:firstLine="44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55" w:lineRule="exact"/>
        <w:rPr>
          <w:sz w:val="20"/>
          <w:szCs w:val="20"/>
          <w:color w:val="auto"/>
        </w:rPr>
      </w:pPr>
    </w:p>
    <w:p>
      <w:pPr>
        <w:ind w:right="420" w:firstLine="449"/>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97" w:lineRule="exact"/>
        <w:rPr>
          <w:sz w:val="20"/>
          <w:szCs w:val="20"/>
          <w:color w:val="auto"/>
        </w:rPr>
      </w:pPr>
    </w:p>
    <w:p>
      <w:pPr>
        <w:ind w:right="80" w:firstLine="449"/>
        <w:spacing w:after="0" w:line="235"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or (ii) a customer within the meaning of Directive 2016/97/EU,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60" w:lineRule="exact"/>
        <w:rPr>
          <w:sz w:val="20"/>
          <w:szCs w:val="20"/>
          <w:color w:val="auto"/>
        </w:rPr>
      </w:pPr>
    </w:p>
    <w:p>
      <w:pPr>
        <w:ind w:right="60" w:firstLine="449"/>
        <w:spacing w:after="0" w:line="237" w:lineRule="auto"/>
        <w:rPr>
          <w:sz w:val="20"/>
          <w:szCs w:val="20"/>
          <w:color w:val="auto"/>
        </w:rPr>
      </w:pPr>
      <w:r>
        <w:rPr>
          <w:rFonts w:ascii="Arial" w:cs="Arial" w:eastAsia="Arial" w:hAnsi="Arial"/>
          <w:sz w:val="18"/>
          <w:szCs w:val="18"/>
          <w:color w:val="auto"/>
        </w:rPr>
        <w:t>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97" w:lineRule="exact"/>
        <w:rPr>
          <w:sz w:val="20"/>
          <w:szCs w:val="20"/>
          <w:color w:val="auto"/>
        </w:rPr>
      </w:pPr>
    </w:p>
    <w:p>
      <w:pPr>
        <w:ind w:firstLine="449"/>
        <w:spacing w:after="0" w:line="299" w:lineRule="auto"/>
        <w:rPr>
          <w:sz w:val="20"/>
          <w:szCs w:val="20"/>
          <w:color w:val="auto"/>
        </w:rPr>
      </w:pPr>
      <w:r>
        <w:rPr>
          <w:rFonts w:ascii="Arial" w:cs="Arial" w:eastAsia="Arial" w:hAnsi="Arial"/>
          <w:sz w:val="16"/>
          <w:szCs w:val="16"/>
          <w:color w:val="auto"/>
        </w:rPr>
        <w:t>In addition, in the United Kingdom, this prospectus supplement and the accompanying prospectus is being distributed only to, and is directed only at, and any offer subsequently made may only be directed at persons who are non-retail investors (being persons who are not retail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investors, as defined above)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prospectus supplement and the accompanying prospectus must not be acted on or relied on in the United Kingdom by persons who are not relevant persons. In the United Kingdom, any investment or investment activity to which this document relates is only available to, and will only be engaged in with, relevant persons.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97" w:lineRule="exact"/>
        <w:rPr>
          <w:sz w:val="20"/>
          <w:szCs w:val="20"/>
          <w:color w:val="auto"/>
        </w:rPr>
      </w:pPr>
    </w:p>
    <w:p>
      <w:pPr>
        <w:ind w:right="60" w:firstLine="449"/>
        <w:spacing w:after="0" w:line="268" w:lineRule="auto"/>
        <w:rPr>
          <w:sz w:val="20"/>
          <w:szCs w:val="20"/>
          <w:color w:val="auto"/>
        </w:rPr>
      </w:pPr>
      <w:r>
        <w:rPr>
          <w:rFonts w:ascii="Arial" w:cs="Arial" w:eastAsia="Arial" w:hAnsi="Arial"/>
          <w:sz w:val="16"/>
          <w:szCs w:val="16"/>
          <w:color w:val="auto"/>
        </w:rPr>
        <w:t>This prospectus supplement and accompanying prospectus have not been approved by or registered with the Securities and Futures Commission of Hong Kong or the Registrar of Companies of Hong Kong. The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97" w:lineRule="exact"/>
        <w:rPr>
          <w:sz w:val="20"/>
          <w:szCs w:val="20"/>
          <w:color w:val="auto"/>
        </w:rPr>
      </w:pPr>
    </w:p>
    <w:p>
      <w:pPr>
        <w:ind w:right="100" w:firstLine="449"/>
        <w:spacing w:after="0" w:line="236"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97" w:lineRule="exact"/>
        <w:rPr>
          <w:sz w:val="20"/>
          <w:szCs w:val="20"/>
          <w:color w:val="auto"/>
        </w:rPr>
      </w:pPr>
    </w:p>
    <w:p>
      <w:pPr>
        <w:ind w:right="80" w:firstLine="449"/>
        <w:spacing w:after="0" w:line="236"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449"/>
        <w:spacing w:after="0" w:line="236" w:lineRule="auto"/>
        <w:rPr>
          <w:sz w:val="20"/>
          <w:szCs w:val="20"/>
          <w:color w:val="auto"/>
        </w:rPr>
      </w:pPr>
      <w:r>
        <w:rPr>
          <w:rFonts w:ascii="Arial" w:cs="Arial" w:eastAsia="Arial" w:hAnsi="Arial"/>
          <w:sz w:val="18"/>
          <w:szCs w:val="18"/>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54"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309B(1)(a) and 309B(1)(c) of the SFA, the company has determined, and hereby notifies all relevant persons (as defined in Section 309A of the Securities and Futures Act)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97" w:lineRule="exact"/>
        <w:rPr>
          <w:sz w:val="20"/>
          <w:szCs w:val="20"/>
          <w:color w:val="auto"/>
        </w:rPr>
      </w:pPr>
    </w:p>
    <w:p>
      <w:pPr>
        <w:ind w:right="20" w:firstLine="449"/>
        <w:spacing w:after="0" w:line="236" w:lineRule="auto"/>
        <w:rPr>
          <w:sz w:val="20"/>
          <w:szCs w:val="20"/>
          <w:color w:val="auto"/>
        </w:rPr>
      </w:pPr>
      <w:r>
        <w:rPr>
          <w:rFonts w:ascii="Arial" w:cs="Arial" w:eastAsia="Arial" w:hAnsi="Arial"/>
          <w:sz w:val="18"/>
          <w:szCs w:val="18"/>
          <w:color w:val="auto"/>
        </w:rPr>
        <w:t>This document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56" w:lineRule="exact"/>
        <w:rPr>
          <w:sz w:val="20"/>
          <w:szCs w:val="20"/>
          <w:color w:val="auto"/>
        </w:rPr>
      </w:pPr>
    </w:p>
    <w:p>
      <w:pPr>
        <w:ind w:right="80" w:firstLine="449"/>
        <w:spacing w:after="0" w:line="236" w:lineRule="auto"/>
        <w:rPr>
          <w:sz w:val="20"/>
          <w:szCs w:val="20"/>
          <w:color w:val="auto"/>
        </w:rPr>
      </w:pPr>
      <w:r>
        <w:rPr>
          <w:rFonts w:ascii="Arial" w:cs="Arial" w:eastAsia="Arial" w:hAnsi="Arial"/>
          <w:sz w:val="18"/>
          <w:szCs w:val="18"/>
          <w:color w:val="auto"/>
        </w:rPr>
        <w:t>Neither this prospectus supplement and the accompanying prospectus nor any other offering or marketing material relating to the offering, the Company, the Notes have been or will be filed with or approved by any Swiss regulatory authority. In particular, this prospectus supplement and the accompanying prospectus will not be filed with, and the offer of the Notes will not be supervised by, the Swiss Financial Market Supervisory Authority FINMA (“FINMA”), and the offer of the Notes has not been and will not be authorized under the Swiss Federal Act on Collective Investment Schemes (“CISA”). The investor protection afforded to acquirers of interests in collective investment schemes under the CISA does not extend to acquirers of the Notes.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97" w:lineRule="exact"/>
        <w:rPr>
          <w:sz w:val="20"/>
          <w:szCs w:val="20"/>
          <w:color w:val="auto"/>
        </w:rPr>
      </w:pPr>
    </w:p>
    <w:p>
      <w:pPr>
        <w:ind w:right="220" w:firstLine="449"/>
        <w:spacing w:after="0" w:line="236"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160" w:firstLine="449"/>
        <w:spacing w:after="0" w:line="239" w:lineRule="auto"/>
        <w:rPr>
          <w:sz w:val="20"/>
          <w:szCs w:val="20"/>
          <w:color w:val="auto"/>
        </w:rPr>
      </w:pPr>
      <w:r>
        <w:rPr>
          <w:rFonts w:ascii="Arial" w:cs="Arial" w:eastAsia="Arial" w:hAnsi="Arial"/>
          <w:sz w:val="18"/>
          <w:szCs w:val="18"/>
          <w:color w:val="auto"/>
        </w:rPr>
        <w:t>The validity of the Notes offered hereby will be passed upon for us by King &amp; Spalding LLP. Certain legal matters will be passed upon for the underwriters by Davis Polk &amp; Wardwell LLP.</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80" w:lineRule="exact"/>
        <w:rPr>
          <w:sz w:val="20"/>
          <w:szCs w:val="20"/>
          <w:color w:val="auto"/>
        </w:rPr>
      </w:pPr>
    </w:p>
    <w:p>
      <w:pPr>
        <w:ind w:right="260" w:firstLine="449"/>
        <w:spacing w:after="0" w:line="23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at the SEC’s website at http://www.sec.gov and our website at http://www.gm.com.</w:t>
      </w:r>
    </w:p>
    <w:p>
      <w:pPr>
        <w:spacing w:after="0" w:line="155" w:lineRule="exact"/>
        <w:rPr>
          <w:sz w:val="20"/>
          <w:szCs w:val="20"/>
          <w:color w:val="auto"/>
        </w:rPr>
      </w:pPr>
    </w:p>
    <w:p>
      <w:pPr>
        <w:ind w:right="20" w:firstLine="449"/>
        <w:spacing w:after="0" w:line="269" w:lineRule="auto"/>
        <w:rPr>
          <w:sz w:val="20"/>
          <w:szCs w:val="20"/>
          <w:color w:val="auto"/>
        </w:rPr>
      </w:pPr>
      <w:r>
        <w:rPr>
          <w:rFonts w:ascii="Arial" w:cs="Arial" w:eastAsia="Arial" w:hAnsi="Arial"/>
          <w:sz w:val="16"/>
          <w:szCs w:val="16"/>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180"/>
          </w:cols>
          <w:pgMar w:left="320" w:top="459" w:right="399" w:bottom="1440" w:gutter="0" w:footer="0" w:header="0"/>
        </w:sectPr>
      </w:pPr>
    </w:p>
    <w:p>
      <w:pPr>
        <w:spacing w:after="0" w:line="157" w:lineRule="exact"/>
        <w:rPr>
          <w:sz w:val="20"/>
          <w:szCs w:val="20"/>
          <w:color w:val="auto"/>
        </w:rPr>
      </w:pPr>
    </w:p>
    <w:p>
      <w:pPr>
        <w:ind w:left="1720"/>
        <w:spacing w:after="0"/>
        <w:rPr>
          <w:sz w:val="20"/>
          <w:szCs w:val="20"/>
          <w:color w:val="auto"/>
        </w:rPr>
      </w:pPr>
      <w:r>
        <w:rPr>
          <w:rFonts w:ascii="Arial" w:cs="Arial" w:eastAsia="Arial" w:hAnsi="Arial"/>
          <w:sz w:val="13"/>
          <w:szCs w:val="13"/>
          <w:b w:val="1"/>
          <w:bCs w:val="1"/>
          <w:u w:val="single" w:color="auto"/>
          <w:color w:val="auto"/>
        </w:rPr>
        <w:t>GM SEC Filings (File No. 001-34960)</w:t>
      </w:r>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Annual Report on Form 10-K</w:t>
        </w:r>
      </w:hyperlink>
    </w:p>
    <w:p>
      <w:pPr>
        <w:spacing w:after="0" w:line="200" w:lineRule="exact"/>
        <w:rPr>
          <w:sz w:val="20"/>
          <w:szCs w:val="20"/>
          <w:color w:val="auto"/>
        </w:rPr>
      </w:pPr>
    </w:p>
    <w:p>
      <w:pPr>
        <w:spacing w:after="0" w:line="214" w:lineRule="exact"/>
        <w:rPr>
          <w:sz w:val="20"/>
          <w:szCs w:val="20"/>
          <w:color w:val="auto"/>
        </w:rPr>
      </w:pPr>
    </w:p>
    <w:p>
      <w:pPr>
        <w:spacing w:after="0" w:line="238" w:lineRule="auto"/>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Information Specifically Incorporated by Reference into our Annual Report</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on Form 10-K for the year ended December 31, 2019 from our Definitive</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Proxy Statement on Schedule 14A</w:t>
        </w:r>
      </w:hyperlink>
    </w:p>
    <w:p>
      <w:pPr>
        <w:spacing w:after="0" w:line="20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Quarterly Report on Form 10-Q</w:t>
        </w:r>
      </w:hyperlink>
    </w:p>
    <w:p>
      <w:pPr>
        <w:spacing w:after="0" w:line="21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Current Reports on Form 8-K</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37"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3"/>
          <w:szCs w:val="13"/>
          <w:b w:val="1"/>
          <w:bCs w:val="1"/>
          <w:u w:val="single" w:color="auto"/>
          <w:color w:val="auto"/>
        </w:rPr>
        <w:t>Period</w:t>
      </w:r>
    </w:p>
    <w:p>
      <w:pPr>
        <w:spacing w:after="0" w:line="32" w:lineRule="exact"/>
        <w:rPr>
          <w:rFonts w:ascii="Arial" w:cs="Arial" w:eastAsia="Arial" w:hAnsi="Arial"/>
          <w:sz w:val="18"/>
          <w:szCs w:val="18"/>
          <w:u w:val="single" w:color="auto"/>
          <w:color w:val="0000EE"/>
        </w:rPr>
      </w:pPr>
    </w:p>
    <w:p>
      <w:pPr>
        <w:ind w:right="60"/>
        <w:spacing w:after="0" w:line="239" w:lineRule="auto"/>
        <w:rPr>
          <w:sz w:val="20"/>
          <w:szCs w:val="20"/>
          <w:color w:val="auto"/>
        </w:rPr>
      </w:pPr>
      <w:r>
        <w:rPr>
          <w:rFonts w:ascii="Arial" w:cs="Arial" w:eastAsia="Arial" w:hAnsi="Arial"/>
          <w:sz w:val="18"/>
          <w:szCs w:val="18"/>
          <w:color w:val="auto"/>
        </w:rPr>
        <w:t>Year ended December 31, 2019 (filed with the SEC on February 5, 2020)</w:t>
      </w:r>
    </w:p>
    <w:p>
      <w:pPr>
        <w:spacing w:after="0" w:line="209" w:lineRule="exact"/>
        <w:rPr>
          <w:rFonts w:ascii="Arial" w:cs="Arial" w:eastAsia="Arial" w:hAnsi="Arial"/>
          <w:sz w:val="18"/>
          <w:szCs w:val="18"/>
          <w:u w:val="single" w:color="auto"/>
          <w:color w:val="0000EE"/>
        </w:rPr>
      </w:pPr>
    </w:p>
    <w:p>
      <w:pPr>
        <w:ind w:right="300"/>
        <w:spacing w:after="0" w:line="239" w:lineRule="auto"/>
        <w:rPr>
          <w:sz w:val="20"/>
          <w:szCs w:val="20"/>
          <w:color w:val="auto"/>
        </w:rPr>
      </w:pPr>
      <w:r>
        <w:rPr>
          <w:rFonts w:ascii="Arial" w:cs="Arial" w:eastAsia="Arial" w:hAnsi="Arial"/>
          <w:sz w:val="18"/>
          <w:szCs w:val="18"/>
          <w:color w:val="auto"/>
        </w:rPr>
        <w:t>Year ended December 31, 2019 (filed with the SEC on April 27, 2020)</w:t>
      </w:r>
    </w:p>
    <w:p>
      <w:pPr>
        <w:spacing w:after="0" w:line="200" w:lineRule="exact"/>
        <w:rPr>
          <w:rFonts w:ascii="Arial" w:cs="Arial" w:eastAsia="Arial" w:hAnsi="Arial"/>
          <w:sz w:val="18"/>
          <w:szCs w:val="18"/>
          <w:u w:val="single" w:color="auto"/>
          <w:color w:val="0000EE"/>
        </w:rPr>
      </w:pPr>
    </w:p>
    <w:p>
      <w:pPr>
        <w:spacing w:after="0" w:line="21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Quarter ended March 31, 2020 (filed with the SEC on May 6, 2020)</w:t>
      </w:r>
    </w:p>
    <w:p>
      <w:pPr>
        <w:spacing w:after="0" w:line="235" w:lineRule="exact"/>
        <w:rPr>
          <w:rFonts w:ascii="Arial" w:cs="Arial" w:eastAsia="Arial" w:hAnsi="Arial"/>
          <w:sz w:val="18"/>
          <w:szCs w:val="18"/>
          <w:u w:val="single" w:color="auto"/>
          <w:color w:val="0000EE"/>
        </w:rPr>
      </w:pPr>
    </w:p>
    <w:p>
      <w:pPr>
        <w:ind w:right="22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Dates filed: </w:t>
      </w:r>
      <w:hyperlink r:id="rId52">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March 24, 2020</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April 17, 2020</w:t>
        </w:r>
      </w:hyperlink>
      <w:r>
        <w:rPr>
          <w:rFonts w:ascii="Arial" w:cs="Arial" w:eastAsia="Arial" w:hAnsi="Arial"/>
          <w:sz w:val="18"/>
          <w:szCs w:val="18"/>
          <w:color w:val="auto"/>
        </w:rPr>
        <w:t xml:space="preserve"> and </w:t>
      </w:r>
      <w:hyperlink r:id="rId55">
        <w:r>
          <w:rPr>
            <w:rFonts w:ascii="Arial" w:cs="Arial" w:eastAsia="Arial" w:hAnsi="Arial"/>
            <w:sz w:val="18"/>
            <w:szCs w:val="18"/>
            <w:u w:val="single" w:color="auto"/>
            <w:color w:val="0000EE"/>
          </w:rPr>
          <w:t>April 27, 2020</w:t>
        </w:r>
      </w:hyperlink>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sectPr>
          <w:pgSz w:w="11900" w:h="16838" w:orient="portrait"/>
          <w:cols w:equalWidth="0" w:num="2">
            <w:col w:w="5740" w:space="220"/>
            <w:col w:w="5220"/>
          </w:cols>
          <w:pgMar w:left="320" w:top="459" w:right="399" w:bottom="1440" w:gutter="0" w:footer="0" w:header="0"/>
          <w:type w:val="continuous"/>
        </w:sectPr>
      </w:pPr>
    </w:p>
    <w:p>
      <w:pPr>
        <w:ind w:right="100" w:firstLine="449"/>
        <w:spacing w:after="0" w:line="238" w:lineRule="auto"/>
        <w:rPr>
          <w:sz w:val="20"/>
          <w:szCs w:val="20"/>
          <w:color w:val="auto"/>
        </w:rPr>
      </w:pPr>
      <w:r>
        <w:rPr>
          <w:rFonts w:ascii="Arial" w:cs="Arial" w:eastAsia="Arial" w:hAnsi="Arial"/>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Rick E. Hansen, Assistant General Counsel and Corporate Secretary, at the following address and telephone number:</w:t>
      </w:r>
    </w:p>
    <w:p>
      <w:pPr>
        <w:spacing w:after="0" w:line="68"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General Motors Company</w:t>
      </w:r>
    </w:p>
    <w:p>
      <w:pPr>
        <w:ind w:left="460"/>
        <w:spacing w:after="0" w:line="234" w:lineRule="auto"/>
        <w:rPr>
          <w:sz w:val="20"/>
          <w:szCs w:val="20"/>
          <w:color w:val="auto"/>
        </w:rPr>
      </w:pPr>
      <w:r>
        <w:rPr>
          <w:rFonts w:ascii="Arial" w:cs="Arial" w:eastAsia="Arial" w:hAnsi="Arial"/>
          <w:sz w:val="18"/>
          <w:szCs w:val="18"/>
          <w:color w:val="auto"/>
        </w:rPr>
        <w:t>300 Renaissance Center</w:t>
      </w:r>
    </w:p>
    <w:p>
      <w:pPr>
        <w:ind w:left="460"/>
        <w:spacing w:after="0" w:line="235" w:lineRule="auto"/>
        <w:rPr>
          <w:sz w:val="20"/>
          <w:szCs w:val="20"/>
          <w:color w:val="auto"/>
        </w:rPr>
      </w:pPr>
      <w:r>
        <w:rPr>
          <w:rFonts w:ascii="Arial" w:cs="Arial" w:eastAsia="Arial" w:hAnsi="Arial"/>
          <w:sz w:val="18"/>
          <w:szCs w:val="18"/>
          <w:color w:val="auto"/>
        </w:rPr>
        <w:t>Detroit, Michigan 48265-3000</w:t>
      </w:r>
    </w:p>
    <w:p>
      <w:pPr>
        <w:spacing w:after="0" w:line="1"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(313) 667-1500</w:t>
      </w:r>
    </w:p>
    <w:p>
      <w:pPr>
        <w:spacing w:after="0" w:line="158" w:lineRule="exact"/>
        <w:rPr>
          <w:rFonts w:ascii="Arial" w:cs="Arial" w:eastAsia="Arial" w:hAnsi="Arial"/>
          <w:sz w:val="18"/>
          <w:szCs w:val="18"/>
          <w:color w:val="auto"/>
        </w:rPr>
      </w:pPr>
    </w:p>
    <w:p>
      <w:pPr>
        <w:jc w:val="both"/>
        <w:ind w:right="160" w:firstLine="449"/>
        <w:spacing w:after="0" w:line="238"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40"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80"/>
          </w:cols>
          <w:pgMar w:left="320" w:top="459" w:right="3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171450</wp:posOffset>
            </wp:positionV>
            <wp:extent cx="404622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40462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234315</wp:posOffset>
            </wp:positionV>
            <wp:extent cx="14916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contains summaries of the general terms of the securities that General Motors Company may offer from time to time:</w:t>
      </w:r>
    </w:p>
    <w:p>
      <w:pPr>
        <w:spacing w:after="0" w:line="131" w:lineRule="exact"/>
        <w:rPr>
          <w:sz w:val="20"/>
          <w:szCs w:val="20"/>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“GM.”</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firstLine="449"/>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Investment in our securities involves risk. See “</w:t>
      </w:r>
      <w:hyperlink w:anchor="page3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217805</wp:posOffset>
            </wp:positionV>
            <wp:extent cx="14916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340" w:firstLine="449"/>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5, 2020.</w:t>
      </w:r>
    </w:p>
    <w:p>
      <w:pPr>
        <w:sectPr>
          <w:pgSz w:w="11900" w:h="16838" w:orient="portrait"/>
          <w:cols w:equalWidth="0" w:num="1">
            <w:col w:w="11220"/>
          </w:cols>
          <w:pgMar w:left="320" w:top="459"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80" w:type="dxa"/>
            <w:vAlign w:val="bottom"/>
          </w:tcPr>
          <w:p>
            <w:pPr>
              <w:spacing w:after="0"/>
              <w:rPr>
                <w:sz w:val="20"/>
                <w:szCs w:val="20"/>
                <w:color w:val="auto"/>
              </w:rPr>
            </w:pPr>
          </w:p>
        </w:tc>
      </w:tr>
      <w:tr>
        <w:trPr>
          <w:trHeight w:val="472"/>
        </w:trPr>
        <w:tc>
          <w:tcPr>
            <w:tcW w:w="466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588"/>
        </w:trPr>
        <w:tc>
          <w:tcPr>
            <w:tcW w:w="466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ABOUT THIS PROSPECTUS</w:t>
              </w:r>
            </w:hyperlink>
          </w:p>
        </w:tc>
        <w:tc>
          <w:tcPr>
            <w:tcW w:w="192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INCORPORATION OF CERTAIN DOCUMENTS BY REFERENCE</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RISK FACTORS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GENERAL MOTORS COMPANY</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USE OF PROCEEDS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FORWARD-LOOKING STATEMENTS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OVERVIEW OF OUR CAPITAL STOCK</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GENERAL DESCRIPTION OF SECURITIES THAT MAY BE OFFERED</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DESCRIPTION OF DEBT SECURITIES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DESCRIPTION OF PREFERRED STOCK</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DESCRIPTION OF COMMON STOCK</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DESCRIPTION OF WARRANTS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PLAN OF DISTRIBUTION</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LEGAL MATTERS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EXPERTS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WHERE YOU CAN FIND MORE INFORMATION</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9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100" w:lineRule="exact"/>
        <w:rPr>
          <w:sz w:val="20"/>
          <w:szCs w:val="20"/>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our </w:t>
      </w:r>
      <w:hyperlink r:id="rId49">
        <w:r>
          <w:rPr>
            <w:rFonts w:ascii="Arial" w:cs="Arial" w:eastAsia="Arial" w:hAnsi="Arial"/>
            <w:sz w:val="18"/>
            <w:szCs w:val="18"/>
            <w:u w:val="single" w:color="auto"/>
            <w:color w:val="0000EE"/>
          </w:rPr>
          <w:t>Annual Report on Form 10-K for the fiscal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February 5, 2020); and</w:t>
      </w:r>
    </w:p>
    <w:p>
      <w:pPr>
        <w:spacing w:after="0" w:line="130" w:lineRule="exact"/>
        <w:rPr>
          <w:rFonts w:ascii="Arial" w:cs="Arial" w:eastAsia="Arial" w:hAnsi="Arial"/>
          <w:sz w:val="18"/>
          <w:szCs w:val="18"/>
          <w:color w:val="auto"/>
        </w:rPr>
      </w:pPr>
    </w:p>
    <w:p>
      <w:pPr>
        <w:ind w:left="1000" w:right="40" w:hanging="439"/>
        <w:spacing w:after="0" w:line="277" w:lineRule="auto"/>
        <w:tabs>
          <w:tab w:leader="none" w:pos="1000" w:val="left"/>
        </w:tabs>
        <w:numPr>
          <w:ilvl w:val="0"/>
          <w:numId w:val="16"/>
        </w:numPr>
        <w:rPr>
          <w:rFonts w:ascii="Arial" w:cs="Arial" w:eastAsia="Arial" w:hAnsi="Arial"/>
          <w:sz w:val="18"/>
          <w:szCs w:val="18"/>
          <w:color w:val="0000EE"/>
        </w:rPr>
      </w:pPr>
      <w:hyperlink r:id="rId64">
        <w:r>
          <w:rPr>
            <w:rFonts w:ascii="Arial" w:cs="Arial" w:eastAsia="Arial" w:hAnsi="Arial"/>
            <w:sz w:val="18"/>
            <w:szCs w:val="18"/>
            <w:color w:val="auto"/>
          </w:rPr>
          <w:t xml:space="preserve">the description of our common stock set forth in </w:t>
        </w:r>
        <w:r>
          <w:rPr>
            <w:rFonts w:ascii="Arial" w:cs="Arial" w:eastAsia="Arial" w:hAnsi="Arial"/>
            <w:sz w:val="18"/>
            <w:szCs w:val="18"/>
            <w:u w:val="single" w:color="auto"/>
            <w:color w:val="0000EE"/>
          </w:rPr>
          <w:t>Exhibit 4.1 to our Annual Report on Form 10-K for the fiscal year ended December 31, 2019</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(filed with the SEC on February 5, 2020)</w:t>
        </w:r>
        <w:r>
          <w:rPr>
            <w:rFonts w:ascii="Arial" w:cs="Arial" w:eastAsia="Arial" w:hAnsi="Arial"/>
            <w:sz w:val="18"/>
            <w:szCs w:val="18"/>
            <w:color w:val="000000"/>
          </w:rPr>
          <w:t>.</w:t>
        </w:r>
      </w:hyperlink>
    </w:p>
    <w:p>
      <w:pPr>
        <w:spacing w:after="0" w:line="170" w:lineRule="exact"/>
        <w:rPr>
          <w:rFonts w:ascii="Arial" w:cs="Arial" w:eastAsia="Arial" w:hAnsi="Arial"/>
          <w:sz w:val="18"/>
          <w:szCs w:val="18"/>
          <w:color w:val="auto"/>
        </w:rPr>
      </w:pPr>
    </w:p>
    <w:p>
      <w:pPr>
        <w:ind w:right="280" w:firstLine="449"/>
        <w:spacing w:after="0" w:line="311" w:lineRule="auto"/>
        <w:rPr>
          <w:sz w:val="20"/>
          <w:szCs w:val="20"/>
          <w:color w:val="auto"/>
        </w:rPr>
      </w:pPr>
      <w:r>
        <w:rPr>
          <w:rFonts w:ascii="Arial" w:cs="Arial" w:eastAsia="Arial" w:hAnsi="Arial"/>
          <w:sz w:val="16"/>
          <w:szCs w:val="16"/>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41"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General Motors Company</w:t>
      </w:r>
    </w:p>
    <w:p>
      <w:pPr>
        <w:spacing w:after="0" w:line="23"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300 Renaissance Center</w:t>
      </w:r>
    </w:p>
    <w:p>
      <w:pPr>
        <w:spacing w:after="0" w:line="9"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Detroit, Michigan 48265-3000</w:t>
      </w:r>
    </w:p>
    <w:p>
      <w:pPr>
        <w:spacing w:after="0" w:line="9"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(313) 667-1500</w:t>
      </w:r>
    </w:p>
    <w:p>
      <w:pPr>
        <w:spacing w:after="0" w:line="211" w:lineRule="exact"/>
        <w:rPr>
          <w:rFonts w:ascii="Arial" w:cs="Arial" w:eastAsia="Arial" w:hAnsi="Arial"/>
          <w:sz w:val="18"/>
          <w:szCs w:val="18"/>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39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color w:val="auto"/>
        </w:rPr>
      </w:pPr>
    </w:p>
    <w:p>
      <w:pPr>
        <w:ind w:right="20" w:firstLine="449"/>
        <w:spacing w:after="0" w:line="301" w:lineRule="auto"/>
        <w:rPr>
          <w:rFonts w:ascii="Arial" w:cs="Arial" w:eastAsia="Arial" w:hAnsi="Arial"/>
          <w:sz w:val="16"/>
          <w:szCs w:val="16"/>
          <w:color w:val="0000EE"/>
        </w:rPr>
      </w:pPr>
      <w:r>
        <w:rPr>
          <w:rFonts w:ascii="Arial" w:cs="Arial" w:eastAsia="Arial" w:hAnsi="Arial"/>
          <w:sz w:val="16"/>
          <w:szCs w:val="16"/>
          <w:color w:val="auto"/>
        </w:rPr>
        <w:t xml:space="preserve">Investment in any of the securities involves risk. In addition to all of the other information contained or incorporated by reference into this prospectus </w:t>
      </w:r>
      <w:hyperlink r:id="rId49">
        <w:r>
          <w:rPr>
            <w:rFonts w:ascii="Arial" w:cs="Arial" w:eastAsia="Arial" w:hAnsi="Arial"/>
            <w:sz w:val="16"/>
            <w:szCs w:val="16"/>
            <w:color w:val="auto"/>
          </w:rPr>
          <w:t xml:space="preserve">and the accompanying prospectus supplement, you should carefully consider the risk factors incorporated by reference from our </w:t>
        </w:r>
        <w:r>
          <w:rPr>
            <w:rFonts w:ascii="Arial" w:cs="Arial" w:eastAsia="Arial" w:hAnsi="Arial"/>
            <w:sz w:val="16"/>
            <w:szCs w:val="16"/>
            <w:u w:val="single" w:color="auto"/>
            <w:color w:val="0000EE"/>
          </w:rPr>
          <w:t>Annual Report on Form</w:t>
        </w:r>
      </w:hyperlink>
      <w:r>
        <w:rPr>
          <w:rFonts w:ascii="Arial" w:cs="Arial" w:eastAsia="Arial" w:hAnsi="Arial"/>
          <w:sz w:val="16"/>
          <w:szCs w:val="16"/>
          <w:color w:val="auto"/>
        </w:rPr>
        <w:t xml:space="preserve"> </w:t>
      </w:r>
      <w:hyperlink r:id="rId49">
        <w:r>
          <w:rPr>
            <w:rFonts w:ascii="Arial" w:cs="Arial" w:eastAsia="Arial" w:hAnsi="Arial"/>
            <w:sz w:val="16"/>
            <w:szCs w:val="16"/>
            <w:u w:val="single" w:color="auto"/>
            <w:color w:val="0000EE"/>
          </w:rPr>
          <w:t>10-K for the year ended December 31, 2019</w:t>
        </w:r>
        <w:r>
          <w:rPr>
            <w:rFonts w:ascii="Arial" w:cs="Arial" w:eastAsia="Arial" w:hAnsi="Arial"/>
            <w:sz w:val="16"/>
            <w:szCs w:val="16"/>
            <w:color w:val="000000"/>
          </w:rPr>
          <w:t>, as updated by our subsequent filings under the Exchange Act, including Forms 10-Q and 8-K, and the risk</w:t>
        </w:r>
      </w:hyperlink>
      <w:r>
        <w:rPr>
          <w:rFonts w:ascii="Arial" w:cs="Arial" w:eastAsia="Arial" w:hAnsi="Arial"/>
          <w:sz w:val="16"/>
          <w:szCs w:val="16"/>
          <w:color w:val="0000EE"/>
        </w:rPr>
        <w:t xml:space="preserve"> </w:t>
      </w:r>
      <w:r>
        <w:rPr>
          <w:rFonts w:ascii="Arial" w:cs="Arial" w:eastAsia="Arial" w:hAnsi="Arial"/>
          <w:sz w:val="16"/>
          <w:szCs w:val="16"/>
          <w:color w:val="000000"/>
        </w:rPr>
        <w:t>factors contained or incorporated by reference into the accompanying prospectus supplement before acquiring any of the securities.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General Motors Company was incorporated as a Delaware corporation in 2009. We design, build and sell trucks, crossovers, cars and automobile parts worldwide through our automotive segments: GM North America and GM International. Cruise, formerly GM Cruise, is our global segment responsible for the development and commercialization of autonomous vehicle technology. We also provide automotive financing services through General Motors Financial Company, Inc. (GM Financial).</w:t>
      </w:r>
    </w:p>
    <w:p>
      <w:pPr>
        <w:spacing w:after="0" w:line="187"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 (7) 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 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 (21) any additional tax expense or exposure; (22) our continued ability to develop captive financing capability through GM Financial; and (23) any significant increase in our pension funding requirements. For a further discussion of these and other risks and uncertainties, refer to our Annual Report on Form 10-K for the year ended December 31, 2019, as updated by our subsequent filings under the Exchange Act, including Forms 10-Q and 8-K.</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OUR CAPITAL STOCK</w:t>
      </w:r>
    </w:p>
    <w:p>
      <w:pPr>
        <w:spacing w:after="0" w:line="229"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84" w:lineRule="exact"/>
        <w:rPr>
          <w:sz w:val="20"/>
          <w:szCs w:val="20"/>
          <w:color w:val="auto"/>
        </w:rPr>
      </w:pPr>
    </w:p>
    <w:p>
      <w:pPr>
        <w:ind w:right="560" w:firstLine="449"/>
        <w:spacing w:after="0" w:line="263"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As of January 24, 2020, 1,429,002,063 shares of our common stock were issued and outstanding. The general terms of our common stock are described below within the section of this prospectus entitled “Description of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92" w:lineRule="exact"/>
        <w:rPr>
          <w:sz w:val="20"/>
          <w:szCs w:val="20"/>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117"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by a majority of the members of the Board of Directors or as otherwise provided by Delaware law or the Certificate of Incorporation. Our Bylaws further provide that the Board of Directors shall call a special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meeting upon the written request of the record holders of at least 25%, in the aggregate, of the voting power of the outstanding shares of all classes of shares entitled to vote at such a meeting, subject to requirements and limitations set forth in our Bylaws.</w:t>
      </w:r>
    </w:p>
    <w:p>
      <w:pPr>
        <w:spacing w:after="0" w:line="170"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117" w:lineRule="exact"/>
        <w:rPr>
          <w:sz w:val="20"/>
          <w:szCs w:val="20"/>
          <w:color w:val="auto"/>
        </w:rPr>
      </w:pPr>
    </w:p>
    <w:p>
      <w:pPr>
        <w:jc w:val="both"/>
        <w:ind w:right="340" w:firstLine="449"/>
        <w:spacing w:after="0" w:line="277" w:lineRule="auto"/>
        <w:rPr>
          <w:sz w:val="20"/>
          <w:szCs w:val="20"/>
          <w:color w:val="auto"/>
        </w:rPr>
      </w:pPr>
      <w:r>
        <w:rPr>
          <w:rFonts w:ascii="Arial" w:cs="Arial" w:eastAsia="Arial" w:hAnsi="Arial"/>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70"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11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9" w:lineRule="exact"/>
        <w:rPr>
          <w:sz w:val="20"/>
          <w:szCs w:val="20"/>
          <w:color w:val="auto"/>
        </w:rPr>
      </w:pPr>
    </w:p>
    <w:p>
      <w:pPr>
        <w:ind w:left="1000" w:right="60" w:hanging="439"/>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439"/>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84"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459"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5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61" w:lineRule="exact"/>
        <w:rPr>
          <w:sz w:val="20"/>
          <w:szCs w:val="20"/>
          <w:color w:val="auto"/>
        </w:rPr>
      </w:pPr>
    </w:p>
    <w:p>
      <w:pPr>
        <w:jc w:val="both"/>
        <w:ind w:right="40" w:firstLine="449"/>
        <w:spacing w:after="0" w:line="311" w:lineRule="auto"/>
        <w:rPr>
          <w:sz w:val="20"/>
          <w:szCs w:val="20"/>
          <w:color w:val="auto"/>
        </w:rPr>
      </w:pPr>
      <w:r>
        <w:rPr>
          <w:rFonts w:ascii="Arial" w:cs="Arial" w:eastAsia="Arial" w:hAnsi="Arial"/>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8"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76" w:lineRule="exact"/>
        <w:rPr>
          <w:sz w:val="20"/>
          <w:szCs w:val="20"/>
          <w:color w:val="auto"/>
        </w:rPr>
      </w:pPr>
    </w:p>
    <w:p>
      <w:pPr>
        <w:ind w:left="1000" w:hanging="439"/>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or dates on which principal and premium, if any, of the debt securities of that series, or any tranche thereof, is payable;</w:t>
      </w:r>
    </w:p>
    <w:p>
      <w:pPr>
        <w:spacing w:after="0" w:line="142" w:lineRule="exact"/>
        <w:rPr>
          <w:rFonts w:ascii="Arial" w:cs="Arial" w:eastAsia="Arial" w:hAnsi="Arial"/>
          <w:sz w:val="17"/>
          <w:szCs w:val="17"/>
          <w:color w:val="auto"/>
        </w:rPr>
      </w:pPr>
    </w:p>
    <w:p>
      <w:pPr>
        <w:ind w:left="1000" w:hanging="439"/>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439"/>
        <w:spacing w:after="0" w:line="311"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54" w:lineRule="exact"/>
        <w:rPr>
          <w:rFonts w:ascii="Arial" w:cs="Arial" w:eastAsia="Arial" w:hAnsi="Arial"/>
          <w:sz w:val="16"/>
          <w:szCs w:val="16"/>
          <w:color w:val="auto"/>
        </w:rPr>
      </w:pPr>
    </w:p>
    <w:p>
      <w:pPr>
        <w:ind w:left="1000" w:hanging="439"/>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any of our other debt;</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30"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75" w:lineRule="exact"/>
        <w:rPr>
          <w:rFonts w:ascii="Arial" w:cs="Arial" w:eastAsia="Arial" w:hAnsi="Arial"/>
          <w:sz w:val="18"/>
          <w:szCs w:val="18"/>
          <w:color w:val="auto"/>
        </w:rPr>
      </w:pPr>
    </w:p>
    <w:p>
      <w:pPr>
        <w:ind w:left="1000" w:right="140" w:hanging="439"/>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75" w:lineRule="exact"/>
        <w:rPr>
          <w:rFonts w:ascii="Arial" w:cs="Arial" w:eastAsia="Arial" w:hAnsi="Arial"/>
          <w:sz w:val="18"/>
          <w:szCs w:val="18"/>
          <w:color w:val="auto"/>
        </w:rPr>
      </w:pPr>
    </w:p>
    <w:p>
      <w:pPr>
        <w:ind w:left="1000" w:right="20" w:hanging="439"/>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00" w:right="240" w:hanging="439"/>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225"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w:t>
      </w:r>
    </w:p>
    <w:p>
      <w:pPr>
        <w:spacing w:after="0" w:line="76"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or</w:t>
      </w:r>
    </w:p>
    <w:p>
      <w:pPr>
        <w:spacing w:after="0" w:line="130" w:lineRule="exact"/>
        <w:rPr>
          <w:rFonts w:ascii="Arial" w:cs="Arial" w:eastAsia="Arial" w:hAnsi="Arial"/>
          <w:sz w:val="18"/>
          <w:szCs w:val="18"/>
          <w:color w:val="auto"/>
        </w:rPr>
      </w:pPr>
    </w:p>
    <w:p>
      <w:pPr>
        <w:ind w:left="1000" w:right="220" w:hanging="439"/>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debt securities of such series not previously delivered to the trustee for cancellation (i) have become due and payable (whether at stated maturity, early redemption or otherwise), (ii) will become due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90" w:lineRule="auto"/>
        <w:rPr>
          <w:sz w:val="20"/>
          <w:szCs w:val="20"/>
          <w:color w:val="auto"/>
        </w:rPr>
      </w:pPr>
      <w:r>
        <w:rPr>
          <w:rFonts w:ascii="Arial" w:cs="Arial" w:eastAsia="Arial" w:hAnsi="Arial"/>
          <w:sz w:val="16"/>
          <w:szCs w:val="16"/>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71" w:lineRule="exact"/>
        <w:rPr>
          <w:sz w:val="20"/>
          <w:szCs w:val="20"/>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130" w:lineRule="exact"/>
        <w:rPr>
          <w:rFonts w:ascii="Arial" w:cs="Arial" w:eastAsia="Arial" w:hAnsi="Arial"/>
          <w:sz w:val="18"/>
          <w:szCs w:val="18"/>
          <w:color w:val="auto"/>
        </w:rPr>
      </w:pPr>
    </w:p>
    <w:p>
      <w:pPr>
        <w:ind w:left="1000" w:right="680" w:hanging="547"/>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24"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92" w:lineRule="exact"/>
        <w:rPr>
          <w:sz w:val="20"/>
          <w:szCs w:val="20"/>
          <w:color w:val="auto"/>
        </w:rPr>
      </w:pPr>
    </w:p>
    <w:p>
      <w:pPr>
        <w:ind w:left="1000" w:right="10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75" w:lineRule="exact"/>
        <w:rPr>
          <w:rFonts w:ascii="Arial" w:cs="Arial" w:eastAsia="Arial" w:hAnsi="Arial"/>
          <w:sz w:val="18"/>
          <w:szCs w:val="18"/>
          <w:color w:val="auto"/>
        </w:rPr>
      </w:pPr>
    </w:p>
    <w:p>
      <w:pPr>
        <w:ind w:left="1000" w:right="160" w:hanging="547"/>
        <w:spacing w:after="0" w:line="31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120" w:right="580" w:hanging="66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75" w:lineRule="exact"/>
        <w:rPr>
          <w:rFonts w:ascii="Arial" w:cs="Arial" w:eastAsia="Arial" w:hAnsi="Arial"/>
          <w:sz w:val="18"/>
          <w:szCs w:val="18"/>
          <w:color w:val="auto"/>
        </w:rPr>
      </w:pPr>
    </w:p>
    <w:p>
      <w:pPr>
        <w:ind w:left="1460" w:hanging="332"/>
        <w:spacing w:after="0"/>
        <w:tabs>
          <w:tab w:leader="none" w:pos="14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cash in dollars (or such other currency or composite currency in which such debt securities are denominated) in an amount sufficient;</w:t>
      </w:r>
    </w:p>
    <w:p>
      <w:pPr>
        <w:spacing w:after="0" w:line="153" w:lineRule="exact"/>
        <w:rPr>
          <w:rFonts w:ascii="Arial" w:cs="Arial" w:eastAsia="Arial" w:hAnsi="Arial"/>
          <w:sz w:val="16"/>
          <w:szCs w:val="16"/>
          <w:color w:val="auto"/>
        </w:rPr>
      </w:pPr>
    </w:p>
    <w:p>
      <w:pPr>
        <w:ind w:left="1460" w:right="140" w:hanging="332"/>
        <w:spacing w:after="0" w:line="277"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75" w:lineRule="exact"/>
        <w:rPr>
          <w:rFonts w:ascii="Arial" w:cs="Arial" w:eastAsia="Arial" w:hAnsi="Arial"/>
          <w:sz w:val="18"/>
          <w:szCs w:val="18"/>
          <w:color w:val="auto"/>
        </w:rPr>
      </w:pPr>
    </w:p>
    <w:p>
      <w:pPr>
        <w:ind w:left="1460" w:hanging="332"/>
        <w:spacing w:after="0"/>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20" w:right="200"/>
        <w:spacing w:after="0" w:line="259" w:lineRule="auto"/>
        <w:rPr>
          <w:sz w:val="20"/>
          <w:szCs w:val="20"/>
          <w:color w:val="auto"/>
        </w:rPr>
      </w:pPr>
      <w:r>
        <w:rPr>
          <w:rFonts w:ascii="Arial" w:cs="Arial" w:eastAsia="Arial" w:hAnsi="Arial"/>
          <w:sz w:val="18"/>
          <w:szCs w:val="18"/>
          <w:color w:val="auto"/>
        </w:rPr>
        <w:t>in each case, in the opinion of a nationally recognized firm of independent certified public accountants, expressed in a written certification delivered to the trustee,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92" w:lineRule="exact"/>
        <w:rPr>
          <w:sz w:val="20"/>
          <w:szCs w:val="20"/>
          <w:color w:val="auto"/>
        </w:rPr>
      </w:pPr>
    </w:p>
    <w:p>
      <w:pPr>
        <w:ind w:left="1120" w:right="100" w:hanging="667"/>
        <w:spacing w:after="0" w:line="279" w:lineRule="auto"/>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76" w:lineRule="exact"/>
        <w:rPr>
          <w:rFonts w:ascii="Arial" w:cs="Arial" w:eastAsia="Arial" w:hAnsi="Arial"/>
          <w:sz w:val="17"/>
          <w:szCs w:val="17"/>
          <w:color w:val="auto"/>
        </w:rPr>
      </w:pPr>
    </w:p>
    <w:p>
      <w:pPr>
        <w:ind w:left="1120" w:right="60" w:hanging="667"/>
        <w:spacing w:after="0" w:line="311"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4" w:lineRule="exact"/>
        <w:rPr>
          <w:rFonts w:ascii="Arial" w:cs="Arial" w:eastAsia="Arial" w:hAnsi="Arial"/>
          <w:sz w:val="16"/>
          <w:szCs w:val="16"/>
          <w:color w:val="auto"/>
        </w:rPr>
      </w:pPr>
    </w:p>
    <w:p>
      <w:pPr>
        <w:ind w:left="1120" w:right="100" w:hanging="66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75" w:lineRule="exact"/>
        <w:rPr>
          <w:rFonts w:ascii="Arial" w:cs="Arial" w:eastAsia="Arial" w:hAnsi="Arial"/>
          <w:sz w:val="18"/>
          <w:szCs w:val="18"/>
          <w:color w:val="auto"/>
        </w:rPr>
      </w:pPr>
    </w:p>
    <w:p>
      <w:pPr>
        <w:ind w:left="1120" w:right="80" w:hanging="667"/>
        <w:spacing w:after="0" w:line="263"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9" w:lineRule="exact"/>
        <w:rPr>
          <w:rFonts w:ascii="Arial" w:cs="Arial" w:eastAsia="Arial" w:hAnsi="Arial"/>
          <w:sz w:val="18"/>
          <w:szCs w:val="18"/>
          <w:color w:val="auto"/>
        </w:rPr>
      </w:pPr>
    </w:p>
    <w:p>
      <w:pPr>
        <w:ind w:left="1120" w:right="420" w:hanging="66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delivered to the trustee an agreement whereby we irrevocably agree to forfeit our rights, if any, to extend the interest payment periods on such debt securities pursuant to the indenture;</w:t>
      </w:r>
    </w:p>
    <w:p>
      <w:pPr>
        <w:spacing w:after="0" w:line="75" w:lineRule="exact"/>
        <w:rPr>
          <w:rFonts w:ascii="Arial" w:cs="Arial" w:eastAsia="Arial" w:hAnsi="Arial"/>
          <w:sz w:val="18"/>
          <w:szCs w:val="18"/>
          <w:color w:val="auto"/>
        </w:rPr>
      </w:pPr>
    </w:p>
    <w:p>
      <w:pPr>
        <w:ind w:left="1120" w:right="300" w:hanging="667"/>
        <w:spacing w:after="0" w:line="311"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54" w:lineRule="exact"/>
        <w:rPr>
          <w:rFonts w:ascii="Arial" w:cs="Arial" w:eastAsia="Arial" w:hAnsi="Arial"/>
          <w:sz w:val="16"/>
          <w:szCs w:val="16"/>
          <w:color w:val="auto"/>
        </w:rPr>
      </w:pPr>
    </w:p>
    <w:p>
      <w:pPr>
        <w:ind w:left="1120" w:right="320" w:hanging="66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75" w:lineRule="exact"/>
        <w:rPr>
          <w:rFonts w:ascii="Arial" w:cs="Arial" w:eastAsia="Arial" w:hAnsi="Arial"/>
          <w:sz w:val="18"/>
          <w:szCs w:val="18"/>
          <w:color w:val="auto"/>
        </w:rPr>
      </w:pPr>
    </w:p>
    <w:p>
      <w:pPr>
        <w:ind w:left="1120" w:right="80" w:hanging="667"/>
        <w:spacing w:after="0" w:line="275" w:lineRule="auto"/>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76" w:lineRule="exact"/>
        <w:rPr>
          <w:sz w:val="20"/>
          <w:szCs w:val="20"/>
          <w:color w:val="auto"/>
        </w:rPr>
      </w:pPr>
    </w:p>
    <w:p>
      <w:pPr>
        <w:ind w:left="1000" w:hanging="547"/>
        <w:spacing w:after="0" w:line="31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expressly assume by a supplemental indenture the due and punctual payment of the principal of (and premium, if any) and interest on all of the outstanding debt securities and the performance of our covenants under the indenture;</w:t>
      </w:r>
    </w:p>
    <w:p>
      <w:pPr>
        <w:spacing w:after="0" w:line="76" w:lineRule="exact"/>
        <w:rPr>
          <w:sz w:val="20"/>
          <w:szCs w:val="20"/>
          <w:color w:val="auto"/>
        </w:rPr>
      </w:pPr>
    </w:p>
    <w:p>
      <w:pPr>
        <w:ind w:left="1000" w:right="8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75" w:lineRule="exact"/>
        <w:rPr>
          <w:rFonts w:ascii="Arial" w:cs="Arial" w:eastAsia="Arial" w:hAnsi="Arial"/>
          <w:sz w:val="18"/>
          <w:szCs w:val="18"/>
          <w:color w:val="auto"/>
        </w:rPr>
      </w:pPr>
    </w:p>
    <w:p>
      <w:pPr>
        <w:ind w:left="1000" w:right="180" w:hanging="547"/>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4"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without the consent of the holder of each outstanding debt security so affected, no such supplemental indenture may:</w:t>
      </w:r>
    </w:p>
    <w:p>
      <w:pPr>
        <w:spacing w:after="0" w:line="86" w:lineRule="exact"/>
        <w:rPr>
          <w:sz w:val="20"/>
          <w:szCs w:val="20"/>
          <w:color w:val="auto"/>
        </w:rPr>
      </w:pPr>
    </w:p>
    <w:p>
      <w:pPr>
        <w:ind w:left="1000" w:right="40" w:hanging="547"/>
        <w:spacing w:after="0" w:line="29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71" w:lineRule="exact"/>
        <w:rPr>
          <w:rFonts w:ascii="Arial" w:cs="Arial" w:eastAsia="Arial" w:hAnsi="Arial"/>
          <w:sz w:val="16"/>
          <w:szCs w:val="16"/>
          <w:color w:val="auto"/>
        </w:rPr>
      </w:pPr>
    </w:p>
    <w:p>
      <w:pPr>
        <w:ind w:left="1000" w:right="260" w:hanging="547"/>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70" w:lineRule="exact"/>
        <w:rPr>
          <w:rFonts w:ascii="Arial" w:cs="Arial" w:eastAsia="Arial" w:hAnsi="Arial"/>
          <w:sz w:val="17"/>
          <w:szCs w:val="17"/>
          <w:color w:val="auto"/>
        </w:rPr>
      </w:pPr>
    </w:p>
    <w:p>
      <w:pPr>
        <w:ind w:left="1000" w:hanging="547"/>
        <w:spacing w:after="0" w:line="31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76" w:lineRule="exact"/>
        <w:rPr>
          <w:sz w:val="20"/>
          <w:szCs w:val="20"/>
          <w:color w:val="auto"/>
        </w:rPr>
      </w:pPr>
    </w:p>
    <w:p>
      <w:pPr>
        <w:ind w:left="1120" w:right="320" w:hanging="667"/>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debt securities;</w:t>
      </w:r>
    </w:p>
    <w:p>
      <w:pPr>
        <w:spacing w:after="0" w:line="75" w:lineRule="exact"/>
        <w:rPr>
          <w:rFonts w:ascii="Arial" w:cs="Arial" w:eastAsia="Arial" w:hAnsi="Arial"/>
          <w:sz w:val="18"/>
          <w:szCs w:val="18"/>
          <w:color w:val="auto"/>
        </w:rPr>
      </w:pPr>
    </w:p>
    <w:p>
      <w:pPr>
        <w:ind w:left="1120" w:hanging="667"/>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debt securities, or to surrender any right or power conferred upon us under the indenture;</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debt securities;</w:t>
      </w:r>
    </w:p>
    <w:p>
      <w:pPr>
        <w:spacing w:after="0" w:line="130" w:lineRule="exact"/>
        <w:rPr>
          <w:rFonts w:ascii="Arial" w:cs="Arial" w:eastAsia="Arial" w:hAnsi="Arial"/>
          <w:sz w:val="18"/>
          <w:szCs w:val="18"/>
          <w:color w:val="auto"/>
        </w:rPr>
      </w:pPr>
    </w:p>
    <w:p>
      <w:pPr>
        <w:jc w:val="both"/>
        <w:ind w:left="1120" w:right="360" w:hanging="667"/>
        <w:spacing w:after="0" w:line="263"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9" w:lineRule="exact"/>
        <w:rPr>
          <w:rFonts w:ascii="Arial" w:cs="Arial" w:eastAsia="Arial" w:hAnsi="Arial"/>
          <w:sz w:val="18"/>
          <w:szCs w:val="18"/>
          <w:color w:val="auto"/>
        </w:rPr>
      </w:pPr>
    </w:p>
    <w:p>
      <w:pPr>
        <w:ind w:left="1120" w:right="120" w:hanging="667"/>
        <w:spacing w:after="0" w:line="25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the indenture, or to add any new provision to the indenture, in respect of one or more series of debt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w:t>
      </w:r>
    </w:p>
    <w:p>
      <w:pPr>
        <w:spacing w:after="0" w:line="93" w:lineRule="exact"/>
        <w:rPr>
          <w:rFonts w:ascii="Arial" w:cs="Arial" w:eastAsia="Arial" w:hAnsi="Arial"/>
          <w:sz w:val="18"/>
          <w:szCs w:val="18"/>
          <w:color w:val="auto"/>
        </w:rPr>
      </w:pPr>
    </w:p>
    <w:p>
      <w:pPr>
        <w:ind w:left="1120" w:right="840" w:hanging="667"/>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collateral security with respect to the debt securities of any series and to provide for the terms and conditions of release or substitution thereof;</w:t>
      </w:r>
    </w:p>
    <w:p>
      <w:pPr>
        <w:spacing w:after="0" w:line="75" w:lineRule="exact"/>
        <w:rPr>
          <w:rFonts w:ascii="Arial" w:cs="Arial" w:eastAsia="Arial" w:hAnsi="Arial"/>
          <w:sz w:val="18"/>
          <w:szCs w:val="18"/>
          <w:color w:val="auto"/>
        </w:rPr>
      </w:pPr>
    </w:p>
    <w:p>
      <w:pPr>
        <w:ind w:left="1120" w:right="140" w:hanging="667"/>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establish the issuance of and establish the form, terms and conditions of any additional debt securities of any series or tranche thereof as permitted by the indenture;</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w:t>
      </w:r>
    </w:p>
    <w:p>
      <w:pPr>
        <w:spacing w:after="0" w:line="142" w:lineRule="exact"/>
        <w:rPr>
          <w:rFonts w:ascii="Arial" w:cs="Arial" w:eastAsia="Arial" w:hAnsi="Arial"/>
          <w:sz w:val="17"/>
          <w:szCs w:val="17"/>
          <w:color w:val="auto"/>
        </w:rPr>
      </w:pPr>
    </w:p>
    <w:p>
      <w:pPr>
        <w:ind w:left="1120" w:right="200" w:hanging="667"/>
        <w:spacing w:after="0" w:line="286" w:lineRule="auto"/>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70" w:lineRule="exact"/>
        <w:rPr>
          <w:rFonts w:ascii="Arial" w:cs="Arial" w:eastAsia="Arial" w:hAnsi="Arial"/>
          <w:sz w:val="17"/>
          <w:szCs w:val="17"/>
          <w:color w:val="auto"/>
        </w:rPr>
      </w:pPr>
    </w:p>
    <w:p>
      <w:pPr>
        <w:ind w:left="1120" w:hanging="667"/>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provide for a separate trustee or co-trustee;</w:t>
      </w:r>
    </w:p>
    <w:p>
      <w:pPr>
        <w:spacing w:after="0" w:line="130" w:lineRule="exact"/>
        <w:rPr>
          <w:rFonts w:ascii="Arial" w:cs="Arial" w:eastAsia="Arial" w:hAnsi="Arial"/>
          <w:sz w:val="18"/>
          <w:szCs w:val="18"/>
          <w:color w:val="auto"/>
        </w:rPr>
      </w:pPr>
    </w:p>
    <w:p>
      <w:pPr>
        <w:ind w:left="1120" w:right="100" w:hanging="667"/>
        <w:spacing w:after="0" w:line="259"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92" w:lineRule="exact"/>
        <w:rPr>
          <w:rFonts w:ascii="Arial" w:cs="Arial" w:eastAsia="Arial" w:hAnsi="Arial"/>
          <w:sz w:val="18"/>
          <w:szCs w:val="18"/>
          <w:color w:val="auto"/>
        </w:rPr>
      </w:pPr>
    </w:p>
    <w:p>
      <w:pPr>
        <w:ind w:left="1120" w:right="60" w:hanging="667"/>
        <w:spacing w:after="0" w:line="259"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92" w:lineRule="exact"/>
        <w:rPr>
          <w:rFonts w:ascii="Arial" w:cs="Arial" w:eastAsia="Arial" w:hAnsi="Arial"/>
          <w:sz w:val="18"/>
          <w:szCs w:val="18"/>
          <w:color w:val="auto"/>
        </w:rPr>
      </w:pPr>
    </w:p>
    <w:p>
      <w:pPr>
        <w:ind w:left="1120" w:hanging="667"/>
        <w:spacing w:after="0" w:line="308" w:lineRule="auto"/>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51" w:lineRule="exact"/>
        <w:rPr>
          <w:rFonts w:ascii="Arial" w:cs="Arial" w:eastAsia="Arial" w:hAnsi="Arial"/>
          <w:sz w:val="17"/>
          <w:szCs w:val="17"/>
          <w:color w:val="auto"/>
        </w:rPr>
      </w:pPr>
    </w:p>
    <w:p>
      <w:pPr>
        <w:ind w:left="1120" w:right="300" w:hanging="667"/>
        <w:spacing w:after="0" w:line="308" w:lineRule="auto"/>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20" w:right="280" w:hanging="667"/>
        <w:spacing w:after="0" w:line="263"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to make any other provisions with respect to matters or questions arising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52" w:lineRule="exact"/>
        <w:rPr>
          <w:sz w:val="20"/>
          <w:szCs w:val="20"/>
          <w:color w:val="auto"/>
        </w:rPr>
      </w:pPr>
    </w:p>
    <w:p>
      <w:pPr>
        <w:ind w:left="1000" w:right="140" w:hanging="547"/>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default in the payment of interest on any debt security of that series when it becomes due and payable, and continuance of such default for a period of 30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9"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w:t>
      </w:r>
    </w:p>
    <w:p>
      <w:pPr>
        <w:spacing w:after="0" w:line="75" w:lineRule="exact"/>
        <w:rPr>
          <w:rFonts w:ascii="Arial" w:cs="Arial" w:eastAsia="Arial" w:hAnsi="Arial"/>
          <w:sz w:val="18"/>
          <w:szCs w:val="18"/>
          <w:color w:val="auto"/>
        </w:rPr>
      </w:pPr>
    </w:p>
    <w:p>
      <w:pPr>
        <w:ind w:left="1000" w:hanging="547"/>
        <w:spacing w:after="0" w:line="25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93"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66"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68"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29" w:lineRule="exact"/>
        <w:rPr>
          <w:sz w:val="20"/>
          <w:szCs w:val="20"/>
          <w:color w:val="auto"/>
        </w:rPr>
      </w:pPr>
    </w:p>
    <w:p>
      <w:pPr>
        <w:ind w:left="1000" w:hanging="43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53" w:lineRule="exact"/>
        <w:rPr>
          <w:rFonts w:ascii="Arial" w:cs="Arial" w:eastAsia="Arial" w:hAnsi="Arial"/>
          <w:sz w:val="16"/>
          <w:szCs w:val="16"/>
          <w:color w:val="auto"/>
        </w:rPr>
      </w:pPr>
    </w:p>
    <w:p>
      <w:pPr>
        <w:ind w:left="1000" w:right="180" w:hanging="439"/>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75"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130" w:lineRule="exact"/>
        <w:rPr>
          <w:rFonts w:ascii="Arial" w:cs="Arial" w:eastAsia="Arial" w:hAnsi="Arial"/>
          <w:sz w:val="18"/>
          <w:szCs w:val="18"/>
          <w:color w:val="auto"/>
        </w:rPr>
      </w:pPr>
    </w:p>
    <w:p>
      <w:pPr>
        <w:ind w:left="1000" w:right="440" w:hanging="439"/>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 event of default has occurred and is continuing with respect to more than one series of debt securities of equal ranking,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000" w:right="460" w:hanging="439"/>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75" w:lineRule="exact"/>
        <w:rPr>
          <w:rFonts w:ascii="Arial" w:cs="Arial" w:eastAsia="Arial" w:hAnsi="Arial"/>
          <w:sz w:val="18"/>
          <w:szCs w:val="18"/>
          <w:color w:val="auto"/>
        </w:rPr>
      </w:pPr>
    </w:p>
    <w:p>
      <w:pPr>
        <w:ind w:left="1000" w:right="100" w:hanging="439"/>
        <w:spacing w:after="0" w:line="286"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65"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6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9" w:lineRule="exact"/>
        <w:rPr>
          <w:sz w:val="20"/>
          <w:szCs w:val="20"/>
          <w:color w:val="auto"/>
        </w:rPr>
      </w:pPr>
    </w:p>
    <w:p>
      <w:pPr>
        <w:ind w:left="1000" w:hanging="4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130" w:lineRule="exact"/>
        <w:rPr>
          <w:rFonts w:ascii="Arial" w:cs="Arial" w:eastAsia="Arial" w:hAnsi="Arial"/>
          <w:sz w:val="18"/>
          <w:szCs w:val="18"/>
          <w:color w:val="auto"/>
        </w:rPr>
      </w:pPr>
    </w:p>
    <w:p>
      <w:pPr>
        <w:ind w:left="1000" w:right="480" w:hanging="439"/>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participant or an indirect participant in DTC, on the procedures of the DTC participant through which the investor owns its interest).</w:t>
      </w:r>
    </w:p>
    <w:p>
      <w:pPr>
        <w:spacing w:after="0" w:line="22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71"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46"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global security may be exchanged for debt securities in physical, certificated form (which would be registered in such names as DTC shall direct)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only if:</w:t>
      </w:r>
    </w:p>
    <w:p>
      <w:pPr>
        <w:spacing w:after="0" w:line="116" w:lineRule="exact"/>
        <w:rPr>
          <w:sz w:val="20"/>
          <w:szCs w:val="20"/>
          <w:color w:val="auto"/>
        </w:rPr>
      </w:pPr>
    </w:p>
    <w:p>
      <w:pPr>
        <w:ind w:left="1000" w:right="260" w:hanging="439"/>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24, 2020, there were no shares of preferred stock outstanding. The terms of any shares of preferred stock offered pursuant to this prospectus will be set forth in an applicable prospectus supplement.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9"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24, 2020, 1,429,002,063 shares of our common stock were issued and outstanding. There are no redemption or sinking fund provisions applicable to our common stock. All outstanding shares of our common stock are fully paid and non-assessable.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24, 2020, there were no shares of preferred stock outstanding.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right="220" w:firstLine="449"/>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Honigman LLP.</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The consolidated financial statements of General Motors Company as of and for the years ended December 31, 2019 and 2018, incorporated in this Prospectus by reference from the Company’s </w:t>
      </w:r>
      <w:hyperlink r:id="rId49">
        <w:r>
          <w:rPr>
            <w:rFonts w:ascii="Arial" w:cs="Arial" w:eastAsia="Arial" w:hAnsi="Arial"/>
            <w:sz w:val="16"/>
            <w:szCs w:val="16"/>
            <w:u w:val="single" w:color="auto"/>
            <w:color w:val="0000EE"/>
          </w:rPr>
          <w:t>Annual Report on Form 10-K for the year ended December 31, 2019</w:t>
        </w:r>
      </w:hyperlink>
      <w:r>
        <w:rPr>
          <w:rFonts w:ascii="Arial" w:cs="Arial" w:eastAsia="Arial" w:hAnsi="Arial"/>
          <w:sz w:val="16"/>
          <w:szCs w:val="16"/>
          <w:color w:val="auto"/>
        </w:rPr>
        <w:t>, and the effectiveness of General Motors Company’s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61" w:lineRule="exact"/>
        <w:rPr>
          <w:sz w:val="20"/>
          <w:szCs w:val="20"/>
          <w:color w:val="auto"/>
        </w:rPr>
      </w:pPr>
    </w:p>
    <w:p>
      <w:pPr>
        <w:jc w:val="both"/>
        <w:ind w:right="140" w:firstLine="449"/>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financial statements of General Motors Company as of and for the year ended December 31, 2017, incorporated in this Prospectus by reference from the Company’s </w:t>
      </w:r>
      <w:hyperlink r:id="rId49">
        <w:r>
          <w:rPr>
            <w:rFonts w:ascii="Arial" w:cs="Arial" w:eastAsia="Arial" w:hAnsi="Arial"/>
            <w:sz w:val="17"/>
            <w:szCs w:val="17"/>
            <w:u w:val="single" w:color="auto"/>
            <w:color w:val="0000EE"/>
          </w:rPr>
          <w:t>Annual Report on Form 10-K for the year ended December 31, 2019</w:t>
        </w:r>
      </w:hyperlink>
      <w:r>
        <w:rPr>
          <w:rFonts w:ascii="Arial" w:cs="Arial" w:eastAsia="Arial" w:hAnsi="Arial"/>
          <w:sz w:val="17"/>
          <w:szCs w:val="17"/>
          <w:color w:val="auto"/>
        </w:rPr>
        <w:t>,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We file annual, quarterly and special reports, proxy statements and other information with the SEC. Our SEC filings are available to the public through the Internet at the SEC’s website at http://www.sec.gov.</w:t>
      </w:r>
    </w:p>
    <w:p>
      <w:pPr>
        <w:spacing w:after="0" w:line="170"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84"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$4,000,000,000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569595</wp:posOffset>
            </wp:positionV>
            <wp:extent cx="305181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30518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60"/>
        <w:spacing w:after="0"/>
        <w:rPr>
          <w:sz w:val="20"/>
          <w:szCs w:val="20"/>
          <w:color w:val="auto"/>
        </w:rPr>
      </w:pPr>
      <w:r>
        <w:rPr>
          <w:rFonts w:ascii="Arial" w:cs="Arial" w:eastAsia="Arial" w:hAnsi="Arial"/>
          <w:sz w:val="24"/>
          <w:szCs w:val="24"/>
          <w:b w:val="1"/>
          <w:bCs w:val="1"/>
          <w:color w:val="auto"/>
        </w:rPr>
        <w:t>$1,000,000,000 5.40% Senior Notes due 2023</w:t>
      </w:r>
    </w:p>
    <w:p>
      <w:pPr>
        <w:spacing w:after="0" w:line="38" w:lineRule="exact"/>
        <w:rPr>
          <w:sz w:val="20"/>
          <w:szCs w:val="20"/>
          <w:color w:val="auto"/>
        </w:rPr>
      </w:pPr>
    </w:p>
    <w:p>
      <w:pPr>
        <w:ind w:left="3000"/>
        <w:spacing w:after="0"/>
        <w:rPr>
          <w:sz w:val="20"/>
          <w:szCs w:val="20"/>
          <w:color w:val="auto"/>
        </w:rPr>
      </w:pPr>
      <w:r>
        <w:rPr>
          <w:rFonts w:ascii="Arial" w:cs="Arial" w:eastAsia="Arial" w:hAnsi="Arial"/>
          <w:sz w:val="24"/>
          <w:szCs w:val="24"/>
          <w:b w:val="1"/>
          <w:bCs w:val="1"/>
          <w:color w:val="auto"/>
        </w:rPr>
        <w:t>$2,000,000,000 6.125% Senior Notes due 2025</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24"/>
          <w:szCs w:val="24"/>
          <w:b w:val="1"/>
          <w:bCs w:val="1"/>
          <w:color w:val="auto"/>
        </w:rPr>
        <w:t>$1,000,000,000 6.80%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1387475</wp:posOffset>
            </wp:positionV>
            <wp:extent cx="1491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24"/>
          <w:szCs w:val="24"/>
          <w:b w:val="1"/>
          <w:b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Citigroup</w:t>
      </w:r>
    </w:p>
    <w:p>
      <w:pPr>
        <w:spacing w:after="0" w:line="89" w:lineRule="exact"/>
        <w:rPr>
          <w:sz w:val="20"/>
          <w:szCs w:val="20"/>
          <w:color w:val="auto"/>
        </w:rPr>
      </w:pPr>
    </w:p>
    <w:p>
      <w:pPr>
        <w:sectPr>
          <w:pgSz w:w="11900" w:h="16838" w:orient="portrait"/>
          <w:cols w:equalWidth="0" w:num="4">
            <w:col w:w="4800" w:space="720"/>
            <w:col w:w="1240" w:space="720"/>
            <w:col w:w="1960" w:space="720"/>
            <w:col w:w="1080"/>
          </w:cols>
          <w:pgMar w:left="320" w:top="459" w:right="339" w:bottom="1440" w:gutter="0" w:footer="0" w:header="0"/>
          <w:type w:val="continuous"/>
        </w:sectPr>
      </w:pPr>
    </w:p>
    <w:p>
      <w:pPr>
        <w:spacing w:after="0"/>
        <w:rPr>
          <w:sz w:val="20"/>
          <w:szCs w:val="20"/>
          <w:color w:val="auto"/>
        </w:rPr>
      </w:pPr>
      <w:r>
        <w:rPr>
          <w:rFonts w:ascii="Arial" w:cs="Arial" w:eastAsia="Arial" w:hAnsi="Arial"/>
          <w:sz w:val="24"/>
          <w:szCs w:val="24"/>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Morgan Stanley</w:t>
      </w:r>
    </w:p>
    <w:p>
      <w:pPr>
        <w:spacing w:after="0" w:line="46" w:lineRule="exact"/>
        <w:rPr>
          <w:sz w:val="20"/>
          <w:szCs w:val="20"/>
          <w:color w:val="auto"/>
        </w:rPr>
      </w:pPr>
    </w:p>
    <w:p>
      <w:pPr>
        <w:sectPr>
          <w:pgSz w:w="11900" w:h="16838" w:orient="portrait"/>
          <w:cols w:equalWidth="0" w:num="3">
            <w:col w:w="5120" w:space="720"/>
            <w:col w:w="2880" w:space="720"/>
            <w:col w:w="180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Joint Lead Managers</w:t>
      </w:r>
    </w:p>
    <w:p>
      <w:pPr>
        <w:sectPr>
          <w:pgSz w:w="11900" w:h="16838" w:orient="portrait"/>
          <w:cols w:equalWidth="0" w:num="1">
            <w:col w:w="11240"/>
          </w:cols>
          <w:pgMar w:left="320" w:top="459" w:right="339" w:bottom="1440" w:gutter="0" w:footer="0" w:header="0"/>
          <w:type w:val="continuous"/>
        </w:sectPr>
      </w:pP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Banca IMI</w:t>
      </w:r>
    </w:p>
    <w:p>
      <w:pPr>
        <w:spacing w:after="0" w:line="7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CIB</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BBVA</w:t>
      </w:r>
    </w:p>
    <w:p>
      <w:pPr>
        <w:spacing w:after="0" w:line="77" w:lineRule="exact"/>
        <w:rPr>
          <w:sz w:val="20"/>
          <w:szCs w:val="20"/>
          <w:color w:val="auto"/>
        </w:rPr>
      </w:pPr>
    </w:p>
    <w:p>
      <w:pPr>
        <w:jc w:val="center"/>
        <w:ind w:right="740"/>
        <w:spacing w:after="0"/>
        <w:rPr>
          <w:sz w:val="20"/>
          <w:szCs w:val="20"/>
          <w:color w:val="auto"/>
        </w:rPr>
      </w:pPr>
      <w:r>
        <w:rPr>
          <w:rFonts w:ascii="Arial" w:cs="Arial" w:eastAsia="Arial" w:hAnsi="Arial"/>
          <w:sz w:val="16"/>
          <w:szCs w:val="16"/>
          <w:b w:val="1"/>
          <w:bCs w:val="1"/>
          <w:color w:val="auto"/>
        </w:rPr>
        <w:t>Mizuho Securities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BNP PARIBAS</w:t>
      </w:r>
    </w:p>
    <w:p>
      <w:pPr>
        <w:spacing w:after="0" w:line="77"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NatWest Markets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COMMERZBANK</w:t>
      </w:r>
    </w:p>
    <w:p>
      <w:pPr>
        <w:spacing w:after="0" w:line="77"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RBC Capital Markets</w:t>
      </w:r>
    </w:p>
    <w:p>
      <w:pPr>
        <w:spacing w:after="0" w:line="200" w:lineRule="exact"/>
        <w:rPr>
          <w:sz w:val="20"/>
          <w:szCs w:val="20"/>
          <w:color w:val="auto"/>
        </w:rPr>
      </w:pPr>
    </w:p>
    <w:p>
      <w:pPr>
        <w:sectPr>
          <w:pgSz w:w="11900" w:h="16838" w:orient="portrait"/>
          <w:cols w:equalWidth="0" w:num="4">
            <w:col w:w="2660" w:space="720"/>
            <w:col w:w="2240" w:space="720"/>
            <w:col w:w="1980" w:space="720"/>
            <w:col w:w="2200"/>
          </w:cols>
          <w:pgMar w:left="320" w:top="459" w:right="339" w:bottom="1440" w:gutter="0" w:footer="0" w:header="0"/>
          <w:type w:val="continuous"/>
        </w:sectPr>
      </w:pPr>
    </w:p>
    <w:p>
      <w:pPr>
        <w:spacing w:after="0" w:line="6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Scotiabank</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SMBC Nikko</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SOCIETE GENERALE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TD Securities</w:t>
      </w:r>
    </w:p>
    <w:p>
      <w:pPr>
        <w:spacing w:after="0" w:line="200" w:lineRule="exact"/>
        <w:rPr>
          <w:sz w:val="20"/>
          <w:szCs w:val="20"/>
          <w:color w:val="auto"/>
        </w:rPr>
      </w:pPr>
    </w:p>
    <w:p>
      <w:pPr>
        <w:sectPr>
          <w:pgSz w:w="11900" w:h="16838" w:orient="portrait"/>
          <w:cols w:equalWidth="0" w:num="4">
            <w:col w:w="2880" w:space="720"/>
            <w:col w:w="1820" w:space="720"/>
            <w:col w:w="2480" w:space="720"/>
            <w:col w:w="1900"/>
          </w:cols>
          <w:pgMar w:left="320" w:top="459" w:right="339" w:bottom="1440" w:gutter="0" w:footer="0" w:header="0"/>
          <w:type w:val="continuous"/>
        </w:sectPr>
      </w:pP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Co-Managers</w:t>
      </w:r>
    </w:p>
    <w:p>
      <w:pPr>
        <w:sectPr>
          <w:pgSz w:w="11900" w:h="16838" w:orient="portrait"/>
          <w:cols w:equalWidth="0" w:num="1">
            <w:col w:w="11240"/>
          </w:cols>
          <w:pgMar w:left="320" w:top="459" w:right="339" w:bottom="1440" w:gutter="0" w:footer="0" w:header="0"/>
          <w:type w:val="continuous"/>
        </w:sectPr>
      </w:pPr>
    </w:p>
    <w:p>
      <w:pPr>
        <w:spacing w:after="0" w:line="26"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Academy Securities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Bradesco BBI</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980"/>
        <w:spacing w:after="0"/>
        <w:rPr>
          <w:sz w:val="20"/>
          <w:szCs w:val="20"/>
          <w:color w:val="auto"/>
        </w:rPr>
      </w:pPr>
      <w:r>
        <w:rPr>
          <w:rFonts w:ascii="Arial" w:cs="Arial" w:eastAsia="Arial" w:hAnsi="Arial"/>
          <w:sz w:val="13"/>
          <w:szCs w:val="13"/>
          <w:b w:val="1"/>
          <w:bCs w:val="1"/>
          <w:color w:val="auto"/>
        </w:rPr>
        <w:t>ICBC Standard Bank</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Lloyds Securities</w:t>
      </w:r>
    </w:p>
    <w:p>
      <w:pPr>
        <w:spacing w:after="0" w:line="132" w:lineRule="exact"/>
        <w:rPr>
          <w:sz w:val="20"/>
          <w:szCs w:val="20"/>
          <w:color w:val="auto"/>
        </w:rPr>
      </w:pPr>
    </w:p>
    <w:p>
      <w:pPr>
        <w:sectPr>
          <w:pgSz w:w="11900" w:h="16838" w:orient="portrait"/>
          <w:cols w:equalWidth="0" w:num="4">
            <w:col w:w="2840" w:space="720"/>
            <w:col w:w="1980" w:space="720"/>
            <w:col w:w="2300" w:space="720"/>
            <w:col w:w="1960"/>
          </w:cols>
          <w:pgMar w:left="320" w:top="459" w:right="339" w:bottom="1440" w:gutter="0" w:footer="0" w:header="0"/>
          <w:type w:val="continuous"/>
        </w:sectPr>
      </w:pPr>
    </w:p>
    <w:p>
      <w:pPr>
        <w:ind w:left="1060"/>
        <w:spacing w:after="0"/>
        <w:rPr>
          <w:sz w:val="20"/>
          <w:szCs w:val="20"/>
          <w:color w:val="auto"/>
        </w:rPr>
      </w:pPr>
      <w:r>
        <w:rPr>
          <w:rFonts w:ascii="Arial" w:cs="Arial" w:eastAsia="Arial" w:hAnsi="Arial"/>
          <w:sz w:val="12"/>
          <w:szCs w:val="12"/>
          <w:b w:val="1"/>
          <w:bCs w:val="1"/>
          <w:color w:val="auto"/>
        </w:rPr>
        <w:t>MUFG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Santander</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3"/>
          <w:szCs w:val="13"/>
          <w:b w:val="1"/>
          <w:bCs w:val="1"/>
          <w:color w:val="auto"/>
        </w:rPr>
        <w:t>SunTrust Robinson</w:t>
      </w:r>
    </w:p>
    <w:p>
      <w:pPr>
        <w:spacing w:after="0" w:line="15"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Humphrey</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Arial" w:cs="Arial" w:eastAsia="Arial" w:hAnsi="Arial"/>
          <w:sz w:val="13"/>
          <w:szCs w:val="13"/>
          <w:b w:val="1"/>
          <w:bCs w:val="1"/>
          <w:color w:val="auto"/>
        </w:rPr>
        <w:t>Wolfe Capital Markets</w:t>
      </w:r>
    </w:p>
    <w:p>
      <w:pPr>
        <w:spacing w:after="0" w:line="15" w:lineRule="exact"/>
        <w:rPr>
          <w:sz w:val="20"/>
          <w:szCs w:val="20"/>
          <w:color w:val="auto"/>
        </w:rPr>
      </w:pPr>
    </w:p>
    <w:p>
      <w:pPr>
        <w:jc w:val="center"/>
        <w:ind w:right="700"/>
        <w:spacing w:after="0"/>
        <w:rPr>
          <w:sz w:val="20"/>
          <w:szCs w:val="20"/>
          <w:color w:val="auto"/>
        </w:rPr>
      </w:pPr>
      <w:r>
        <w:rPr>
          <w:rFonts w:ascii="Arial" w:cs="Arial" w:eastAsia="Arial" w:hAnsi="Arial"/>
          <w:sz w:val="13"/>
          <w:szCs w:val="13"/>
          <w:b w:val="1"/>
          <w:bCs w:val="1"/>
          <w:color w:val="auto"/>
        </w:rPr>
        <w:t>and Advisory</w:t>
      </w:r>
    </w:p>
    <w:p>
      <w:pPr>
        <w:spacing w:after="0" w:line="13" w:lineRule="exact"/>
        <w:rPr>
          <w:sz w:val="20"/>
          <w:szCs w:val="20"/>
          <w:color w:val="auto"/>
        </w:rPr>
      </w:pPr>
    </w:p>
    <w:p>
      <w:pPr>
        <w:sectPr>
          <w:pgSz w:w="11900" w:h="16838" w:orient="portrait"/>
          <w:cols w:equalWidth="0" w:num="4">
            <w:col w:w="2960" w:space="720"/>
            <w:col w:w="1900" w:space="720"/>
            <w:col w:w="2120" w:space="720"/>
            <w:col w:w="2100"/>
          </w:cols>
          <w:pgMar w:left="320" w:top="459" w:right="339" w:bottom="1440" w:gutter="0" w:footer="0" w:header="0"/>
          <w:type w:val="continuous"/>
        </w:sectPr>
      </w:pPr>
    </w:p>
    <w:p>
      <w:pPr>
        <w:ind w:left="1180"/>
        <w:spacing w:after="0"/>
        <w:rPr>
          <w:sz w:val="20"/>
          <w:szCs w:val="20"/>
          <w:color w:val="auto"/>
        </w:rPr>
      </w:pPr>
      <w:r>
        <w:rPr>
          <w:rFonts w:ascii="Arial" w:cs="Arial" w:eastAsia="Arial" w:hAnsi="Arial"/>
          <w:sz w:val="13"/>
          <w:szCs w:val="13"/>
          <w:b w:val="1"/>
          <w:bCs w:val="1"/>
          <w:color w:val="auto"/>
        </w:rPr>
        <w:t>Loop Capital Markets</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3"/>
          <w:szCs w:val="13"/>
          <w:b w:val="1"/>
          <w:bCs w:val="1"/>
          <w:color w:val="auto"/>
        </w:rPr>
        <w:t>Ramirez &amp; 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Siebert Williams Shank</w:t>
      </w:r>
    </w:p>
    <w:p>
      <w:pPr>
        <w:spacing w:after="0" w:line="200" w:lineRule="exact"/>
        <w:rPr>
          <w:sz w:val="20"/>
          <w:szCs w:val="20"/>
          <w:color w:val="auto"/>
        </w:rPr>
      </w:pPr>
    </w:p>
    <w:p>
      <w:pPr>
        <w:sectPr>
          <w:pgSz w:w="11900" w:h="16838" w:orient="portrait"/>
          <w:cols w:equalWidth="0" w:num="3">
            <w:col w:w="4360" w:space="720"/>
            <w:col w:w="2900" w:space="720"/>
            <w:col w:w="25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313"/>
    </w:lvl>
  </w:abstractNum>
  <w:abstractNum w:abstractNumId="5">
    <w:nsid w:val="721DA317"/>
    <w:multiLevelType w:val="hybridMultilevel"/>
    <w:lvl w:ilvl="0">
      <w:lvlJc w:val="left"/>
      <w:lvlText w:val="(%1)"/>
      <w:numFmt w:val="lowerRoman"/>
      <w:start w:val="2"/>
    </w:lvl>
  </w:abstractNum>
  <w:abstractNum w:abstractNumId="6">
    <w:nsid w:val="2443A858"/>
    <w:multiLevelType w:val="hybridMultilevel"/>
    <w:lvl w:ilvl="0">
      <w:lvlJc w:val="left"/>
      <w:lvlText w:val="(%1)"/>
      <w:numFmt w:val="lowerRoman"/>
      <w:start w:val="2"/>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1)"/>
      <w:numFmt w:val="lowerRoman"/>
      <w:start w:val="1"/>
    </w:lvl>
  </w:abstractNum>
  <w:abstractNum w:abstractNumId="11">
    <w:nsid w:val="79838CB2"/>
    <w:multiLevelType w:val="hybridMultilevel"/>
    <w:lvl w:ilvl="0">
      <w:lvlJc w:val="left"/>
      <w:lvlText w:val="(%1)"/>
      <w:numFmt w:val="lowerRoman"/>
      <w:start w:val="2"/>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Roman"/>
      <w:start w:val="1"/>
    </w:lvl>
    <w:lvl w:ilvl="1">
      <w:lvlJc w:val="left"/>
      <w:lvlText w:val="•"/>
      <w:numFmt w:val="bullet"/>
      <w:start w:val="1"/>
    </w:lvl>
  </w:abstractNum>
  <w:abstractNum w:abstractNumId="23">
    <w:nsid w:val="7C3DBD3D"/>
    <w:multiLevelType w:val="hybridMultilevel"/>
    <w:lvl w:ilvl="0">
      <w:lvlJc w:val="left"/>
      <w:lvlText w:val="(%1)"/>
      <w:numFmt w:val="lowerRoman"/>
      <w:start w:val="2"/>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lowerRoman"/>
      <w:start w:val="1"/>
    </w:lvl>
    <w:lvl w:ilvl="1">
      <w:lvlJc w:val="left"/>
      <w:lvlText w:val="•"/>
      <w:numFmt w:val="bullet"/>
      <w:start w:val="1"/>
    </w:lvl>
  </w:abstractNum>
  <w:abstractNum w:abstractNumId="26">
    <w:nsid w:val="22221A70"/>
    <w:multiLevelType w:val="hybridMultilevel"/>
    <w:lvl w:ilvl="0">
      <w:lvlJc w:val="left"/>
      <w:lvlText w:val="(%1)"/>
      <w:numFmt w:val="lowerRoman"/>
      <w:start w:val="2"/>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1)"/>
      <w:numFmt w:val="lowerRoman"/>
      <w:start w:val="2"/>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1)"/>
      <w:numFmt w:val="lowerRoman"/>
      <w:start w:val="15"/>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jpe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jpe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49" Type="http://schemas.openxmlformats.org/officeDocument/2006/relationships/hyperlink" Target="http://www.sec.gov/ix?doc=/Archives/edgar/data/1467858/000146785820000028/gm201910k.htm" TargetMode="External"/><Relationship Id="rId50" Type="http://schemas.openxmlformats.org/officeDocument/2006/relationships/hyperlink" Target="http://www.sec.gov/Archives/edgar/data/1467858/000119312520120812/d752756ddef14a.htm" TargetMode="External"/><Relationship Id="rId51" Type="http://schemas.openxmlformats.org/officeDocument/2006/relationships/hyperlink" Target="http://www.sec.gov/ix?doc=/Archives/edgar/data/1467858/000146785820000069/gm2020q1.htm" TargetMode="External"/><Relationship Id="rId52" Type="http://schemas.openxmlformats.org/officeDocument/2006/relationships/hyperlink" Target="http://www.sec.gov/ix?doc=/Archives/edgar/data/1467858/000146785820000050/a8-k.htm" TargetMode="External"/><Relationship Id="rId53" Type="http://schemas.openxmlformats.org/officeDocument/2006/relationships/hyperlink" Target="http://www.sec.gov/ix?doc=/Archives/edgar/data/1467858/000146785820000055/gmfacilitiesdraw8-k.htm" TargetMode="External"/><Relationship Id="rId54" Type="http://schemas.openxmlformats.org/officeDocument/2006/relationships/hyperlink" Target="http://www.sec.gov/ix?doc=/Archives/edgar/data/1467858/000146785820000060/a8k.htm" TargetMode="External"/><Relationship Id="rId55" Type="http://schemas.openxmlformats.org/officeDocument/2006/relationships/hyperlink" Target="http://www.sec.gov/ix?doc=/Archives/edgar/data/1467858/000146785820000062/a8k.htm" TargetMode="External"/><Relationship Id="rId64" Type="http://schemas.openxmlformats.org/officeDocument/2006/relationships/hyperlink" Target="http://www.sec.gov/Archives/edgar/data/1467858/000146785820000028/ex-41x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2020-05-11T15:55:05Z</dcterms:created>
  <dcterms:modified xsi:type="dcterms:W3CDTF">2020-05-11T15:55:05Z</dcterms:modified>
</cp:coreProperties>
</file>