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22820" cy="5359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59400"/>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80" w:space="240"/>
            <w:col w:w="8900"/>
          </w:cols>
          <w:pgMar w:left="240" w:top="220"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color w:val="0000EE"/>
                </w:rPr>
                <w:t>RUSSO PATRICIA F</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General Motors Co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GM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40" w:type="dxa"/>
            <w:vAlign w:val="bottom"/>
            <w:gridSpan w:val="8"/>
            <w:vMerge w:val="continue"/>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0000FF"/>
              </w:rPr>
              <w:t>12/31/2015</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FF"/>
              </w:rPr>
              <w:t>M/C: 482-C25-A36</w:t>
            </w: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40" w:type="dxa"/>
            <w:vAlign w:val="bottom"/>
            <w:gridSpan w:val="9"/>
            <w:vMerge w:val="continue"/>
          </w:tcPr>
          <w:p>
            <w:pPr>
              <w:spacing w:after="0"/>
              <w:rPr>
                <w:sz w:val="6"/>
                <w:szCs w:val="6"/>
                <w:color w:val="auto"/>
              </w:rPr>
            </w:pPr>
          </w:p>
        </w:tc>
        <w:tc>
          <w:tcPr>
            <w:tcW w:w="260" w:type="dxa"/>
            <w:vAlign w:val="bottom"/>
          </w:tcPr>
          <w:p>
            <w:pPr>
              <w:spacing w:after="0"/>
              <w:rPr>
                <w:sz w:val="6"/>
                <w:szCs w:val="6"/>
                <w:color w:val="auto"/>
              </w:rPr>
            </w:pPr>
          </w:p>
        </w:tc>
        <w:tc>
          <w:tcPr>
            <w:tcW w:w="354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vMerge w:val="restart"/>
          </w:tcPr>
          <w:p>
            <w:pPr>
              <w:spacing w:after="0"/>
              <w:rPr>
                <w:sz w:val="6"/>
                <w:szCs w:val="6"/>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60" w:type="dxa"/>
            <w:vAlign w:val="bottom"/>
            <w:gridSpan w:val="9"/>
          </w:tcPr>
          <w:p>
            <w:pPr>
              <w:spacing w:after="0" w:line="201" w:lineRule="exact"/>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DETROIT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0000FF"/>
                <w:w w:val="90"/>
              </w:rPr>
              <w:t>MI</w:t>
            </w: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48265-3000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ind w:left="180"/>
              <w:spacing w:after="0" w:line="152"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9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380" w:type="dxa"/>
            <w:vAlign w:val="bottom"/>
            <w:tcBorders>
              <w:top w:val="single" w:sz="8" w:color="2C2C2C"/>
            </w:tcBorders>
          </w:tcPr>
          <w:p>
            <w:pPr>
              <w:spacing w:after="0"/>
              <w:rPr>
                <w:sz w:val="23"/>
                <w:szCs w:val="23"/>
                <w:color w:val="auto"/>
              </w:rPr>
            </w:pPr>
          </w:p>
        </w:tc>
        <w:tc>
          <w:tcPr>
            <w:tcW w:w="7060" w:type="dxa"/>
            <w:vAlign w:val="bottom"/>
            <w:tcBorders>
              <w:top w:val="single" w:sz="8" w:color="2C2C2C"/>
            </w:tcBorders>
            <w:gridSpan w:val="18"/>
          </w:tcPr>
          <w:p>
            <w:pPr>
              <w:ind w:left="38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vMerge w:val="continue"/>
          </w:tcPr>
          <w:p>
            <w:pPr>
              <w:spacing w:after="0"/>
              <w:rPr>
                <w:sz w:val="11"/>
                <w:szCs w:val="11"/>
                <w:color w:val="auto"/>
              </w:rPr>
            </w:pP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080" w:type="dxa"/>
            <w:vAlign w:val="bottom"/>
            <w:tcBorders>
              <w:bottom w:val="single" w:sz="8" w:color="2C2C2C"/>
            </w:tcBorders>
            <w:gridSpan w:val="5"/>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6"/>
          </w:tcPr>
          <w:p>
            <w:pPr>
              <w:spacing w:after="0"/>
              <w:rPr>
                <w:sz w:val="7"/>
                <w:szCs w:val="7"/>
                <w:color w:val="auto"/>
              </w:rPr>
            </w:pPr>
          </w:p>
        </w:tc>
        <w:tc>
          <w:tcPr>
            <w:tcW w:w="8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7060" w:type="dxa"/>
            <w:vAlign w:val="bottom"/>
            <w:tcBorders>
              <w:top w:val="single" w:sz="8" w:color="2C2C2C"/>
            </w:tcBorders>
            <w:gridSpan w:val="18"/>
          </w:tcPr>
          <w:p>
            <w:pPr>
              <w:ind w:left="60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2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gridSpan w:val="4"/>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continue"/>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9"/>
              </w:rPr>
              <w:t>$</w:t>
            </w:r>
            <w:r>
              <w:rPr>
                <w:rFonts w:ascii="Times New Roman" w:cs="Times New Roman" w:eastAsia="Times New Roman" w:hAnsi="Times New Roman"/>
                <w:sz w:val="13"/>
                <w:szCs w:val="13"/>
                <w:color w:val="0000FF"/>
                <w:w w:val="99"/>
              </w:rPr>
              <w:t>0.0</w:t>
            </w:r>
            <w:r>
              <w:rPr>
                <w:rFonts w:ascii="Times New Roman" w:cs="Times New Roman" w:eastAsia="Times New Roman" w:hAnsi="Times New Roman"/>
                <w:sz w:val="22"/>
                <w:szCs w:val="22"/>
                <w:color w:val="008000"/>
                <w:w w:val="99"/>
                <w:vertAlign w:val="superscript"/>
              </w:rPr>
              <w:t>(1)</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8"/>
                <w:szCs w:val="18"/>
                <w:color w:val="0000FF"/>
              </w:rPr>
              <w:t>3,643</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Times New Roman" w:cs="Times New Roman" w:eastAsia="Times New Roman" w:hAnsi="Times New Roman"/>
                <w:sz w:val="27"/>
                <w:szCs w:val="27"/>
                <w:color w:val="0000FF"/>
                <w:vertAlign w:val="subscript"/>
              </w:rPr>
              <w:t>0</w:t>
            </w:r>
            <w:r>
              <w:rPr>
                <w:rFonts w:ascii="Times New Roman" w:cs="Times New Roman" w:eastAsia="Times New Roman" w:hAnsi="Times New Roman"/>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8" w:lineRule="exact"/>
              <w:rPr>
                <w:sz w:val="20"/>
                <w:szCs w:val="20"/>
                <w:color w:val="auto"/>
              </w:rPr>
            </w:pPr>
            <w:r>
              <w:rPr>
                <w:rFonts w:ascii="Times New Roman" w:cs="Times New Roman" w:eastAsia="Times New Roman" w:hAnsi="Times New Roman"/>
                <w:sz w:val="14"/>
                <w:szCs w:val="14"/>
                <w:color w:val="0000FF"/>
              </w:rPr>
              <w:t>Share</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restart"/>
          </w:tcPr>
          <w:p>
            <w:pPr>
              <w:jc w:val="right"/>
              <w:ind w:right="112"/>
              <w:spacing w:after="0" w:line="148" w:lineRule="exact"/>
              <w:rPr>
                <w:sz w:val="20"/>
                <w:szCs w:val="20"/>
                <w:color w:val="auto"/>
              </w:rPr>
            </w:pPr>
            <w:r>
              <w:rPr>
                <w:rFonts w:ascii="Times New Roman" w:cs="Times New Roman" w:eastAsia="Times New Roman" w:hAnsi="Times New Roman"/>
                <w:sz w:val="14"/>
                <w:szCs w:val="14"/>
                <w:color w:val="0000FF"/>
              </w:rPr>
              <w:t>12/31/2015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8" w:lineRule="exact"/>
              <w:rPr>
                <w:sz w:val="20"/>
                <w:szCs w:val="20"/>
                <w:color w:val="auto"/>
              </w:rPr>
            </w:pPr>
            <w:r>
              <w:rPr>
                <w:rFonts w:ascii="Times New Roman" w:cs="Times New Roman" w:eastAsia="Times New Roman" w:hAnsi="Times New Roman"/>
                <w:sz w:val="14"/>
                <w:szCs w:val="14"/>
                <w:color w:val="0000FF"/>
              </w:rPr>
              <w:t>A</w:t>
            </w:r>
          </w:p>
        </w:tc>
        <w:tc>
          <w:tcPr>
            <w:tcW w:w="600" w:type="dxa"/>
            <w:vAlign w:val="bottom"/>
            <w:vMerge w:val="restart"/>
          </w:tcPr>
          <w:p>
            <w:pPr>
              <w:jc w:val="right"/>
              <w:ind w:right="38"/>
              <w:spacing w:after="0" w:line="148" w:lineRule="exact"/>
              <w:rPr>
                <w:sz w:val="20"/>
                <w:szCs w:val="20"/>
                <w:color w:val="auto"/>
              </w:rPr>
            </w:pPr>
            <w:r>
              <w:rPr>
                <w:rFonts w:ascii="Times New Roman" w:cs="Times New Roman" w:eastAsia="Times New Roman" w:hAnsi="Times New Roman"/>
                <w:sz w:val="14"/>
                <w:szCs w:val="14"/>
                <w:color w:val="0000FF"/>
              </w:rPr>
              <w:t>3,643</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ind w:left="220"/>
              <w:spacing w:after="0" w:line="148" w:lineRule="exact"/>
              <w:rPr>
                <w:sz w:val="20"/>
                <w:szCs w:val="20"/>
                <w:color w:val="auto"/>
              </w:rPr>
            </w:pPr>
            <w:r>
              <w:rPr>
                <w:rFonts w:ascii="Times New Roman" w:cs="Times New Roman" w:eastAsia="Times New Roman" w:hAnsi="Times New Roman"/>
                <w:sz w:val="14"/>
                <w:szCs w:val="14"/>
                <w:color w:val="0000FF"/>
                <w:w w:val="98"/>
              </w:rPr>
              <w:t>17,766</w:t>
            </w:r>
          </w:p>
        </w:tc>
        <w:tc>
          <w:tcPr>
            <w:tcW w:w="280" w:type="dxa"/>
            <w:vAlign w:val="bottom"/>
          </w:tcPr>
          <w:p>
            <w:pPr>
              <w:spacing w:after="0"/>
              <w:rPr>
                <w:sz w:val="7"/>
                <w:szCs w:val="7"/>
                <w:color w:val="auto"/>
              </w:rPr>
            </w:pPr>
          </w:p>
        </w:tc>
        <w:tc>
          <w:tcPr>
            <w:tcW w:w="700" w:type="dxa"/>
            <w:vAlign w:val="bottom"/>
            <w:vMerge w:val="restart"/>
          </w:tcPr>
          <w:p>
            <w:pPr>
              <w:ind w:left="340"/>
              <w:spacing w:after="0" w:line="148" w:lineRule="exact"/>
              <w:rPr>
                <w:sz w:val="20"/>
                <w:szCs w:val="20"/>
                <w:color w:val="auto"/>
              </w:rPr>
            </w:pPr>
            <w:r>
              <w:rPr>
                <w:rFonts w:ascii="Times New Roman" w:cs="Times New Roman" w:eastAsia="Times New Roman" w:hAnsi="Times New Roman"/>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Times New Roman" w:cs="Times New Roman" w:eastAsia="Times New Roman" w:hAnsi="Times New Roman"/>
                <w:sz w:val="14"/>
                <w:szCs w:val="14"/>
                <w:color w:val="0000FF"/>
              </w:rPr>
              <w:t>Units</w:t>
            </w:r>
            <w:r>
              <w:rPr>
                <w:rFonts w:ascii="Times New Roman" w:cs="Times New Roman" w:eastAsia="Times New Roman" w:hAnsi="Times New Roman"/>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9"/>
              </w:rPr>
              <w:t>$</w:t>
            </w:r>
            <w:r>
              <w:rPr>
                <w:rFonts w:ascii="Times New Roman" w:cs="Times New Roman" w:eastAsia="Times New Roman" w:hAnsi="Times New Roman"/>
                <w:sz w:val="13"/>
                <w:szCs w:val="13"/>
                <w:color w:val="0000FF"/>
                <w:w w:val="99"/>
              </w:rPr>
              <w:t>0.0</w:t>
            </w:r>
            <w:r>
              <w:rPr>
                <w:rFonts w:ascii="Times New Roman" w:cs="Times New Roman" w:eastAsia="Times New Roman" w:hAnsi="Times New Roman"/>
                <w:sz w:val="22"/>
                <w:szCs w:val="22"/>
                <w:color w:val="008000"/>
                <w:w w:val="99"/>
                <w:vertAlign w:val="superscript"/>
              </w:rPr>
              <w:t>(2)</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Common</w:t>
            </w:r>
          </w:p>
        </w:tc>
        <w:tc>
          <w:tcPr>
            <w:tcW w:w="54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8"/>
                <w:szCs w:val="18"/>
                <w:color w:val="0000FF"/>
              </w:rPr>
              <w:t>683</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Times New Roman" w:cs="Times New Roman" w:eastAsia="Times New Roman" w:hAnsi="Times New Roman"/>
                <w:sz w:val="27"/>
                <w:szCs w:val="27"/>
                <w:color w:val="0000FF"/>
                <w:vertAlign w:val="subscript"/>
              </w:rPr>
              <w:t>0</w:t>
            </w:r>
            <w:r>
              <w:rPr>
                <w:rFonts w:ascii="Times New Roman" w:cs="Times New Roman" w:eastAsia="Times New Roman" w:hAnsi="Times New Roman"/>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8" w:lineRule="exact"/>
              <w:rPr>
                <w:sz w:val="20"/>
                <w:szCs w:val="20"/>
                <w:color w:val="auto"/>
              </w:rPr>
            </w:pPr>
            <w:r>
              <w:rPr>
                <w:rFonts w:ascii="Times New Roman" w:cs="Times New Roman" w:eastAsia="Times New Roman" w:hAnsi="Times New Roman"/>
                <w:sz w:val="14"/>
                <w:szCs w:val="14"/>
                <w:color w:val="0000FF"/>
              </w:rPr>
              <w:t>Share</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restart"/>
          </w:tcPr>
          <w:p>
            <w:pPr>
              <w:jc w:val="right"/>
              <w:ind w:right="112"/>
              <w:spacing w:after="0" w:line="148" w:lineRule="exact"/>
              <w:rPr>
                <w:sz w:val="20"/>
                <w:szCs w:val="20"/>
                <w:color w:val="auto"/>
              </w:rPr>
            </w:pPr>
            <w:r>
              <w:rPr>
                <w:rFonts w:ascii="Times New Roman" w:cs="Times New Roman" w:eastAsia="Times New Roman" w:hAnsi="Times New Roman"/>
                <w:sz w:val="14"/>
                <w:szCs w:val="14"/>
                <w:color w:val="0000FF"/>
              </w:rPr>
              <w:t>12/31/2015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8" w:lineRule="exact"/>
              <w:rPr>
                <w:sz w:val="20"/>
                <w:szCs w:val="20"/>
                <w:color w:val="auto"/>
              </w:rPr>
            </w:pPr>
            <w:r>
              <w:rPr>
                <w:rFonts w:ascii="Times New Roman" w:cs="Times New Roman" w:eastAsia="Times New Roman" w:hAnsi="Times New Roman"/>
                <w:sz w:val="14"/>
                <w:szCs w:val="14"/>
                <w:color w:val="0000FF"/>
              </w:rPr>
              <w:t>A</w:t>
            </w:r>
          </w:p>
        </w:tc>
        <w:tc>
          <w:tcPr>
            <w:tcW w:w="600" w:type="dxa"/>
            <w:vAlign w:val="bottom"/>
            <w:vMerge w:val="restart"/>
          </w:tcPr>
          <w:p>
            <w:pPr>
              <w:jc w:val="right"/>
              <w:ind w:right="98"/>
              <w:spacing w:after="0" w:line="148" w:lineRule="exact"/>
              <w:rPr>
                <w:sz w:val="20"/>
                <w:szCs w:val="20"/>
                <w:color w:val="auto"/>
              </w:rPr>
            </w:pPr>
            <w:r>
              <w:rPr>
                <w:rFonts w:ascii="Times New Roman" w:cs="Times New Roman" w:eastAsia="Times New Roman" w:hAnsi="Times New Roman"/>
                <w:sz w:val="14"/>
                <w:szCs w:val="14"/>
                <w:color w:val="0000FF"/>
              </w:rPr>
              <w:t>683</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ind w:left="220"/>
              <w:spacing w:after="0" w:line="148" w:lineRule="exact"/>
              <w:rPr>
                <w:sz w:val="20"/>
                <w:szCs w:val="20"/>
                <w:color w:val="auto"/>
              </w:rPr>
            </w:pPr>
            <w:r>
              <w:rPr>
                <w:rFonts w:ascii="Times New Roman" w:cs="Times New Roman" w:eastAsia="Times New Roman" w:hAnsi="Times New Roman"/>
                <w:sz w:val="14"/>
                <w:szCs w:val="14"/>
                <w:color w:val="0000FF"/>
                <w:w w:val="98"/>
              </w:rPr>
              <w:t>18,449</w:t>
            </w:r>
          </w:p>
        </w:tc>
        <w:tc>
          <w:tcPr>
            <w:tcW w:w="280" w:type="dxa"/>
            <w:vAlign w:val="bottom"/>
          </w:tcPr>
          <w:p>
            <w:pPr>
              <w:spacing w:after="0"/>
              <w:rPr>
                <w:sz w:val="7"/>
                <w:szCs w:val="7"/>
                <w:color w:val="auto"/>
              </w:rPr>
            </w:pPr>
          </w:p>
        </w:tc>
        <w:tc>
          <w:tcPr>
            <w:tcW w:w="700" w:type="dxa"/>
            <w:vAlign w:val="bottom"/>
            <w:vMerge w:val="restart"/>
          </w:tcPr>
          <w:p>
            <w:pPr>
              <w:ind w:left="340"/>
              <w:spacing w:after="0" w:line="148" w:lineRule="exact"/>
              <w:rPr>
                <w:sz w:val="20"/>
                <w:szCs w:val="20"/>
                <w:color w:val="auto"/>
              </w:rPr>
            </w:pPr>
            <w:r>
              <w:rPr>
                <w:rFonts w:ascii="Times New Roman" w:cs="Times New Roman" w:eastAsia="Times New Roman" w:hAnsi="Times New Roman"/>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0000FF"/>
              </w:rPr>
              <w:t>Units</w:t>
            </w:r>
            <w:r>
              <w:rPr>
                <w:rFonts w:ascii="Times New Roman" w:cs="Times New Roman" w:eastAsia="Times New Roman" w:hAnsi="Times New Roman"/>
                <w:sz w:val="22"/>
                <w:szCs w:val="22"/>
                <w:color w:val="008000"/>
                <w:vertAlign w:val="superscript"/>
              </w:rPr>
              <w:t>(2)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3" w:lineRule="exact"/>
        <w:rPr>
          <w:sz w:val="20"/>
          <w:szCs w:val="20"/>
          <w:color w:val="auto"/>
        </w:rPr>
      </w:pPr>
    </w:p>
    <w:p>
      <w:pPr>
        <w:ind w:left="40" w:right="160" w:firstLine="9"/>
        <w:spacing w:after="0" w:line="23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Deferred share units of the Company's Common Stock ("DSUs") were awarded on December 31, 2015 pursuant to the General Motors Company Deferred Compensation Plan (the "Plan") for Non-Employee Directors. Each non-employee director is required to defer one-half of the $250,000 annual retainer fee for service on the Board of Directors into DSUs and may elect to defer more. The retainer fee is converted to DSUs based on the average closing price of the Common Stock for the previous calendar year, which was $34.32. Amounts credited as DSUs will be paid in cash after the director leaves the Board, valued at the average daily closing price of the Common Stock for the quarter immediately preceding payment.</w:t>
      </w:r>
    </w:p>
    <w:p>
      <w:pPr>
        <w:spacing w:after="0" w:line="28"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Pursuant to the Plan, dividends on the DSUs are credited in DSUs at the end of year.</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20"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0000FF"/>
                <w:w w:val="97"/>
              </w:rPr>
              <w:t>/s/ Robert C. Shrosbree,</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w w:val="95"/>
              </w:rPr>
              <w:t>01/05/2016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24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7"/>
              </w:rPr>
              <w:t>Attorney-In-Fact for Ms. Russo</w:t>
            </w:r>
          </w:p>
        </w:tc>
        <w:tc>
          <w:tcPr>
            <w:tcW w:w="6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240" w:type="dxa"/>
            <w:vAlign w:val="bottom"/>
            <w:tcBorders>
              <w:bottom w:val="single" w:sz="8" w:color="auto"/>
            </w:tcBorders>
            <w:gridSpan w:val="2"/>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24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3"/>
          </w:tcPr>
          <w:p>
            <w:pPr>
              <w:ind w:left="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2321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2019-12-24T07:24:49Z</dcterms:created>
  <dcterms:modified xsi:type="dcterms:W3CDTF">2019-12-24T07:24:49Z</dcterms:modified>
</cp:coreProperties>
</file>