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DeLuca James B.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7,436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11,275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2,440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37.28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8,835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7,436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7,436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3,717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March 1, 2013 pursuant to the Company's 2009 Long-Term Incentive Plan (the 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4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RSUs were awarded on March 1, 2013, pursuant to the GMLTIP. Two-thirds of the RSUs will vest on March 1, 2015, and the remaining one-third will vest on March 1, 2016, provided that the reporting person remains continuously employed through the vesting date. Each RSU represents a right to receive one share of the Company's common stock upon settlement. RSUs will be settled when they vest, provided that all other conditions under the GMLTP has been satisified.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DeLuca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24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856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2019-12-08T21:56:01Z</dcterms:created>
  <dcterms:modified xsi:type="dcterms:W3CDTF">2019-12-08T21:56:01Z</dcterms:modified>
</cp:coreProperties>
</file>