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0"/>
          <w:szCs w:val="10"/>
          <w:b w:val="1"/>
          <w:bCs w:val="1"/>
          <w:color w:val="auto"/>
        </w:rPr>
        <w:t>UNITED STATES</w:t>
      </w:r>
    </w:p>
    <w:p>
      <w:pPr>
        <w:jc w:val="center"/>
        <w:ind w:right="-319"/>
        <w:spacing w:after="0" w:line="237" w:lineRule="auto"/>
        <w:rPr>
          <w:sz w:val="20"/>
          <w:szCs w:val="20"/>
          <w:color w:val="auto"/>
        </w:rPr>
      </w:pPr>
      <w:r>
        <w:rPr>
          <w:rFonts w:ascii="Arial" w:cs="Arial" w:eastAsia="Arial" w:hAnsi="Arial"/>
          <w:sz w:val="10"/>
          <w:szCs w:val="10"/>
          <w:b w:val="1"/>
          <w:bCs w:val="1"/>
          <w:color w:val="auto"/>
        </w:rPr>
        <w:t>SECURITIES AND EXCHANGE COMMISSION</w:t>
      </w:r>
    </w:p>
    <w:p>
      <w:pPr>
        <w:jc w:val="center"/>
        <w:ind w:right="-319"/>
        <w:spacing w:after="0"/>
        <w:rPr>
          <w:sz w:val="20"/>
          <w:szCs w:val="20"/>
          <w:color w:val="auto"/>
        </w:rPr>
      </w:pPr>
      <w:r>
        <w:rPr>
          <w:rFonts w:ascii="Arial" w:cs="Arial" w:eastAsia="Arial" w:hAnsi="Arial"/>
          <w:sz w:val="10"/>
          <w:szCs w:val="10"/>
          <w:color w:val="auto"/>
        </w:rPr>
        <w:t>Washington, D.C. 20549</w:t>
      </w:r>
    </w:p>
    <w:p>
      <w:pPr>
        <w:spacing w:after="0" w:line="116"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SCHEDULE 14A</w:t>
      </w:r>
    </w:p>
    <w:p>
      <w:pPr>
        <w:spacing w:after="0" w:line="162" w:lineRule="exact"/>
        <w:rPr>
          <w:sz w:val="24"/>
          <w:szCs w:val="24"/>
          <w:color w:val="auto"/>
        </w:rPr>
      </w:pPr>
    </w:p>
    <w:p>
      <w:pPr>
        <w:jc w:val="center"/>
        <w:ind w:right="-319"/>
        <w:spacing w:after="0"/>
        <w:rPr>
          <w:sz w:val="20"/>
          <w:szCs w:val="20"/>
          <w:color w:val="auto"/>
        </w:rPr>
      </w:pPr>
      <w:r>
        <w:rPr>
          <w:rFonts w:ascii="Arial" w:cs="Arial" w:eastAsia="Arial" w:hAnsi="Arial"/>
          <w:sz w:val="10"/>
          <w:szCs w:val="10"/>
          <w:b w:val="1"/>
          <w:bCs w:val="1"/>
          <w:color w:val="auto"/>
        </w:rPr>
        <w:t>Proxy Statement Pursuant to Section 14(a) of the Securities</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0"/>
          <w:szCs w:val="10"/>
          <w:b w:val="1"/>
          <w:bCs w:val="1"/>
          <w:color w:val="auto"/>
        </w:rPr>
        <w:t>Exchange Act of 1934</w:t>
      </w:r>
    </w:p>
    <w:p>
      <w:pPr>
        <w:spacing w:after="0" w:line="112" w:lineRule="exact"/>
        <w:rPr>
          <w:sz w:val="24"/>
          <w:szCs w:val="24"/>
          <w:color w:val="auto"/>
        </w:rPr>
      </w:pPr>
    </w:p>
    <w:p>
      <w:pPr>
        <w:ind w:left="3340"/>
        <w:spacing w:after="0" w:line="104" w:lineRule="exact"/>
        <w:tabs>
          <w:tab w:leader="none" w:pos="6060" w:val="left"/>
        </w:tabs>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Filed by the Registrant</w:t>
      </w:r>
      <w:r>
        <w:rPr>
          <w:sz w:val="20"/>
          <w:szCs w:val="20"/>
          <w:color w:val="auto"/>
        </w:rPr>
        <w:tab/>
      </w:r>
      <w:r>
        <w:rPr>
          <w:rFonts w:ascii="MS PGothic" w:cs="MS PGothic" w:eastAsia="MS PGothic" w:hAnsi="MS PGothic"/>
          <w:sz w:val="9"/>
          <w:szCs w:val="9"/>
          <w:color w:val="auto"/>
        </w:rPr>
        <w:t xml:space="preserve">☐ </w:t>
      </w:r>
      <w:r>
        <w:rPr>
          <w:rFonts w:ascii="Arial" w:cs="Arial" w:eastAsia="Arial" w:hAnsi="Arial"/>
          <w:sz w:val="9"/>
          <w:szCs w:val="9"/>
          <w:color w:val="auto"/>
        </w:rPr>
        <w:t>Filed by a Party other than the Registrant</w:t>
      </w:r>
    </w:p>
    <w:p>
      <w:pPr>
        <w:spacing w:after="0" w:line="1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-83185</wp:posOffset>
            </wp:positionV>
            <wp:extent cx="7298055" cy="584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055" cy="584835"/>
                    </a:xfrm>
                    <a:prstGeom prst="rect">
                      <a:avLst/>
                    </a:prstGeom>
                    <a:noFill/>
                  </pic:spPr>
                </pic:pic>
              </a:graphicData>
            </a:graphic>
          </wp:anchor>
        </w:drawing>
      </w:r>
    </w:p>
    <w:p>
      <w:pPr>
        <w:spacing w:after="0" w:line="31" w:lineRule="exact"/>
        <w:rPr>
          <w:sz w:val="24"/>
          <w:szCs w:val="24"/>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Preliminary Proxy Statement</w:t>
      </w:r>
    </w:p>
    <w:p>
      <w:pPr>
        <w:spacing w:after="0" w:line="29" w:lineRule="exact"/>
        <w:rPr>
          <w:rFonts w:ascii="MS PGothic" w:cs="MS PGothic" w:eastAsia="MS PGothic" w:hAnsi="MS PGothic"/>
          <w:sz w:val="12"/>
          <w:szCs w:val="12"/>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CONFIDENTIAL, FOR USE OF THE COMMISSION ONLY (AS PERMITTED BY RULE 14a-6(e)(2))</w:t>
      </w:r>
    </w:p>
    <w:p>
      <w:pPr>
        <w:spacing w:after="0" w:line="24" w:lineRule="exact"/>
        <w:rPr>
          <w:rFonts w:ascii="MS PGothic" w:cs="MS PGothic" w:eastAsia="MS PGothic" w:hAnsi="MS PGothic"/>
          <w:sz w:val="12"/>
          <w:szCs w:val="12"/>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Definitive Proxy Statement</w:t>
      </w:r>
    </w:p>
    <w:p>
      <w:pPr>
        <w:spacing w:after="0" w:line="29" w:lineRule="exact"/>
        <w:rPr>
          <w:sz w:val="24"/>
          <w:szCs w:val="24"/>
          <w:color w:val="auto"/>
        </w:rPr>
      </w:pPr>
    </w:p>
    <w:p>
      <w:pPr>
        <w:ind w:left="340" w:hanging="316"/>
        <w:spacing w:after="0"/>
        <w:tabs>
          <w:tab w:leader="none" w:pos="340" w:val="left"/>
        </w:tabs>
        <w:numPr>
          <w:ilvl w:val="0"/>
          <w:numId w:val="2"/>
        </w:numPr>
        <w:rPr>
          <w:rFonts w:ascii="MS PGothic" w:cs="MS PGothic" w:eastAsia="MS PGothic" w:hAnsi="MS PGothic"/>
          <w:sz w:val="12"/>
          <w:szCs w:val="12"/>
          <w:color w:val="auto"/>
        </w:rPr>
      </w:pPr>
      <w:r>
        <w:rPr>
          <w:rFonts w:ascii="Arial" w:cs="Arial" w:eastAsia="Arial" w:hAnsi="Arial"/>
          <w:sz w:val="10"/>
          <w:szCs w:val="10"/>
          <w:color w:val="auto"/>
        </w:rPr>
        <w:t>Definitive Additional Materials</w:t>
      </w:r>
    </w:p>
    <w:p>
      <w:pPr>
        <w:spacing w:after="0" w:line="33" w:lineRule="exact"/>
        <w:rPr>
          <w:sz w:val="24"/>
          <w:szCs w:val="24"/>
          <w:color w:val="auto"/>
        </w:rPr>
      </w:pPr>
    </w:p>
    <w:p>
      <w:pPr>
        <w:ind w:left="340" w:hanging="316"/>
        <w:spacing w:after="0"/>
        <w:tabs>
          <w:tab w:leader="none" w:pos="340" w:val="left"/>
        </w:tabs>
        <w:numPr>
          <w:ilvl w:val="0"/>
          <w:numId w:val="3"/>
        </w:numPr>
        <w:rPr>
          <w:rFonts w:ascii="MS PGothic" w:cs="MS PGothic" w:eastAsia="MS PGothic" w:hAnsi="MS PGothic"/>
          <w:sz w:val="12"/>
          <w:szCs w:val="12"/>
          <w:color w:val="auto"/>
        </w:rPr>
      </w:pPr>
      <w:r>
        <w:rPr>
          <w:rFonts w:ascii="Arial" w:cs="Arial" w:eastAsia="Arial" w:hAnsi="Arial"/>
          <w:sz w:val="10"/>
          <w:szCs w:val="10"/>
          <w:color w:val="auto"/>
        </w:rPr>
        <w:t>Soliciting Material Pursuant to ss.240.14a-12</w:t>
      </w:r>
    </w:p>
    <w:p>
      <w:pPr>
        <w:spacing w:after="0" w:line="122"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0033A0"/>
        </w:rPr>
        <w:t>GENERAL MOTORS COMPANY</w:t>
      </w:r>
    </w:p>
    <w:p>
      <w:pPr>
        <w:spacing w:after="0" w:line="173" w:lineRule="exact"/>
        <w:rPr>
          <w:sz w:val="24"/>
          <w:szCs w:val="24"/>
          <w:color w:val="auto"/>
        </w:rPr>
      </w:pPr>
    </w:p>
    <w:p>
      <w:pPr>
        <w:jc w:val="center"/>
        <w:ind w:right="-319"/>
        <w:spacing w:after="0"/>
        <w:rPr>
          <w:sz w:val="20"/>
          <w:szCs w:val="20"/>
          <w:color w:val="auto"/>
        </w:rPr>
      </w:pPr>
      <w:r>
        <w:rPr>
          <w:rFonts w:ascii="Arial" w:cs="Arial" w:eastAsia="Arial" w:hAnsi="Arial"/>
          <w:sz w:val="10"/>
          <w:szCs w:val="10"/>
          <w:i w:val="1"/>
          <w:iCs w:val="1"/>
          <w:color w:val="auto"/>
        </w:rPr>
        <w:t>(Name of Registrant as Specified In Its Charter)</w:t>
      </w:r>
    </w:p>
    <w:p>
      <w:pPr>
        <w:spacing w:after="0" w:line="3" w:lineRule="exact"/>
        <w:rPr>
          <w:sz w:val="24"/>
          <w:szCs w:val="24"/>
          <w:color w:val="auto"/>
        </w:rPr>
      </w:pPr>
    </w:p>
    <w:p>
      <w:pPr>
        <w:jc w:val="center"/>
        <w:ind w:right="-319"/>
        <w:spacing w:after="0"/>
        <w:rPr>
          <w:sz w:val="20"/>
          <w:szCs w:val="20"/>
          <w:color w:val="auto"/>
        </w:rPr>
      </w:pPr>
      <w:r>
        <w:rPr>
          <w:rFonts w:ascii="Arial" w:cs="Arial" w:eastAsia="Arial" w:hAnsi="Arial"/>
          <w:sz w:val="10"/>
          <w:szCs w:val="10"/>
          <w:i w:val="1"/>
          <w:iCs w:val="1"/>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-83185</wp:posOffset>
            </wp:positionV>
            <wp:extent cx="7298055" cy="1243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1243965"/>
                    </a:xfrm>
                    <a:prstGeom prst="rect">
                      <a:avLst/>
                    </a:prstGeom>
                    <a:noFill/>
                  </pic:spPr>
                </pic:pic>
              </a:graphicData>
            </a:graphic>
          </wp:anchor>
        </w:drawing>
      </w:r>
    </w:p>
    <w:p>
      <w:pPr>
        <w:spacing w:after="0" w:line="1" w:lineRule="exact"/>
        <w:rPr>
          <w:sz w:val="24"/>
          <w:szCs w:val="24"/>
          <w:color w:val="auto"/>
        </w:rPr>
      </w:pPr>
    </w:p>
    <w:p>
      <w:pPr>
        <w:ind w:left="240" w:hanging="229"/>
        <w:spacing w:after="0"/>
        <w:tabs>
          <w:tab w:leader="none" w:pos="240" w:val="left"/>
        </w:tabs>
        <w:numPr>
          <w:ilvl w:val="0"/>
          <w:numId w:val="4"/>
        </w:numPr>
        <w:rPr>
          <w:rFonts w:ascii="MS PGothic" w:cs="MS PGothic" w:eastAsia="MS PGothic" w:hAnsi="MS PGothic"/>
          <w:sz w:val="10"/>
          <w:szCs w:val="10"/>
          <w:color w:val="auto"/>
        </w:rPr>
      </w:pPr>
      <w:r>
        <w:rPr>
          <w:rFonts w:ascii="Arial" w:cs="Arial" w:eastAsia="Arial" w:hAnsi="Arial"/>
          <w:sz w:val="10"/>
          <w:szCs w:val="10"/>
          <w:b w:val="1"/>
          <w:bCs w:val="1"/>
          <w:color w:val="auto"/>
        </w:rPr>
        <w:t>No fee required.</w:t>
      </w:r>
    </w:p>
    <w:p>
      <w:pPr>
        <w:spacing w:after="0" w:line="12" w:lineRule="exact"/>
        <w:rPr>
          <w:sz w:val="24"/>
          <w:szCs w:val="24"/>
          <w:color w:val="auto"/>
        </w:rPr>
      </w:pPr>
    </w:p>
    <w:p>
      <w:pPr>
        <w:ind w:left="240" w:hanging="229"/>
        <w:spacing w:after="0"/>
        <w:tabs>
          <w:tab w:leader="none" w:pos="24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Fee computed on table below per Exchange Act Rules 14a-6(i)(4) and 0-11.</w:t>
      </w:r>
    </w:p>
    <w:p>
      <w:pPr>
        <w:spacing w:after="0" w:line="13" w:lineRule="exact"/>
        <w:rPr>
          <w:rFonts w:ascii="MS PGothic" w:cs="MS PGothic" w:eastAsia="MS PGothic" w:hAnsi="MS PGothic"/>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Title of each class of securities to which transaction applies:</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Aggregate number of securities to which transaction applies:</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Proposed maximum aggregate value of transaction:</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Total fee paid:</w:t>
      </w:r>
    </w:p>
    <w:p>
      <w:pPr>
        <w:spacing w:after="0" w:line="8" w:lineRule="exact"/>
        <w:rPr>
          <w:rFonts w:ascii="Arial" w:cs="Arial" w:eastAsia="Arial" w:hAnsi="Arial"/>
          <w:sz w:val="10"/>
          <w:szCs w:val="10"/>
          <w:color w:val="auto"/>
        </w:rPr>
      </w:pPr>
    </w:p>
    <w:p>
      <w:pPr>
        <w:ind w:left="240" w:hanging="229"/>
        <w:spacing w:after="0"/>
        <w:tabs>
          <w:tab w:leader="none" w:pos="24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Fee paid previously with preliminary materials.</w:t>
      </w:r>
    </w:p>
    <w:p>
      <w:pPr>
        <w:spacing w:after="0" w:line="13" w:lineRule="exact"/>
        <w:rPr>
          <w:rFonts w:ascii="MS PGothic" w:cs="MS PGothic" w:eastAsia="MS PGothic" w:hAnsi="MS PGothic"/>
          <w:sz w:val="10"/>
          <w:szCs w:val="10"/>
          <w:color w:val="auto"/>
        </w:rPr>
      </w:pPr>
    </w:p>
    <w:p>
      <w:pPr>
        <w:ind w:left="220" w:hanging="209"/>
        <w:spacing w:after="0" w:line="234" w:lineRule="auto"/>
        <w:tabs>
          <w:tab w:leader="none" w:pos="22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Amount Previously Paid:</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Form, Schedule or Registration Statement No.:</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Filing Party:</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Date Filed:</w:t>
      </w:r>
    </w:p>
    <w:p>
      <w:pPr>
        <w:sectPr>
          <w:pgSz w:w="11900" w:h="16838" w:orient="portrait"/>
          <w:cols w:equalWidth="0" w:num="1">
            <w:col w:w="10860"/>
          </w:cols>
          <w:pgMar w:left="360" w:top="203" w:right="679" w:bottom="1440" w:gutter="0" w:footer="0" w:header="0"/>
        </w:sectPr>
      </w:pPr>
    </w:p>
    <w:bookmarkStart w:id="1" w:name="page2"/>
    <w:bookmarkEnd w:id="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2019-12-07T11:36:46Z</dcterms:created>
  <dcterms:modified xsi:type="dcterms:W3CDTF">2019-12-07T11:36:46Z</dcterms:modified>
</cp:coreProperties>
</file>