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1200"/>
        <w:spacing w:after="0"/>
        <w:rPr>
          <w:sz w:val="20"/>
          <w:szCs w:val="20"/>
          <w:color w:val="auto"/>
        </w:rPr>
      </w:pPr>
      <w:r>
        <w:rPr>
          <w:rFonts w:ascii="Arial" w:cs="Arial" w:eastAsia="Arial" w:hAnsi="Arial"/>
          <w:sz w:val="40"/>
          <w:szCs w:val="40"/>
          <w:b w:val="1"/>
          <w:bCs w:val="1"/>
          <w:color w:val="auto"/>
        </w:rPr>
        <w:t>GENERAL MOTORS COMPANY</w:t>
      </w:r>
    </w:p>
    <w:p>
      <w:pPr>
        <w:spacing w:after="0" w:line="35"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(Name of the Registrant as Specified in its Charter)</w:t>
      </w:r>
    </w:p>
    <w:p>
      <w:pPr>
        <w:spacing w:after="0" w:line="31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APPALOOSA MANAGEMENT L.P.</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APPALOOSA INVESTMENT LIMITED PARTNERSHIP I</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PALOMINO FUND LTD.</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THOROUGHBRED FUND 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THOROUGHBRED MASTER LTD.</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APPALOOSA PARTNERS INC.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DAVID A. TEPPER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MAEVA CAPITAL PARTNERS LLC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HARRY J. WILSON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HAYMAN CAPITAL MASTER FUND, 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HAYMAN DIALOGO LLC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HAYMAN CAPITAL MANAGEMENT, 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HAYMAN INVESTMENTS, L.L.C.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J. KYLE BASS</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HG VORA SPECIAL OPPORTUNITIES MASTER FUND, LTD.</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HG VORA CAPITAL MANAGEMENT, LLC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PARAG VORA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TACONIC MASTER FUND 1.5 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TACONIC OPPORTUNITY MASTER FUND 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TACONIC CAPITAL PARTNERS LLC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TACONIC ASSOCIATES LLC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TACONIC CAPITAL ADVISORS 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TACONIC CAPITAL ADVISORS UK LLP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TACONIC CAPITAL ADVISORS (HONG KONG) LIMITED</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FRANK P. BROSENS</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TACONIC OVERDRIVE FUND 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ENTRUST PARTNERS LLC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ENTRUST PARTNERS OFFSHORE LP</w:t>
      </w:r>
    </w:p>
    <w:p>
      <w:pPr>
        <w:spacing w:after="0" w:line="2" w:lineRule="exact"/>
        <w:rPr>
          <w:sz w:val="24"/>
          <w:szCs w:val="24"/>
          <w:color w:val="auto"/>
        </w:rPr>
      </w:pPr>
    </w:p>
    <w:p>
      <w:pPr>
        <w:ind w:left="34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306705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0219"/>
          </w:cols>
          <w:pgMar w:left="240" w:top="517" w:right="1440" w:bottom="194" w:gutter="0" w:footer="0" w:header="0"/>
        </w:sectPr>
      </w:pPr>
    </w:p>
    <w:bookmarkStart w:id="1" w:name="page2"/>
    <w:bookmarkEnd w:id="1"/>
    <w:p>
      <w:pPr>
        <w:ind w:left="1152" w:hanging="571"/>
        <w:spacing w:after="0" w:line="277" w:lineRule="auto"/>
        <w:tabs>
          <w:tab w:leader="none" w:pos="1152"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52" w:hanging="571"/>
        <w:spacing w:after="0"/>
        <w:tabs>
          <w:tab w:leader="none" w:pos="1152"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52" w:hanging="571"/>
        <w:spacing w:after="0"/>
        <w:tabs>
          <w:tab w:leader="none" w:pos="115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72" w:hanging="572"/>
        <w:spacing w:after="0"/>
        <w:tabs>
          <w:tab w:leader="none" w:pos="572"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72" w:right="300" w:hanging="572"/>
        <w:spacing w:after="0" w:line="308" w:lineRule="auto"/>
        <w:tabs>
          <w:tab w:leader="none" w:pos="572"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52" w:hanging="571"/>
        <w:spacing w:after="0"/>
        <w:tabs>
          <w:tab w:leader="none" w:pos="1152"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52" w:hanging="571"/>
        <w:spacing w:after="0"/>
        <w:tabs>
          <w:tab w:leader="none" w:pos="1152"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52" w:hanging="571"/>
        <w:spacing w:after="0"/>
        <w:tabs>
          <w:tab w:leader="none" w:pos="1152"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52" w:hanging="571"/>
        <w:spacing w:after="0"/>
        <w:tabs>
          <w:tab w:leader="none" w:pos="1152"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-3406140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-2951480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-2505710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-1030605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-584835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-139065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306705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 Information</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In connection with their intended proxy solicitation, the Participants (as defined below) intend to file a proxy statement with the Securities and Exchange Commission (the “SEC”) to solicit stockholders of General Motors Company (the “Company”). The Participants will furnish the definitive proxy statement to the stockholders of the Company, together with a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THE PARTICIPANTS STRONGLY ADVISE ALL STOCKHOLDERS OF THE COMPANY TO READ THE PROXY STATEMENT WHEN IT BECOMES AVAILABLE BECAUSE IT WILL CONTAIN IMPORTANT INFORMATION, INCLUDING INFORMATION RELATING TO THE PARTICIPANTS IN ANY SUCH PROXY SOLICITATION. SUCH PROXY STATEMENT, WHEN FILED, AND ANY OTHER RELEVANT DOCUMENTS WILL BE AVAILABLE AT NO CHARGE ON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accordance with Rule 14a-12(a)(1)(i) under the Securities Exchange Act of 1934, as amended, the following persons are anticipated to be, or may be deemed to be, participants in any such proxy solicitation (the “Participants”): MAEVA Capital Partners LLC (“MAEVA CP”); Harry J. Wilson; Appaloosa Investment Limited Partnership I; Palomino Fund Ltd.; Thoroughbred Fund L.P.; Thoroughbred Master Ltd.; Appaloosa Management L.P.; Appaloosa Partners Inc.; David A. Tepper; Hayman Capital Master Fund, L.P.; Hayman Dialogo LLC; Hayman Capital Management, L.P.; Hayman Investments, L.L.C.; J. Kyle Bass; HG Vora Special Opportunities Master Fund, Ltd.; HG Vora Capital Management, LLC; Parag Vora; Taconic Master Fund 1.5 L.P.; Taconic Opportunity Master Fund L.P.; Taconic Capital Partners LLC; Taconic Associates LLC; Taconic Capital Advisors L.P.; Taconic Capital Advisors UK LLP; Taconic Capital Advisors (Hong Kong) Limited; Frank P. Brosens; Taconic Overdrive Fund L.P.; EnTrust Partners LLC and EnTrust Partners Offshore LP. Certain of these persons hold direct or indirect interests in or relating to the Company as of February 9, 2015 as set forth in Exhibit 1 attached hereto and incorporated herein by reference. MAEVA CP has entered into binding agreements dated February 9, 2015 (the “Agreements”) with each of the following (the “Investors”): Appaloosa Management L.P.; Hayman Capital Management, L.P.; HG Vora Capital Management, LLC; and Taconic Capital Advisors L.P. Pursuant to the Agreements, the principal of MAEVA CP, Harry J. Wilson, nominated himself for representation on the Board of Directors (the “Board”) of the Company. Pursuant to the Agreements, (i) the Investors will pay to MAEVA CP a management fee equal to 0.25% per annum on certain shares of Company common stock and/or derivative instruments related to Company common stock (the “Company Securities”) held by each Investor, subject to certain conditions; (ii) the Investors will also pay to MAEVA CP an incentive fee relating to such Company Securities ranging from 2.0% to 4.0% based on the price appreciation of such Company Securities, subject to certain conditions; (iii) the Investors have agreed to reimburse MAEVA CP for certain reasonable out-of-pocket expenses incurred by MAEVA CP in connection with Mr. Wilson seeking Board representation and the preparation, negotiation and execution of the Agreements; and (iv) MAEVA CP and each Investor have agreed to indemnify one another with respect to the completeness and accuracy of the information concerning it that is provided by it for the purposes of inclusion in the nomination letter and certain filings.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27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Press Release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APPALOOSA STATEMENT REGARDING GENERAL MOTORS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Short Hills, New Jersey – February 10, 2015 – </w:t>
      </w:r>
      <w:r>
        <w:rPr>
          <w:rFonts w:ascii="Arial" w:cs="Arial" w:eastAsia="Arial" w:hAnsi="Arial"/>
          <w:sz w:val="18"/>
          <w:szCs w:val="18"/>
          <w:color w:val="auto"/>
        </w:rPr>
        <w:t>Appaloosa Management L.P. today issued the following statement:</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“Appaloosa supports the shareholder proposals from Harry Wilson as the Company’s best means of enhancing shareholder value and addressing an excess accumulation of unproductive cash on its balance sheet. We have in the recent past discussed a number of critical issues with GM’s management team, including the need for greater discipline and efficiency in allocating the shareholders’ capital. In addition, we highlighted the lack of transparency in GM’s executive compensation program and questioned whether it properly incents effective capital deployment. Finally, we pointed out the need for greater shareholder-oriented representation on its Board of Directors.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that Harry Wilson will be a highly effective advocate for shareholders on the Company’s Board of Directors. We invite and encourage GM to address these issues productively and refrain from acrimony.”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w:t>
      </w:r>
    </w:p>
    <w:p>
      <w:pPr>
        <w:spacing w:after="0" w:line="121"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 xml:space="preserve">In connection with its solicitation of proxies for the 2015 annual meeting of General Motors Company, the Participants (as defined below) intend to file a proxy statement with the Securities and Exchange Commission (“SEC”). The Participants will furnish the definitive proxy statement to General Motors’ stockholders, together with a </w:t>
      </w:r>
      <w:r>
        <w:rPr>
          <w:rFonts w:ascii="Arial" w:cs="Arial" w:eastAsia="Arial" w:hAnsi="Arial"/>
          <w:sz w:val="17"/>
          <w:szCs w:val="17"/>
          <w:b w:val="1"/>
          <w:bCs w:val="1"/>
          <w:color w:val="auto"/>
        </w:rPr>
        <w:t>WHITE</w:t>
      </w:r>
      <w:r>
        <w:rPr>
          <w:rFonts w:ascii="Arial" w:cs="Arial" w:eastAsia="Arial" w:hAnsi="Arial"/>
          <w:sz w:val="17"/>
          <w:szCs w:val="17"/>
          <w:color w:val="auto"/>
        </w:rPr>
        <w:t xml:space="preserve"> proxy card. GENERAL MOTORS’ STOCKHOLDERS ARE ADVISED TO READ THE PROXY STATEMENT WHEN IT BECOMES AVAILABLE BECAUSE IT WILL CONTAIN IMPORTANT INFORMATION, INCLUDING INFORMATION RELATING TO THE PARTICIPANTS IN ANY SUCH PROXY SOLICITATION. SUCH PROXY STATEMENT, WHEN FILED, AND ANY OTHER RELEVANT DOCUMENTS WILL BE AVAILABLE AT NO CHARGE ON THE SEC’S WEBSITE AT </w:t>
      </w:r>
      <w:r>
        <w:rPr>
          <w:rFonts w:ascii="Arial" w:cs="Arial" w:eastAsia="Arial" w:hAnsi="Arial"/>
          <w:sz w:val="17"/>
          <w:szCs w:val="17"/>
          <w:u w:val="single" w:color="auto"/>
          <w:color w:val="auto"/>
        </w:rPr>
        <w:t>HTTP://WWW.SEC.GOV</w:t>
      </w:r>
      <w:r>
        <w:rPr>
          <w:rFonts w:ascii="Arial" w:cs="Arial" w:eastAsia="Arial" w:hAnsi="Arial"/>
          <w:sz w:val="17"/>
          <w:szCs w:val="17"/>
          <w:color w:val="auto"/>
        </w:rPr>
        <w:t>.</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persons are participants in the solicitation of General Motors’ stockholders (the “Participants”): MAEVA Capital Partners LLC; Harry J. Wilson; Appaloosa Investment Limited Partnership I; Palomino Fund Ltd.; Thoroughbred Fund L.P.; Thoroughbred Master Ltd.; Appaloosa Management L.P.; Appaloosa Partners Inc.; David A. Tepper; Hayman Capital Master Fund; Hayman Dialogo LLC; Hayman Capital Management, L.P.; Hayman Investments, L.L.C.; J. Kyle Bass; HG Vora Special Opportunities Master Fund, Ltd.; HG Vora Capital Management, LLC; Parag Vora; Taconic Master Fund 1.5 L.P.; Taconic Opportunity Master Fund L.P.; Taconic Capital Partners LLC; Taconic Associates LLC; Taconic Capital Advisors L.P.; Taconic Capital Advisors UK LLP; Taconic Capital Advisors (Hong Kong) Limited; Frank</w:t>
      </w:r>
    </w:p>
    <w:p>
      <w:pPr>
        <w:sectPr>
          <w:pgSz w:w="11900" w:h="16838" w:orient="portrait"/>
          <w:cols w:equalWidth="0" w:num="1">
            <w:col w:w="11340"/>
          </w:cols>
          <w:pgMar w:left="240" w:top="270" w:right="319" w:bottom="1440" w:gutter="0" w:footer="0" w:header="0"/>
        </w:sectPr>
      </w:pPr>
    </w:p>
    <w:bookmarkStart w:id="4" w:name="page5"/>
    <w:bookmarkEnd w:id="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 Brosens; Taconic Overdrive Fund L.P.; EnTrust Partners LLC and EnTrust Partners Offshore LP. Information regarding the Participants in the solicitation and a description of their direct and indirect interests, by security holdings or otherwise, to the extent applicable, will be available in the solicitation materials filed with the SEC under cover of Schedule 14A on or about February 10, 2015 and will be available at no charge on the SEC’s website at http://www.sec.gov.</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Appaloosa Management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Susan Donovan, 973-701-7000</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40"/>
          </w:cols>
          <w:pgMar w:left="240" w:top="274"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OF GENERAL MOTORS COMPANY</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sets forth the names, business addresses, and the number of shares of shares of common stock, par value $0.01 per share (the “Common Stock”), of General Motors Company (the “Company”) beneficially owned by the below parties, as of February 9,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1"/>
              </w:rPr>
              <w:t>Number of Shares of</w:t>
            </w:r>
          </w:p>
        </w:tc>
        <w:tc>
          <w:tcPr>
            <w:tcW w:w="144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3"/>
              </w:rPr>
              <w:t>Percent of Common</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Name(1)</w:t>
            </w:r>
          </w:p>
        </w:tc>
        <w:tc>
          <w:tcPr>
            <w:tcW w:w="346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306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Business Address</w:t>
            </w:r>
          </w:p>
        </w:tc>
        <w:tc>
          <w:tcPr>
            <w:tcW w:w="25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Common Stock of the</w:t>
            </w:r>
          </w:p>
        </w:tc>
        <w:tc>
          <w:tcPr>
            <w:tcW w:w="144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89"/>
              </w:rPr>
              <w:t>Stock of the</w:t>
            </w:r>
          </w:p>
        </w:tc>
        <w:tc>
          <w:tcPr>
            <w:tcW w:w="0" w:type="dxa"/>
            <w:vAlign w:val="bottom"/>
          </w:tcPr>
          <w:p>
            <w:pPr>
              <w:spacing w:after="0"/>
              <w:rPr>
                <w:sz w:val="1"/>
                <w:szCs w:val="1"/>
                <w:color w:val="auto"/>
              </w:rPr>
            </w:pPr>
          </w:p>
        </w:tc>
      </w:tr>
      <w:tr>
        <w:trPr>
          <w:trHeight w:val="178"/>
        </w:trPr>
        <w:tc>
          <w:tcPr>
            <w:tcW w:w="540" w:type="dxa"/>
            <w:vAlign w:val="bottom"/>
            <w:tcBorders>
              <w:bottom w:val="single" w:sz="8" w:color="auto"/>
            </w:tcBorders>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3060" w:type="dxa"/>
            <w:vAlign w:val="bottom"/>
            <w:gridSpan w:val="2"/>
            <w:vMerge w:val="continue"/>
          </w:tcPr>
          <w:p>
            <w:pPr>
              <w:spacing w:after="0"/>
              <w:rPr>
                <w:sz w:val="15"/>
                <w:szCs w:val="15"/>
                <w:color w:val="auto"/>
              </w:rPr>
            </w:pPr>
          </w:p>
        </w:tc>
        <w:tc>
          <w:tcPr>
            <w:tcW w:w="258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92"/>
              </w:rPr>
              <w:t>Company Beneficially Owned</w:t>
            </w:r>
          </w:p>
        </w:tc>
        <w:tc>
          <w:tcPr>
            <w:tcW w:w="1440" w:type="dxa"/>
            <w:vAlign w:val="bottom"/>
            <w:gridSpan w:val="2"/>
          </w:tcPr>
          <w:p>
            <w:pPr>
              <w:jc w:val="center"/>
              <w:ind w:right="110"/>
              <w:spacing w:after="0" w:line="158" w:lineRule="exact"/>
              <w:rPr>
                <w:sz w:val="20"/>
                <w:szCs w:val="20"/>
                <w:color w:val="auto"/>
              </w:rPr>
            </w:pPr>
            <w:r>
              <w:rPr>
                <w:rFonts w:ascii="Arial" w:cs="Arial" w:eastAsia="Arial" w:hAnsi="Arial"/>
                <w:sz w:val="14"/>
                <w:szCs w:val="14"/>
                <w:b w:val="1"/>
                <w:bCs w:val="1"/>
                <w:color w:val="auto"/>
                <w:w w:val="93"/>
              </w:rPr>
              <w:t>Company(2)</w:t>
            </w:r>
          </w:p>
        </w:tc>
        <w:tc>
          <w:tcPr>
            <w:tcW w:w="0" w:type="dxa"/>
            <w:vAlign w:val="bottom"/>
          </w:tcPr>
          <w:p>
            <w:pPr>
              <w:spacing w:after="0"/>
              <w:rPr>
                <w:sz w:val="1"/>
                <w:szCs w:val="1"/>
                <w:color w:val="auto"/>
              </w:rPr>
            </w:pPr>
          </w:p>
        </w:tc>
      </w:tr>
      <w:tr>
        <w:trPr>
          <w:trHeight w:val="189"/>
        </w:trPr>
        <w:tc>
          <w:tcPr>
            <w:tcW w:w="40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Harry J. Wilson(3)</w:t>
            </w:r>
          </w:p>
        </w:tc>
        <w:tc>
          <w:tcPr>
            <w:tcW w:w="340" w:type="dxa"/>
            <w:vAlign w:val="bottom"/>
            <w:tcBorders>
              <w:top w:val="single" w:sz="8" w:color="CCEEFF"/>
            </w:tcBorders>
            <w:shd w:val="clear" w:color="auto" w:fill="CCEEFF"/>
          </w:tcPr>
          <w:p>
            <w:pPr>
              <w:spacing w:after="0"/>
              <w:rPr>
                <w:sz w:val="16"/>
                <w:szCs w:val="16"/>
                <w:color w:val="auto"/>
              </w:rPr>
            </w:pPr>
          </w:p>
        </w:tc>
        <w:tc>
          <w:tcPr>
            <w:tcW w:w="24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9"/>
              </w:rPr>
              <w:t>7 Renaissance Square, 3rd Floor,</w:t>
            </w:r>
          </w:p>
        </w:tc>
        <w:tc>
          <w:tcPr>
            <w:tcW w:w="64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31,246,089.9049</w:t>
            </w:r>
          </w:p>
        </w:tc>
        <w:tc>
          <w:tcPr>
            <w:tcW w:w="7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w:t>
            </w:r>
          </w:p>
        </w:tc>
        <w:tc>
          <w:tcPr>
            <w:tcW w:w="2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54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3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White Plains, NY 10601</w:t>
            </w:r>
          </w:p>
        </w:tc>
        <w:tc>
          <w:tcPr>
            <w:tcW w:w="18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rPr>
              <w:t>MAEVA Capital Partners LLC (“MAEVA CP”)(4)</w:t>
            </w:r>
          </w:p>
        </w:tc>
        <w:tc>
          <w:tcPr>
            <w:tcW w:w="340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7 Renaissance Square, 3rd Floor,</w:t>
            </w:r>
          </w:p>
        </w:tc>
        <w:tc>
          <w:tcPr>
            <w:tcW w:w="2580" w:type="dxa"/>
            <w:vAlign w:val="bottom"/>
            <w:gridSpan w:val="2"/>
          </w:tcPr>
          <w:p>
            <w:pPr>
              <w:jc w:val="right"/>
              <w:ind w:right="740"/>
              <w:spacing w:after="0" w:line="201" w:lineRule="exact"/>
              <w:rPr>
                <w:sz w:val="20"/>
                <w:szCs w:val="20"/>
                <w:color w:val="auto"/>
              </w:rPr>
            </w:pPr>
            <w:r>
              <w:rPr>
                <w:rFonts w:ascii="Arial" w:cs="Arial" w:eastAsia="Arial" w:hAnsi="Arial"/>
                <w:sz w:val="18"/>
                <w:szCs w:val="18"/>
                <w:color w:val="auto"/>
              </w:rPr>
              <w:t>31,216,021</w:t>
            </w:r>
          </w:p>
        </w:tc>
        <w:tc>
          <w:tcPr>
            <w:tcW w:w="14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400" w:type="dxa"/>
            <w:vAlign w:val="bottom"/>
            <w:gridSpan w:val="3"/>
          </w:tcPr>
          <w:p>
            <w:pPr>
              <w:ind w:left="340"/>
              <w:spacing w:after="0"/>
              <w:rPr>
                <w:sz w:val="20"/>
                <w:szCs w:val="20"/>
                <w:color w:val="auto"/>
              </w:rPr>
            </w:pPr>
            <w:r>
              <w:rPr>
                <w:rFonts w:ascii="Arial" w:cs="Arial" w:eastAsia="Arial" w:hAnsi="Arial"/>
                <w:sz w:val="18"/>
                <w:szCs w:val="18"/>
                <w:color w:val="auto"/>
              </w:rPr>
              <w:t>White Plains, NY 10601</w:t>
            </w:r>
          </w:p>
        </w:tc>
        <w:tc>
          <w:tcPr>
            <w:tcW w:w="1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Taconic Master Fund 1.5 L.P. (“TMF 1.5”)(5)</w:t>
            </w:r>
          </w:p>
        </w:tc>
        <w:tc>
          <w:tcPr>
            <w:tcW w:w="34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450 Park Avenue, 9th Floor, New</w:t>
            </w:r>
          </w:p>
        </w:tc>
        <w:tc>
          <w:tcPr>
            <w:tcW w:w="2580" w:type="dxa"/>
            <w:vAlign w:val="bottom"/>
            <w:gridSpan w:val="2"/>
            <w:shd w:val="clear" w:color="auto" w:fill="CCEEFF"/>
          </w:tcPr>
          <w:p>
            <w:pPr>
              <w:jc w:val="right"/>
              <w:ind w:right="740"/>
              <w:spacing w:after="0" w:line="201" w:lineRule="exact"/>
              <w:rPr>
                <w:sz w:val="20"/>
                <w:szCs w:val="20"/>
                <w:color w:val="auto"/>
              </w:rPr>
            </w:pPr>
            <w:r>
              <w:rPr>
                <w:rFonts w:ascii="Arial" w:cs="Arial" w:eastAsia="Arial" w:hAnsi="Arial"/>
                <w:sz w:val="18"/>
                <w:szCs w:val="18"/>
                <w:color w:val="auto"/>
              </w:rPr>
              <w:t>61,621</w:t>
            </w:r>
          </w:p>
        </w:tc>
        <w:tc>
          <w:tcPr>
            <w:tcW w:w="14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&lt;0.1%</w:t>
            </w:r>
          </w:p>
        </w:tc>
        <w:tc>
          <w:tcPr>
            <w:tcW w:w="0" w:type="dxa"/>
            <w:vAlign w:val="bottom"/>
          </w:tcPr>
          <w:p>
            <w:pPr>
              <w:spacing w:after="0"/>
              <w:rPr>
                <w:sz w:val="1"/>
                <w:szCs w:val="1"/>
                <w:color w:val="auto"/>
              </w:rPr>
            </w:pPr>
          </w:p>
        </w:tc>
      </w:tr>
      <w:tr>
        <w:trPr>
          <w:trHeight w:val="230"/>
        </w:trPr>
        <w:tc>
          <w:tcPr>
            <w:tcW w:w="54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3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York, NY 10022</w:t>
            </w:r>
          </w:p>
        </w:tc>
        <w:tc>
          <w:tcPr>
            <w:tcW w:w="18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rPr>
              <w:t>Taconic Opportunity Master Fund L.P. (“TOMF”)</w:t>
            </w:r>
          </w:p>
        </w:tc>
        <w:tc>
          <w:tcPr>
            <w:tcW w:w="340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450 Park Avenue, 9th Floor, New</w:t>
            </w:r>
          </w:p>
        </w:tc>
        <w:tc>
          <w:tcPr>
            <w:tcW w:w="1840" w:type="dxa"/>
            <w:vAlign w:val="bottom"/>
          </w:tcPr>
          <w:p>
            <w:pPr>
              <w:jc w:val="right"/>
              <w:spacing w:after="0" w:line="201" w:lineRule="exact"/>
              <w:rPr>
                <w:sz w:val="20"/>
                <w:szCs w:val="20"/>
                <w:color w:val="auto"/>
              </w:rPr>
            </w:pPr>
            <w:r>
              <w:rPr>
                <w:rFonts w:ascii="Arial" w:cs="Arial" w:eastAsia="Arial" w:hAnsi="Arial"/>
                <w:sz w:val="18"/>
                <w:szCs w:val="18"/>
                <w:color w:val="auto"/>
              </w:rPr>
              <w:t>7,652,045</w:t>
            </w:r>
          </w:p>
        </w:tc>
        <w:tc>
          <w:tcPr>
            <w:tcW w:w="740" w:type="dxa"/>
            <w:vAlign w:val="bottom"/>
          </w:tcPr>
          <w:p>
            <w:pPr>
              <w:spacing w:after="0"/>
              <w:rPr>
                <w:sz w:val="17"/>
                <w:szCs w:val="17"/>
                <w:color w:val="auto"/>
              </w:rPr>
            </w:pPr>
          </w:p>
        </w:tc>
        <w:tc>
          <w:tcPr>
            <w:tcW w:w="14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(6)</w:t>
            </w:r>
          </w:p>
        </w:tc>
        <w:tc>
          <w:tcPr>
            <w:tcW w:w="3460" w:type="dxa"/>
            <w:vAlign w:val="bottom"/>
          </w:tcPr>
          <w:p>
            <w:pPr>
              <w:spacing w:after="0"/>
              <w:rPr>
                <w:sz w:val="20"/>
                <w:szCs w:val="20"/>
                <w:color w:val="auto"/>
              </w:rPr>
            </w:pPr>
          </w:p>
        </w:tc>
        <w:tc>
          <w:tcPr>
            <w:tcW w:w="3400" w:type="dxa"/>
            <w:vAlign w:val="bottom"/>
            <w:gridSpan w:val="3"/>
          </w:tcPr>
          <w:p>
            <w:pPr>
              <w:ind w:left="340"/>
              <w:spacing w:after="0"/>
              <w:rPr>
                <w:sz w:val="20"/>
                <w:szCs w:val="20"/>
                <w:color w:val="auto"/>
              </w:rPr>
            </w:pPr>
            <w:r>
              <w:rPr>
                <w:rFonts w:ascii="Arial" w:cs="Arial" w:eastAsia="Arial" w:hAnsi="Arial"/>
                <w:sz w:val="18"/>
                <w:szCs w:val="18"/>
                <w:color w:val="auto"/>
              </w:rPr>
              <w:t>York, NY 10022</w:t>
            </w:r>
          </w:p>
        </w:tc>
        <w:tc>
          <w:tcPr>
            <w:tcW w:w="1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Taconic Capital Partners LLC(7)</w:t>
            </w:r>
          </w:p>
        </w:tc>
        <w:tc>
          <w:tcPr>
            <w:tcW w:w="34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450 Park Avenue, 9th Floor, New</w:t>
            </w:r>
          </w:p>
        </w:tc>
        <w:tc>
          <w:tcPr>
            <w:tcW w:w="2580" w:type="dxa"/>
            <w:vAlign w:val="bottom"/>
            <w:gridSpan w:val="2"/>
            <w:shd w:val="clear" w:color="auto" w:fill="CCEEFF"/>
          </w:tcPr>
          <w:p>
            <w:pPr>
              <w:jc w:val="right"/>
              <w:ind w:right="740"/>
              <w:spacing w:after="0" w:line="201" w:lineRule="exact"/>
              <w:rPr>
                <w:sz w:val="20"/>
                <w:szCs w:val="20"/>
                <w:color w:val="auto"/>
              </w:rPr>
            </w:pPr>
            <w:r>
              <w:rPr>
                <w:rFonts w:ascii="Arial" w:cs="Arial" w:eastAsia="Arial" w:hAnsi="Arial"/>
                <w:sz w:val="18"/>
                <w:szCs w:val="18"/>
                <w:color w:val="auto"/>
              </w:rPr>
              <w:t>61,621</w:t>
            </w:r>
          </w:p>
        </w:tc>
        <w:tc>
          <w:tcPr>
            <w:tcW w:w="14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&lt;0.1%</w:t>
            </w:r>
          </w:p>
        </w:tc>
        <w:tc>
          <w:tcPr>
            <w:tcW w:w="0" w:type="dxa"/>
            <w:vAlign w:val="bottom"/>
          </w:tcPr>
          <w:p>
            <w:pPr>
              <w:spacing w:after="0"/>
              <w:rPr>
                <w:sz w:val="1"/>
                <w:szCs w:val="1"/>
                <w:color w:val="auto"/>
              </w:rPr>
            </w:pPr>
          </w:p>
        </w:tc>
      </w:tr>
      <w:tr>
        <w:trPr>
          <w:trHeight w:val="230"/>
        </w:trPr>
        <w:tc>
          <w:tcPr>
            <w:tcW w:w="54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3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York, NY 10022</w:t>
            </w:r>
          </w:p>
        </w:tc>
        <w:tc>
          <w:tcPr>
            <w:tcW w:w="18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rPr>
              <w:t>Taconic Associates LLC(8)</w:t>
            </w:r>
          </w:p>
        </w:tc>
        <w:tc>
          <w:tcPr>
            <w:tcW w:w="340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450 Park Avenue, 9th Floor, New</w:t>
            </w:r>
          </w:p>
        </w:tc>
        <w:tc>
          <w:tcPr>
            <w:tcW w:w="1840" w:type="dxa"/>
            <w:vAlign w:val="bottom"/>
          </w:tcPr>
          <w:p>
            <w:pPr>
              <w:jc w:val="right"/>
              <w:spacing w:after="0" w:line="201" w:lineRule="exact"/>
              <w:rPr>
                <w:sz w:val="20"/>
                <w:szCs w:val="20"/>
                <w:color w:val="auto"/>
              </w:rPr>
            </w:pPr>
            <w:r>
              <w:rPr>
                <w:rFonts w:ascii="Arial" w:cs="Arial" w:eastAsia="Arial" w:hAnsi="Arial"/>
                <w:sz w:val="18"/>
                <w:szCs w:val="18"/>
                <w:color w:val="auto"/>
              </w:rPr>
              <w:t>7,652,045</w:t>
            </w:r>
          </w:p>
        </w:tc>
        <w:tc>
          <w:tcPr>
            <w:tcW w:w="740" w:type="dxa"/>
            <w:vAlign w:val="bottom"/>
          </w:tcPr>
          <w:p>
            <w:pPr>
              <w:spacing w:after="0"/>
              <w:rPr>
                <w:sz w:val="17"/>
                <w:szCs w:val="17"/>
                <w:color w:val="auto"/>
              </w:rPr>
            </w:pPr>
          </w:p>
        </w:tc>
        <w:tc>
          <w:tcPr>
            <w:tcW w:w="14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400" w:type="dxa"/>
            <w:vAlign w:val="bottom"/>
            <w:gridSpan w:val="3"/>
          </w:tcPr>
          <w:p>
            <w:pPr>
              <w:ind w:left="340"/>
              <w:spacing w:after="0"/>
              <w:rPr>
                <w:sz w:val="20"/>
                <w:szCs w:val="20"/>
                <w:color w:val="auto"/>
              </w:rPr>
            </w:pPr>
            <w:r>
              <w:rPr>
                <w:rFonts w:ascii="Arial" w:cs="Arial" w:eastAsia="Arial" w:hAnsi="Arial"/>
                <w:sz w:val="18"/>
                <w:szCs w:val="18"/>
                <w:color w:val="auto"/>
              </w:rPr>
              <w:t>York, NY 10022</w:t>
            </w:r>
          </w:p>
        </w:tc>
        <w:tc>
          <w:tcPr>
            <w:tcW w:w="1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Taconic Capital Advisors L.P.</w:t>
            </w:r>
          </w:p>
        </w:tc>
        <w:tc>
          <w:tcPr>
            <w:tcW w:w="34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450 Park Avenue, 9th Floor, New</w:t>
            </w:r>
          </w:p>
        </w:tc>
        <w:tc>
          <w:tcPr>
            <w:tcW w:w="1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7,713,666</w:t>
            </w:r>
          </w:p>
        </w:tc>
        <w:tc>
          <w:tcPr>
            <w:tcW w:w="7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4"/>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(“TCA”)(9)</w:t>
            </w:r>
          </w:p>
        </w:tc>
        <w:tc>
          <w:tcPr>
            <w:tcW w:w="3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York, NY 10022</w:t>
            </w:r>
          </w:p>
        </w:tc>
        <w:tc>
          <w:tcPr>
            <w:tcW w:w="18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rPr>
              <w:t>Taconic Capital Advisors UK LLP(10)</w:t>
            </w:r>
          </w:p>
        </w:tc>
        <w:tc>
          <w:tcPr>
            <w:tcW w:w="340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455 Grosvenor Street</w:t>
            </w:r>
          </w:p>
        </w:tc>
        <w:tc>
          <w:tcPr>
            <w:tcW w:w="1840" w:type="dxa"/>
            <w:vAlign w:val="bottom"/>
          </w:tcPr>
          <w:p>
            <w:pPr>
              <w:jc w:val="right"/>
              <w:spacing w:after="0" w:line="201" w:lineRule="exact"/>
              <w:rPr>
                <w:sz w:val="20"/>
                <w:szCs w:val="20"/>
                <w:color w:val="auto"/>
              </w:rPr>
            </w:pPr>
            <w:r>
              <w:rPr>
                <w:rFonts w:ascii="Arial" w:cs="Arial" w:eastAsia="Arial" w:hAnsi="Arial"/>
                <w:sz w:val="18"/>
                <w:szCs w:val="18"/>
                <w:color w:val="auto"/>
              </w:rPr>
              <w:t>7,713,666</w:t>
            </w:r>
          </w:p>
        </w:tc>
        <w:tc>
          <w:tcPr>
            <w:tcW w:w="740" w:type="dxa"/>
            <w:vAlign w:val="bottom"/>
          </w:tcPr>
          <w:p>
            <w:pPr>
              <w:spacing w:after="0"/>
              <w:rPr>
                <w:sz w:val="17"/>
                <w:szCs w:val="17"/>
                <w:color w:val="auto"/>
              </w:rPr>
            </w:pPr>
          </w:p>
        </w:tc>
        <w:tc>
          <w:tcPr>
            <w:tcW w:w="14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400" w:type="dxa"/>
            <w:vAlign w:val="bottom"/>
            <w:gridSpan w:val="3"/>
          </w:tcPr>
          <w:p>
            <w:pPr>
              <w:ind w:left="340"/>
              <w:spacing w:after="0"/>
              <w:rPr>
                <w:sz w:val="20"/>
                <w:szCs w:val="20"/>
                <w:color w:val="auto"/>
              </w:rPr>
            </w:pPr>
            <w:r>
              <w:rPr>
                <w:rFonts w:ascii="Arial" w:cs="Arial" w:eastAsia="Arial" w:hAnsi="Arial"/>
                <w:sz w:val="18"/>
                <w:szCs w:val="18"/>
                <w:color w:val="auto"/>
              </w:rPr>
              <w:t>London W1K 3HY</w:t>
            </w:r>
          </w:p>
        </w:tc>
        <w:tc>
          <w:tcPr>
            <w:tcW w:w="1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400" w:type="dxa"/>
            <w:vAlign w:val="bottom"/>
            <w:gridSpan w:val="3"/>
          </w:tcPr>
          <w:p>
            <w:pPr>
              <w:ind w:left="340"/>
              <w:spacing w:after="0"/>
              <w:rPr>
                <w:sz w:val="20"/>
                <w:szCs w:val="20"/>
                <w:color w:val="auto"/>
              </w:rPr>
            </w:pPr>
            <w:r>
              <w:rPr>
                <w:rFonts w:ascii="Arial" w:cs="Arial" w:eastAsia="Arial" w:hAnsi="Arial"/>
                <w:sz w:val="18"/>
                <w:szCs w:val="18"/>
                <w:color w:val="auto"/>
              </w:rPr>
              <w:t>United Kingdom</w:t>
            </w:r>
          </w:p>
        </w:tc>
        <w:tc>
          <w:tcPr>
            <w:tcW w:w="1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Taconic Capital Advisors (Hong Kong)</w:t>
            </w:r>
          </w:p>
        </w:tc>
        <w:tc>
          <w:tcPr>
            <w:tcW w:w="3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Room 1801, 18th Floor</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7,713,666</w:t>
            </w:r>
          </w:p>
        </w:tc>
        <w:tc>
          <w:tcPr>
            <w:tcW w:w="7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Limited(11)</w:t>
            </w:r>
          </w:p>
        </w:tc>
        <w:tc>
          <w:tcPr>
            <w:tcW w:w="3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LHT Tower</w:t>
            </w:r>
          </w:p>
        </w:tc>
        <w:tc>
          <w:tcPr>
            <w:tcW w:w="1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3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 31 Queen’s Road Central</w:t>
            </w:r>
          </w:p>
        </w:tc>
        <w:tc>
          <w:tcPr>
            <w:tcW w:w="1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4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3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Hong Kong, China</w:t>
            </w:r>
          </w:p>
        </w:tc>
        <w:tc>
          <w:tcPr>
            <w:tcW w:w="18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rPr>
              <w:t>Frank P. Brosens(12)</w:t>
            </w:r>
          </w:p>
        </w:tc>
        <w:tc>
          <w:tcPr>
            <w:tcW w:w="340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450 Park Avenue, 9th Floor, New</w:t>
            </w:r>
          </w:p>
        </w:tc>
        <w:tc>
          <w:tcPr>
            <w:tcW w:w="1840" w:type="dxa"/>
            <w:vAlign w:val="bottom"/>
          </w:tcPr>
          <w:p>
            <w:pPr>
              <w:jc w:val="right"/>
              <w:spacing w:after="0" w:line="201" w:lineRule="exact"/>
              <w:rPr>
                <w:sz w:val="20"/>
                <w:szCs w:val="20"/>
                <w:color w:val="auto"/>
              </w:rPr>
            </w:pPr>
            <w:r>
              <w:rPr>
                <w:rFonts w:ascii="Arial" w:cs="Arial" w:eastAsia="Arial" w:hAnsi="Arial"/>
                <w:sz w:val="18"/>
                <w:szCs w:val="18"/>
                <w:color w:val="auto"/>
              </w:rPr>
              <w:t>7,713,666</w:t>
            </w:r>
          </w:p>
        </w:tc>
        <w:tc>
          <w:tcPr>
            <w:tcW w:w="740" w:type="dxa"/>
            <w:vAlign w:val="bottom"/>
          </w:tcPr>
          <w:p>
            <w:pPr>
              <w:spacing w:after="0"/>
              <w:rPr>
                <w:sz w:val="17"/>
                <w:szCs w:val="17"/>
                <w:color w:val="auto"/>
              </w:rPr>
            </w:pPr>
          </w:p>
        </w:tc>
        <w:tc>
          <w:tcPr>
            <w:tcW w:w="14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400" w:type="dxa"/>
            <w:vAlign w:val="bottom"/>
            <w:gridSpan w:val="3"/>
          </w:tcPr>
          <w:p>
            <w:pPr>
              <w:ind w:left="340"/>
              <w:spacing w:after="0"/>
              <w:rPr>
                <w:sz w:val="20"/>
                <w:szCs w:val="20"/>
                <w:color w:val="auto"/>
              </w:rPr>
            </w:pPr>
            <w:r>
              <w:rPr>
                <w:rFonts w:ascii="Arial" w:cs="Arial" w:eastAsia="Arial" w:hAnsi="Arial"/>
                <w:sz w:val="18"/>
                <w:szCs w:val="18"/>
                <w:color w:val="auto"/>
              </w:rPr>
              <w:t>York, NY 10022</w:t>
            </w:r>
          </w:p>
        </w:tc>
        <w:tc>
          <w:tcPr>
            <w:tcW w:w="1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Appaloosa Investment Limited Partnership I</w:t>
            </w:r>
          </w:p>
        </w:tc>
        <w:tc>
          <w:tcPr>
            <w:tcW w:w="34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c/o Appaloosa Management L.P.,</w:t>
            </w:r>
          </w:p>
        </w:tc>
        <w:tc>
          <w:tcPr>
            <w:tcW w:w="1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5,009,196</w:t>
            </w:r>
          </w:p>
        </w:tc>
        <w:tc>
          <w:tcPr>
            <w:tcW w:w="7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(“AILP”)(13)</w:t>
            </w:r>
          </w:p>
        </w:tc>
        <w:tc>
          <w:tcPr>
            <w:tcW w:w="3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51 John F. Kennedy Parkway,</w:t>
            </w:r>
          </w:p>
        </w:tc>
        <w:tc>
          <w:tcPr>
            <w:tcW w:w="1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3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Short Hills, NJ 07078</w:t>
            </w:r>
          </w:p>
        </w:tc>
        <w:tc>
          <w:tcPr>
            <w:tcW w:w="18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Palomino Fund Ltd. (“PFL”)(14)</w:t>
            </w:r>
          </w:p>
        </w:tc>
        <w:tc>
          <w:tcPr>
            <w:tcW w:w="4000" w:type="dxa"/>
            <w:vAlign w:val="bottom"/>
          </w:tcPr>
          <w:p>
            <w:pPr>
              <w:ind w:left="860"/>
              <w:spacing w:after="0"/>
              <w:rPr>
                <w:sz w:val="20"/>
                <w:szCs w:val="20"/>
                <w:color w:val="auto"/>
              </w:rPr>
            </w:pPr>
            <w:r>
              <w:rPr>
                <w:rFonts w:ascii="Arial" w:cs="Arial" w:eastAsia="Arial" w:hAnsi="Arial"/>
                <w:sz w:val="18"/>
                <w:szCs w:val="18"/>
                <w:color w:val="auto"/>
              </w:rPr>
              <w:t>c/o Appaloosa Management L.P., 51</w:t>
            </w:r>
          </w:p>
        </w:tc>
        <w:tc>
          <w:tcPr>
            <w:tcW w:w="1880" w:type="dxa"/>
            <w:vAlign w:val="bottom"/>
          </w:tcPr>
          <w:p>
            <w:pPr>
              <w:jc w:val="right"/>
              <w:ind w:right="430"/>
              <w:spacing w:after="0"/>
              <w:rPr>
                <w:sz w:val="20"/>
                <w:szCs w:val="20"/>
                <w:color w:val="auto"/>
              </w:rPr>
            </w:pPr>
            <w:r>
              <w:rPr>
                <w:rFonts w:ascii="Arial" w:cs="Arial" w:eastAsia="Arial" w:hAnsi="Arial"/>
                <w:sz w:val="18"/>
                <w:szCs w:val="18"/>
                <w:color w:val="auto"/>
              </w:rPr>
              <w:t>6,817,577</w:t>
            </w: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4500" w:type="dxa"/>
            <w:vAlign w:val="bottom"/>
          </w:tcPr>
          <w:p>
            <w:pPr>
              <w:spacing w:after="0"/>
              <w:rPr>
                <w:sz w:val="18"/>
                <w:szCs w:val="18"/>
                <w:color w:val="auto"/>
              </w:rPr>
            </w:pPr>
          </w:p>
        </w:tc>
        <w:tc>
          <w:tcPr>
            <w:tcW w:w="4000" w:type="dxa"/>
            <w:vAlign w:val="bottom"/>
          </w:tcPr>
          <w:p>
            <w:pPr>
              <w:ind w:left="860"/>
              <w:spacing w:after="0"/>
              <w:rPr>
                <w:sz w:val="20"/>
                <w:szCs w:val="20"/>
                <w:color w:val="auto"/>
              </w:rPr>
            </w:pPr>
            <w:r>
              <w:rPr>
                <w:rFonts w:ascii="Arial" w:cs="Arial" w:eastAsia="Arial" w:hAnsi="Arial"/>
                <w:sz w:val="18"/>
                <w:szCs w:val="18"/>
                <w:color w:val="auto"/>
              </w:rPr>
              <w:t>John F. Kennedy Parkway, Short</w:t>
            </w:r>
          </w:p>
        </w:tc>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4000" w:type="dxa"/>
            <w:vAlign w:val="bottom"/>
          </w:tcPr>
          <w:p>
            <w:pPr>
              <w:ind w:left="860"/>
              <w:spacing w:after="0"/>
              <w:rPr>
                <w:sz w:val="20"/>
                <w:szCs w:val="20"/>
                <w:color w:val="auto"/>
              </w:rPr>
            </w:pPr>
            <w:r>
              <w:rPr>
                <w:rFonts w:ascii="Arial" w:cs="Arial" w:eastAsia="Arial" w:hAnsi="Arial"/>
                <w:sz w:val="18"/>
                <w:szCs w:val="18"/>
                <w:color w:val="auto"/>
              </w:rPr>
              <w:t>Hills, NJ 07078</w:t>
            </w:r>
          </w:p>
        </w:tc>
        <w:tc>
          <w:tcPr>
            <w:tcW w:w="18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2"/>
        </w:trPr>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Thoroughbred Fund L.P. (“TFLP”)(15)</w:t>
            </w:r>
          </w:p>
        </w:tc>
        <w:tc>
          <w:tcPr>
            <w:tcW w:w="4000" w:type="dxa"/>
            <w:vAlign w:val="bottom"/>
            <w:shd w:val="clear" w:color="auto" w:fill="CCEEFF"/>
          </w:tcPr>
          <w:p>
            <w:pPr>
              <w:ind w:left="860"/>
              <w:spacing w:after="0" w:line="201" w:lineRule="exact"/>
              <w:rPr>
                <w:sz w:val="20"/>
                <w:szCs w:val="20"/>
                <w:color w:val="auto"/>
              </w:rPr>
            </w:pPr>
            <w:r>
              <w:rPr>
                <w:rFonts w:ascii="Arial" w:cs="Arial" w:eastAsia="Arial" w:hAnsi="Arial"/>
                <w:sz w:val="18"/>
                <w:szCs w:val="18"/>
                <w:color w:val="auto"/>
              </w:rPr>
              <w:t>c/o Appaloosa Management L.P., 51</w:t>
            </w:r>
          </w:p>
        </w:tc>
        <w:tc>
          <w:tcPr>
            <w:tcW w:w="1880" w:type="dxa"/>
            <w:vAlign w:val="bottom"/>
            <w:shd w:val="clear" w:color="auto" w:fill="CCEEFF"/>
          </w:tcPr>
          <w:p>
            <w:pPr>
              <w:jc w:val="right"/>
              <w:ind w:right="430"/>
              <w:spacing w:after="0" w:line="201" w:lineRule="exact"/>
              <w:rPr>
                <w:sz w:val="20"/>
                <w:szCs w:val="20"/>
                <w:color w:val="auto"/>
              </w:rPr>
            </w:pPr>
            <w:r>
              <w:rPr>
                <w:rFonts w:ascii="Arial" w:cs="Arial" w:eastAsia="Arial" w:hAnsi="Arial"/>
                <w:sz w:val="18"/>
                <w:szCs w:val="18"/>
                <w:color w:val="auto"/>
              </w:rPr>
              <w:t>1,385,063</w:t>
            </w:r>
          </w:p>
        </w:tc>
        <w:tc>
          <w:tcPr>
            <w:tcW w:w="10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&lt;0.1%</w:t>
            </w:r>
          </w:p>
        </w:tc>
      </w:tr>
      <w:tr>
        <w:trPr>
          <w:trHeight w:val="216"/>
        </w:trPr>
        <w:tc>
          <w:tcPr>
            <w:tcW w:w="4500" w:type="dxa"/>
            <w:vAlign w:val="bottom"/>
            <w:shd w:val="clear" w:color="auto" w:fill="CCEEFF"/>
          </w:tcPr>
          <w:p>
            <w:pPr>
              <w:spacing w:after="0"/>
              <w:rPr>
                <w:sz w:val="18"/>
                <w:szCs w:val="18"/>
                <w:color w:val="auto"/>
              </w:rPr>
            </w:pPr>
          </w:p>
        </w:tc>
        <w:tc>
          <w:tcPr>
            <w:tcW w:w="4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John F. Kennedy Parkway, Short</w:t>
            </w:r>
          </w:p>
        </w:tc>
        <w:tc>
          <w:tcPr>
            <w:tcW w:w="1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4500" w:type="dxa"/>
            <w:vAlign w:val="bottom"/>
            <w:shd w:val="clear" w:color="auto" w:fill="CCEEFF"/>
          </w:tcPr>
          <w:p>
            <w:pPr>
              <w:spacing w:after="0"/>
              <w:rPr>
                <w:sz w:val="20"/>
                <w:szCs w:val="20"/>
                <w:color w:val="auto"/>
              </w:rPr>
            </w:pPr>
          </w:p>
        </w:tc>
        <w:tc>
          <w:tcPr>
            <w:tcW w:w="4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Hills, NJ 07078</w:t>
            </w:r>
          </w:p>
        </w:tc>
        <w:tc>
          <w:tcPr>
            <w:tcW w:w="18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rPr>
              <w:t>Thoroughbred Master Ltd. (“TML”)(16)</w:t>
            </w:r>
          </w:p>
        </w:tc>
        <w:tc>
          <w:tcPr>
            <w:tcW w:w="4000" w:type="dxa"/>
            <w:vAlign w:val="bottom"/>
          </w:tcPr>
          <w:p>
            <w:pPr>
              <w:ind w:left="860"/>
              <w:spacing w:after="0" w:line="201" w:lineRule="exact"/>
              <w:rPr>
                <w:sz w:val="20"/>
                <w:szCs w:val="20"/>
                <w:color w:val="auto"/>
              </w:rPr>
            </w:pPr>
            <w:r>
              <w:rPr>
                <w:rFonts w:ascii="Arial" w:cs="Arial" w:eastAsia="Arial" w:hAnsi="Arial"/>
                <w:sz w:val="18"/>
                <w:szCs w:val="18"/>
                <w:color w:val="auto"/>
              </w:rPr>
              <w:t>c/o Appaloosa Management L.P., 51</w:t>
            </w:r>
          </w:p>
        </w:tc>
        <w:tc>
          <w:tcPr>
            <w:tcW w:w="1880" w:type="dxa"/>
            <w:vAlign w:val="bottom"/>
          </w:tcPr>
          <w:p>
            <w:pPr>
              <w:jc w:val="right"/>
              <w:ind w:right="430"/>
              <w:spacing w:after="0" w:line="201" w:lineRule="exact"/>
              <w:rPr>
                <w:sz w:val="20"/>
                <w:szCs w:val="20"/>
                <w:color w:val="auto"/>
              </w:rPr>
            </w:pPr>
            <w:r>
              <w:rPr>
                <w:rFonts w:ascii="Arial" w:cs="Arial" w:eastAsia="Arial" w:hAnsi="Arial"/>
                <w:sz w:val="18"/>
                <w:szCs w:val="18"/>
                <w:color w:val="auto"/>
              </w:rPr>
              <w:t>1,408,810</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&lt;0.1%</w:t>
            </w:r>
          </w:p>
        </w:tc>
      </w:tr>
      <w:tr>
        <w:trPr>
          <w:trHeight w:val="216"/>
        </w:trPr>
        <w:tc>
          <w:tcPr>
            <w:tcW w:w="4500" w:type="dxa"/>
            <w:vAlign w:val="bottom"/>
          </w:tcPr>
          <w:p>
            <w:pPr>
              <w:spacing w:after="0"/>
              <w:rPr>
                <w:sz w:val="18"/>
                <w:szCs w:val="18"/>
                <w:color w:val="auto"/>
              </w:rPr>
            </w:pPr>
          </w:p>
        </w:tc>
        <w:tc>
          <w:tcPr>
            <w:tcW w:w="4000" w:type="dxa"/>
            <w:vAlign w:val="bottom"/>
          </w:tcPr>
          <w:p>
            <w:pPr>
              <w:ind w:left="860"/>
              <w:spacing w:after="0"/>
              <w:rPr>
                <w:sz w:val="20"/>
                <w:szCs w:val="20"/>
                <w:color w:val="auto"/>
              </w:rPr>
            </w:pPr>
            <w:r>
              <w:rPr>
                <w:rFonts w:ascii="Arial" w:cs="Arial" w:eastAsia="Arial" w:hAnsi="Arial"/>
                <w:sz w:val="18"/>
                <w:szCs w:val="18"/>
                <w:color w:val="auto"/>
              </w:rPr>
              <w:t>John F. Kennedy Parkway, Short</w:t>
            </w:r>
          </w:p>
        </w:tc>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4000" w:type="dxa"/>
            <w:vAlign w:val="bottom"/>
          </w:tcPr>
          <w:p>
            <w:pPr>
              <w:ind w:left="860"/>
              <w:spacing w:after="0"/>
              <w:rPr>
                <w:sz w:val="20"/>
                <w:szCs w:val="20"/>
                <w:color w:val="auto"/>
              </w:rPr>
            </w:pPr>
            <w:r>
              <w:rPr>
                <w:rFonts w:ascii="Arial" w:cs="Arial" w:eastAsia="Arial" w:hAnsi="Arial"/>
                <w:sz w:val="18"/>
                <w:szCs w:val="18"/>
                <w:color w:val="auto"/>
              </w:rPr>
              <w:t>Hills, NJ 07078</w:t>
            </w:r>
          </w:p>
        </w:tc>
        <w:tc>
          <w:tcPr>
            <w:tcW w:w="18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2"/>
        </w:trPr>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Appaloosa Management L.P. (“AMLP”)(17)</w:t>
            </w:r>
          </w:p>
        </w:tc>
        <w:tc>
          <w:tcPr>
            <w:tcW w:w="4000" w:type="dxa"/>
            <w:vAlign w:val="bottom"/>
            <w:shd w:val="clear" w:color="auto" w:fill="CCEEFF"/>
          </w:tcPr>
          <w:p>
            <w:pPr>
              <w:ind w:left="860"/>
              <w:spacing w:after="0" w:line="201" w:lineRule="exact"/>
              <w:rPr>
                <w:sz w:val="20"/>
                <w:szCs w:val="20"/>
                <w:color w:val="auto"/>
              </w:rPr>
            </w:pPr>
            <w:r>
              <w:rPr>
                <w:rFonts w:ascii="Arial" w:cs="Arial" w:eastAsia="Arial" w:hAnsi="Arial"/>
                <w:sz w:val="18"/>
                <w:szCs w:val="18"/>
                <w:color w:val="auto"/>
              </w:rPr>
              <w:t>51 John F. Kennedy Parkway, Short</w:t>
            </w:r>
          </w:p>
        </w:tc>
        <w:tc>
          <w:tcPr>
            <w:tcW w:w="1880" w:type="dxa"/>
            <w:vAlign w:val="bottom"/>
            <w:shd w:val="clear" w:color="auto" w:fill="CCEEFF"/>
          </w:tcPr>
          <w:p>
            <w:pPr>
              <w:jc w:val="right"/>
              <w:ind w:right="430"/>
              <w:spacing w:after="0" w:line="201" w:lineRule="exact"/>
              <w:rPr>
                <w:sz w:val="20"/>
                <w:szCs w:val="20"/>
                <w:color w:val="auto"/>
              </w:rPr>
            </w:pPr>
            <w:r>
              <w:rPr>
                <w:rFonts w:ascii="Arial" w:cs="Arial" w:eastAsia="Arial" w:hAnsi="Arial"/>
                <w:sz w:val="18"/>
                <w:szCs w:val="18"/>
                <w:color w:val="auto"/>
              </w:rPr>
              <w:t>14,620,646</w:t>
            </w:r>
          </w:p>
        </w:tc>
        <w:tc>
          <w:tcPr>
            <w:tcW w:w="10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0.9%</w:t>
            </w:r>
          </w:p>
        </w:tc>
      </w:tr>
      <w:tr>
        <w:trPr>
          <w:trHeight w:val="230"/>
        </w:trPr>
        <w:tc>
          <w:tcPr>
            <w:tcW w:w="4500" w:type="dxa"/>
            <w:vAlign w:val="bottom"/>
            <w:shd w:val="clear" w:color="auto" w:fill="CCEEFF"/>
          </w:tcPr>
          <w:p>
            <w:pPr>
              <w:spacing w:after="0"/>
              <w:rPr>
                <w:sz w:val="20"/>
                <w:szCs w:val="20"/>
                <w:color w:val="auto"/>
              </w:rPr>
            </w:pPr>
          </w:p>
        </w:tc>
        <w:tc>
          <w:tcPr>
            <w:tcW w:w="4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Hills, NJ 07078</w:t>
            </w:r>
          </w:p>
        </w:tc>
        <w:tc>
          <w:tcPr>
            <w:tcW w:w="18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rPr>
              <w:t>Appaloosa Partners Inc.(18)</w:t>
            </w:r>
          </w:p>
        </w:tc>
        <w:tc>
          <w:tcPr>
            <w:tcW w:w="4000" w:type="dxa"/>
            <w:vAlign w:val="bottom"/>
          </w:tcPr>
          <w:p>
            <w:pPr>
              <w:ind w:left="860"/>
              <w:spacing w:after="0" w:line="201" w:lineRule="exact"/>
              <w:rPr>
                <w:sz w:val="20"/>
                <w:szCs w:val="20"/>
                <w:color w:val="auto"/>
              </w:rPr>
            </w:pPr>
            <w:r>
              <w:rPr>
                <w:rFonts w:ascii="Arial" w:cs="Arial" w:eastAsia="Arial" w:hAnsi="Arial"/>
                <w:sz w:val="18"/>
                <w:szCs w:val="18"/>
                <w:color w:val="auto"/>
              </w:rPr>
              <w:t>c/o Appaloosa Management L.P., 51</w:t>
            </w:r>
          </w:p>
        </w:tc>
        <w:tc>
          <w:tcPr>
            <w:tcW w:w="1880" w:type="dxa"/>
            <w:vAlign w:val="bottom"/>
          </w:tcPr>
          <w:p>
            <w:pPr>
              <w:jc w:val="right"/>
              <w:ind w:right="430"/>
              <w:spacing w:after="0" w:line="201" w:lineRule="exact"/>
              <w:rPr>
                <w:sz w:val="20"/>
                <w:szCs w:val="20"/>
                <w:color w:val="auto"/>
              </w:rPr>
            </w:pPr>
            <w:r>
              <w:rPr>
                <w:rFonts w:ascii="Arial" w:cs="Arial" w:eastAsia="Arial" w:hAnsi="Arial"/>
                <w:sz w:val="18"/>
                <w:szCs w:val="18"/>
                <w:color w:val="auto"/>
              </w:rPr>
              <w:t>14,620,646</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0.9%</w:t>
            </w:r>
          </w:p>
        </w:tc>
      </w:tr>
      <w:tr>
        <w:trPr>
          <w:trHeight w:val="216"/>
        </w:trPr>
        <w:tc>
          <w:tcPr>
            <w:tcW w:w="4500" w:type="dxa"/>
            <w:vAlign w:val="bottom"/>
          </w:tcPr>
          <w:p>
            <w:pPr>
              <w:spacing w:after="0"/>
              <w:rPr>
                <w:sz w:val="18"/>
                <w:szCs w:val="18"/>
                <w:color w:val="auto"/>
              </w:rPr>
            </w:pPr>
          </w:p>
        </w:tc>
        <w:tc>
          <w:tcPr>
            <w:tcW w:w="4000" w:type="dxa"/>
            <w:vAlign w:val="bottom"/>
          </w:tcPr>
          <w:p>
            <w:pPr>
              <w:ind w:left="860"/>
              <w:spacing w:after="0"/>
              <w:rPr>
                <w:sz w:val="20"/>
                <w:szCs w:val="20"/>
                <w:color w:val="auto"/>
              </w:rPr>
            </w:pPr>
            <w:r>
              <w:rPr>
                <w:rFonts w:ascii="Arial" w:cs="Arial" w:eastAsia="Arial" w:hAnsi="Arial"/>
                <w:sz w:val="18"/>
                <w:szCs w:val="18"/>
                <w:color w:val="auto"/>
              </w:rPr>
              <w:t>John F. Kennedy Parkway, Short</w:t>
            </w:r>
          </w:p>
        </w:tc>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4000" w:type="dxa"/>
            <w:vAlign w:val="bottom"/>
          </w:tcPr>
          <w:p>
            <w:pPr>
              <w:ind w:left="860"/>
              <w:spacing w:after="0"/>
              <w:rPr>
                <w:sz w:val="20"/>
                <w:szCs w:val="20"/>
                <w:color w:val="auto"/>
              </w:rPr>
            </w:pPr>
            <w:r>
              <w:rPr>
                <w:rFonts w:ascii="Arial" w:cs="Arial" w:eastAsia="Arial" w:hAnsi="Arial"/>
                <w:sz w:val="18"/>
                <w:szCs w:val="18"/>
                <w:color w:val="auto"/>
              </w:rPr>
              <w:t>Hills, NJ 07078</w:t>
            </w:r>
          </w:p>
        </w:tc>
        <w:tc>
          <w:tcPr>
            <w:tcW w:w="18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2"/>
        </w:trPr>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A. Tepper(19)</w:t>
            </w:r>
          </w:p>
        </w:tc>
        <w:tc>
          <w:tcPr>
            <w:tcW w:w="4000" w:type="dxa"/>
            <w:vAlign w:val="bottom"/>
            <w:shd w:val="clear" w:color="auto" w:fill="CCEEFF"/>
          </w:tcPr>
          <w:p>
            <w:pPr>
              <w:ind w:left="860"/>
              <w:spacing w:after="0" w:line="201" w:lineRule="exact"/>
              <w:rPr>
                <w:sz w:val="20"/>
                <w:szCs w:val="20"/>
                <w:color w:val="auto"/>
              </w:rPr>
            </w:pPr>
            <w:r>
              <w:rPr>
                <w:rFonts w:ascii="Arial" w:cs="Arial" w:eastAsia="Arial" w:hAnsi="Arial"/>
                <w:sz w:val="18"/>
                <w:szCs w:val="18"/>
                <w:color w:val="auto"/>
              </w:rPr>
              <w:t>c/o Appaloosa Management L.P., 51</w:t>
            </w:r>
          </w:p>
        </w:tc>
        <w:tc>
          <w:tcPr>
            <w:tcW w:w="1880" w:type="dxa"/>
            <w:vAlign w:val="bottom"/>
            <w:shd w:val="clear" w:color="auto" w:fill="CCEEFF"/>
          </w:tcPr>
          <w:p>
            <w:pPr>
              <w:jc w:val="right"/>
              <w:ind w:right="430"/>
              <w:spacing w:after="0" w:line="201" w:lineRule="exact"/>
              <w:rPr>
                <w:sz w:val="20"/>
                <w:szCs w:val="20"/>
                <w:color w:val="auto"/>
              </w:rPr>
            </w:pPr>
            <w:r>
              <w:rPr>
                <w:rFonts w:ascii="Arial" w:cs="Arial" w:eastAsia="Arial" w:hAnsi="Arial"/>
                <w:sz w:val="18"/>
                <w:szCs w:val="18"/>
                <w:color w:val="auto"/>
              </w:rPr>
              <w:t>14,620,646</w:t>
            </w:r>
          </w:p>
        </w:tc>
        <w:tc>
          <w:tcPr>
            <w:tcW w:w="10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0.9%</w:t>
            </w:r>
          </w:p>
        </w:tc>
      </w:tr>
      <w:tr>
        <w:trPr>
          <w:trHeight w:val="216"/>
        </w:trPr>
        <w:tc>
          <w:tcPr>
            <w:tcW w:w="4500" w:type="dxa"/>
            <w:vAlign w:val="bottom"/>
            <w:shd w:val="clear" w:color="auto" w:fill="CCEEFF"/>
          </w:tcPr>
          <w:p>
            <w:pPr>
              <w:spacing w:after="0"/>
              <w:rPr>
                <w:sz w:val="18"/>
                <w:szCs w:val="18"/>
                <w:color w:val="auto"/>
              </w:rPr>
            </w:pPr>
          </w:p>
        </w:tc>
        <w:tc>
          <w:tcPr>
            <w:tcW w:w="4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John F. Kennedy Parkway, Short</w:t>
            </w:r>
          </w:p>
        </w:tc>
        <w:tc>
          <w:tcPr>
            <w:tcW w:w="1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4500" w:type="dxa"/>
            <w:vAlign w:val="bottom"/>
            <w:shd w:val="clear" w:color="auto" w:fill="CCEEFF"/>
          </w:tcPr>
          <w:p>
            <w:pPr>
              <w:spacing w:after="0"/>
              <w:rPr>
                <w:sz w:val="20"/>
                <w:szCs w:val="20"/>
                <w:color w:val="auto"/>
              </w:rPr>
            </w:pPr>
          </w:p>
        </w:tc>
        <w:tc>
          <w:tcPr>
            <w:tcW w:w="4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Hills, NJ 07078</w:t>
            </w:r>
          </w:p>
        </w:tc>
        <w:tc>
          <w:tcPr>
            <w:tcW w:w="18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rPr>
              <w:t>Hayman Capital Management, L.P. (“HCM”)(20)</w:t>
            </w:r>
          </w:p>
        </w:tc>
        <w:tc>
          <w:tcPr>
            <w:tcW w:w="4000" w:type="dxa"/>
            <w:vAlign w:val="bottom"/>
          </w:tcPr>
          <w:p>
            <w:pPr>
              <w:ind w:left="860"/>
              <w:spacing w:after="0" w:line="201" w:lineRule="exact"/>
              <w:rPr>
                <w:sz w:val="20"/>
                <w:szCs w:val="20"/>
                <w:color w:val="auto"/>
              </w:rPr>
            </w:pPr>
            <w:r>
              <w:rPr>
                <w:rFonts w:ascii="Arial" w:cs="Arial" w:eastAsia="Arial" w:hAnsi="Arial"/>
                <w:sz w:val="18"/>
                <w:szCs w:val="18"/>
                <w:color w:val="auto"/>
              </w:rPr>
              <w:t>2101 Cedar Springs Road, Suite</w:t>
            </w:r>
          </w:p>
        </w:tc>
        <w:tc>
          <w:tcPr>
            <w:tcW w:w="1880" w:type="dxa"/>
            <w:vAlign w:val="bottom"/>
          </w:tcPr>
          <w:p>
            <w:pPr>
              <w:jc w:val="right"/>
              <w:ind w:right="430"/>
              <w:spacing w:after="0" w:line="201" w:lineRule="exact"/>
              <w:rPr>
                <w:sz w:val="20"/>
                <w:szCs w:val="20"/>
                <w:color w:val="auto"/>
              </w:rPr>
            </w:pPr>
            <w:r>
              <w:rPr>
                <w:rFonts w:ascii="Arial" w:cs="Arial" w:eastAsia="Arial" w:hAnsi="Arial"/>
                <w:sz w:val="18"/>
                <w:szCs w:val="18"/>
                <w:color w:val="auto"/>
              </w:rPr>
              <w:t>4,881,709</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0.3%</w:t>
            </w:r>
          </w:p>
        </w:tc>
      </w:tr>
      <w:tr>
        <w:trPr>
          <w:trHeight w:val="230"/>
        </w:trPr>
        <w:tc>
          <w:tcPr>
            <w:tcW w:w="4500" w:type="dxa"/>
            <w:vAlign w:val="bottom"/>
          </w:tcPr>
          <w:p>
            <w:pPr>
              <w:spacing w:after="0"/>
              <w:rPr>
                <w:sz w:val="20"/>
                <w:szCs w:val="20"/>
                <w:color w:val="auto"/>
              </w:rPr>
            </w:pPr>
          </w:p>
        </w:tc>
        <w:tc>
          <w:tcPr>
            <w:tcW w:w="4000" w:type="dxa"/>
            <w:vAlign w:val="bottom"/>
          </w:tcPr>
          <w:p>
            <w:pPr>
              <w:ind w:left="860"/>
              <w:spacing w:after="0"/>
              <w:rPr>
                <w:sz w:val="20"/>
                <w:szCs w:val="20"/>
                <w:color w:val="auto"/>
              </w:rPr>
            </w:pPr>
            <w:r>
              <w:rPr>
                <w:rFonts w:ascii="Arial" w:cs="Arial" w:eastAsia="Arial" w:hAnsi="Arial"/>
                <w:sz w:val="18"/>
                <w:szCs w:val="18"/>
                <w:color w:val="auto"/>
              </w:rPr>
              <w:t>1400, Dallas, TX 75201</w:t>
            </w:r>
          </w:p>
        </w:tc>
        <w:tc>
          <w:tcPr>
            <w:tcW w:w="18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2"/>
        </w:trPr>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Hayman Capital Master Fund, L.P. (“HCMF”)(21)</w:t>
            </w:r>
          </w:p>
        </w:tc>
        <w:tc>
          <w:tcPr>
            <w:tcW w:w="4000" w:type="dxa"/>
            <w:vAlign w:val="bottom"/>
            <w:shd w:val="clear" w:color="auto" w:fill="CCEEFF"/>
          </w:tcPr>
          <w:p>
            <w:pPr>
              <w:ind w:left="860"/>
              <w:spacing w:after="0" w:line="201" w:lineRule="exact"/>
              <w:rPr>
                <w:sz w:val="20"/>
                <w:szCs w:val="20"/>
                <w:color w:val="auto"/>
              </w:rPr>
            </w:pPr>
            <w:r>
              <w:rPr>
                <w:rFonts w:ascii="Arial" w:cs="Arial" w:eastAsia="Arial" w:hAnsi="Arial"/>
                <w:sz w:val="18"/>
                <w:szCs w:val="18"/>
                <w:color w:val="auto"/>
              </w:rPr>
              <w:t>c/o Hayman Capital Management,</w:t>
            </w:r>
          </w:p>
        </w:tc>
        <w:tc>
          <w:tcPr>
            <w:tcW w:w="1880" w:type="dxa"/>
            <w:vAlign w:val="bottom"/>
            <w:shd w:val="clear" w:color="auto" w:fill="CCEEFF"/>
          </w:tcPr>
          <w:p>
            <w:pPr>
              <w:jc w:val="right"/>
              <w:ind w:right="430"/>
              <w:spacing w:after="0" w:line="201" w:lineRule="exact"/>
              <w:rPr>
                <w:sz w:val="20"/>
                <w:szCs w:val="20"/>
                <w:color w:val="auto"/>
              </w:rPr>
            </w:pPr>
            <w:r>
              <w:rPr>
                <w:rFonts w:ascii="Arial" w:cs="Arial" w:eastAsia="Arial" w:hAnsi="Arial"/>
                <w:sz w:val="18"/>
                <w:szCs w:val="18"/>
                <w:color w:val="auto"/>
              </w:rPr>
              <w:t>4,755,742</w:t>
            </w:r>
          </w:p>
        </w:tc>
        <w:tc>
          <w:tcPr>
            <w:tcW w:w="10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0.3%</w:t>
            </w:r>
          </w:p>
        </w:tc>
      </w:tr>
      <w:tr>
        <w:trPr>
          <w:trHeight w:val="216"/>
        </w:trPr>
        <w:tc>
          <w:tcPr>
            <w:tcW w:w="4500" w:type="dxa"/>
            <w:vAlign w:val="bottom"/>
            <w:shd w:val="clear" w:color="auto" w:fill="CCEEFF"/>
          </w:tcPr>
          <w:p>
            <w:pPr>
              <w:spacing w:after="0"/>
              <w:rPr>
                <w:sz w:val="18"/>
                <w:szCs w:val="18"/>
                <w:color w:val="auto"/>
              </w:rPr>
            </w:pPr>
          </w:p>
        </w:tc>
        <w:tc>
          <w:tcPr>
            <w:tcW w:w="4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L.P.</w:t>
            </w:r>
          </w:p>
        </w:tc>
        <w:tc>
          <w:tcPr>
            <w:tcW w:w="1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500" w:type="dxa"/>
            <w:vAlign w:val="bottom"/>
            <w:shd w:val="clear" w:color="auto" w:fill="CCEEFF"/>
          </w:tcPr>
          <w:p>
            <w:pPr>
              <w:spacing w:after="0"/>
              <w:rPr>
                <w:sz w:val="18"/>
                <w:szCs w:val="18"/>
                <w:color w:val="auto"/>
              </w:rPr>
            </w:pPr>
          </w:p>
        </w:tc>
        <w:tc>
          <w:tcPr>
            <w:tcW w:w="4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2101 Cedar Springs Road, Suite</w:t>
            </w:r>
          </w:p>
        </w:tc>
        <w:tc>
          <w:tcPr>
            <w:tcW w:w="1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4"/>
        </w:trPr>
        <w:tc>
          <w:tcPr>
            <w:tcW w:w="4500" w:type="dxa"/>
            <w:vAlign w:val="bottom"/>
            <w:shd w:val="clear" w:color="auto" w:fill="CCEEFF"/>
          </w:tcPr>
          <w:p>
            <w:pPr>
              <w:spacing w:after="0"/>
              <w:rPr>
                <w:sz w:val="21"/>
                <w:szCs w:val="21"/>
                <w:color w:val="auto"/>
              </w:rPr>
            </w:pPr>
          </w:p>
        </w:tc>
        <w:tc>
          <w:tcPr>
            <w:tcW w:w="4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1400, Dallas, TX 75201</w:t>
            </w:r>
          </w:p>
        </w:tc>
        <w:tc>
          <w:tcPr>
            <w:tcW w:w="18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rPr>
              <w:t>Hayman Dialogo LLC (“HDL”)</w:t>
            </w:r>
          </w:p>
        </w:tc>
        <w:tc>
          <w:tcPr>
            <w:tcW w:w="4000" w:type="dxa"/>
            <w:vAlign w:val="bottom"/>
          </w:tcPr>
          <w:p>
            <w:pPr>
              <w:ind w:left="860"/>
              <w:spacing w:after="0" w:line="201" w:lineRule="exact"/>
              <w:rPr>
                <w:sz w:val="20"/>
                <w:szCs w:val="20"/>
                <w:color w:val="auto"/>
              </w:rPr>
            </w:pPr>
            <w:r>
              <w:rPr>
                <w:rFonts w:ascii="Arial" w:cs="Arial" w:eastAsia="Arial" w:hAnsi="Arial"/>
                <w:sz w:val="18"/>
                <w:szCs w:val="18"/>
                <w:color w:val="auto"/>
              </w:rPr>
              <w:t>c/o Hayman Capital Management,</w:t>
            </w:r>
          </w:p>
        </w:tc>
        <w:tc>
          <w:tcPr>
            <w:tcW w:w="1880" w:type="dxa"/>
            <w:vAlign w:val="bottom"/>
          </w:tcPr>
          <w:p>
            <w:pPr>
              <w:jc w:val="right"/>
              <w:ind w:right="430"/>
              <w:spacing w:after="0" w:line="201" w:lineRule="exact"/>
              <w:rPr>
                <w:sz w:val="20"/>
                <w:szCs w:val="20"/>
                <w:color w:val="auto"/>
              </w:rPr>
            </w:pPr>
            <w:r>
              <w:rPr>
                <w:rFonts w:ascii="Arial" w:cs="Arial" w:eastAsia="Arial" w:hAnsi="Arial"/>
                <w:sz w:val="18"/>
                <w:szCs w:val="18"/>
                <w:color w:val="auto"/>
              </w:rPr>
              <w:t>125,967</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&lt;0.1%</w:t>
            </w:r>
          </w:p>
        </w:tc>
      </w:tr>
      <w:tr>
        <w:trPr>
          <w:trHeight w:val="216"/>
        </w:trPr>
        <w:tc>
          <w:tcPr>
            <w:tcW w:w="4500" w:type="dxa"/>
            <w:vAlign w:val="bottom"/>
          </w:tcPr>
          <w:p>
            <w:pPr>
              <w:spacing w:after="0"/>
              <w:rPr>
                <w:sz w:val="18"/>
                <w:szCs w:val="18"/>
                <w:color w:val="auto"/>
              </w:rPr>
            </w:pPr>
          </w:p>
        </w:tc>
        <w:tc>
          <w:tcPr>
            <w:tcW w:w="4000" w:type="dxa"/>
            <w:vAlign w:val="bottom"/>
          </w:tcPr>
          <w:p>
            <w:pPr>
              <w:ind w:left="860"/>
              <w:spacing w:after="0"/>
              <w:rPr>
                <w:sz w:val="20"/>
                <w:szCs w:val="20"/>
                <w:color w:val="auto"/>
              </w:rPr>
            </w:pPr>
            <w:r>
              <w:rPr>
                <w:rFonts w:ascii="Arial" w:cs="Arial" w:eastAsia="Arial" w:hAnsi="Arial"/>
                <w:sz w:val="18"/>
                <w:szCs w:val="18"/>
                <w:color w:val="auto"/>
              </w:rPr>
              <w:t>L.P.</w:t>
            </w:r>
          </w:p>
        </w:tc>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4000" w:type="dxa"/>
            <w:vAlign w:val="bottom"/>
          </w:tcPr>
          <w:p>
            <w:pPr>
              <w:ind w:left="860"/>
              <w:spacing w:after="0"/>
              <w:rPr>
                <w:sz w:val="20"/>
                <w:szCs w:val="20"/>
                <w:color w:val="auto"/>
              </w:rPr>
            </w:pPr>
            <w:r>
              <w:rPr>
                <w:rFonts w:ascii="Arial" w:cs="Arial" w:eastAsia="Arial" w:hAnsi="Arial"/>
                <w:sz w:val="18"/>
                <w:szCs w:val="18"/>
                <w:color w:val="auto"/>
              </w:rPr>
              <w:t>2101 Cedar Springs Road, Suite</w:t>
            </w:r>
          </w:p>
        </w:tc>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4000" w:type="dxa"/>
            <w:vAlign w:val="bottom"/>
          </w:tcPr>
          <w:p>
            <w:pPr>
              <w:ind w:left="860"/>
              <w:spacing w:after="0"/>
              <w:rPr>
                <w:sz w:val="20"/>
                <w:szCs w:val="20"/>
                <w:color w:val="auto"/>
              </w:rPr>
            </w:pPr>
            <w:r>
              <w:rPr>
                <w:rFonts w:ascii="Arial" w:cs="Arial" w:eastAsia="Arial" w:hAnsi="Arial"/>
                <w:sz w:val="18"/>
                <w:szCs w:val="18"/>
                <w:color w:val="auto"/>
              </w:rPr>
              <w:t>1400, Dallas, TX 75201</w:t>
            </w:r>
          </w:p>
        </w:tc>
        <w:tc>
          <w:tcPr>
            <w:tcW w:w="18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5"/>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Hayman Investments, L.L.C.(22)</w:t>
            </w:r>
          </w:p>
        </w:tc>
        <w:tc>
          <w:tcPr>
            <w:tcW w:w="4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2101 Cedar Springs Road, Suite</w:t>
            </w:r>
          </w:p>
        </w:tc>
        <w:tc>
          <w:tcPr>
            <w:tcW w:w="18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4,881,709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4500" w:type="dxa"/>
            <w:vAlign w:val="bottom"/>
            <w:shd w:val="clear" w:color="auto" w:fill="CCEEFF"/>
          </w:tcPr>
          <w:p>
            <w:pPr>
              <w:spacing w:after="0"/>
              <w:rPr>
                <w:sz w:val="20"/>
                <w:szCs w:val="20"/>
                <w:color w:val="auto"/>
              </w:rPr>
            </w:pPr>
          </w:p>
        </w:tc>
        <w:tc>
          <w:tcPr>
            <w:tcW w:w="4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1400, Dallas, TX 75201</w:t>
            </w:r>
          </w:p>
        </w:tc>
        <w:tc>
          <w:tcPr>
            <w:tcW w:w="18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rPr>
              <w:t>J. Kyle Bass(23)</w:t>
            </w:r>
          </w:p>
        </w:tc>
        <w:tc>
          <w:tcPr>
            <w:tcW w:w="4000" w:type="dxa"/>
            <w:vAlign w:val="bottom"/>
          </w:tcPr>
          <w:p>
            <w:pPr>
              <w:ind w:left="860"/>
              <w:spacing w:after="0" w:line="201" w:lineRule="exact"/>
              <w:rPr>
                <w:sz w:val="20"/>
                <w:szCs w:val="20"/>
                <w:color w:val="auto"/>
              </w:rPr>
            </w:pPr>
            <w:r>
              <w:rPr>
                <w:rFonts w:ascii="Arial" w:cs="Arial" w:eastAsia="Arial" w:hAnsi="Arial"/>
                <w:sz w:val="18"/>
                <w:szCs w:val="18"/>
                <w:color w:val="auto"/>
              </w:rPr>
              <w:t>2101 Cedar Springs Road, Suite</w:t>
            </w:r>
          </w:p>
        </w:tc>
        <w:tc>
          <w:tcPr>
            <w:tcW w:w="1880" w:type="dxa"/>
            <w:vAlign w:val="bottom"/>
          </w:tcPr>
          <w:p>
            <w:pPr>
              <w:jc w:val="right"/>
              <w:ind w:right="430"/>
              <w:spacing w:after="0" w:line="201" w:lineRule="exact"/>
              <w:rPr>
                <w:sz w:val="20"/>
                <w:szCs w:val="20"/>
                <w:color w:val="auto"/>
              </w:rPr>
            </w:pPr>
            <w:r>
              <w:rPr>
                <w:rFonts w:ascii="Arial" w:cs="Arial" w:eastAsia="Arial" w:hAnsi="Arial"/>
                <w:sz w:val="18"/>
                <w:szCs w:val="18"/>
                <w:color w:val="auto"/>
              </w:rPr>
              <w:t>4,881,709</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0.3%</w:t>
            </w:r>
          </w:p>
        </w:tc>
      </w:tr>
      <w:tr>
        <w:trPr>
          <w:trHeight w:val="230"/>
        </w:trPr>
        <w:tc>
          <w:tcPr>
            <w:tcW w:w="4500" w:type="dxa"/>
            <w:vAlign w:val="bottom"/>
          </w:tcPr>
          <w:p>
            <w:pPr>
              <w:spacing w:after="0"/>
              <w:rPr>
                <w:sz w:val="20"/>
                <w:szCs w:val="20"/>
                <w:color w:val="auto"/>
              </w:rPr>
            </w:pPr>
          </w:p>
        </w:tc>
        <w:tc>
          <w:tcPr>
            <w:tcW w:w="4000" w:type="dxa"/>
            <w:vAlign w:val="bottom"/>
          </w:tcPr>
          <w:p>
            <w:pPr>
              <w:ind w:left="860"/>
              <w:spacing w:after="0"/>
              <w:rPr>
                <w:sz w:val="20"/>
                <w:szCs w:val="20"/>
                <w:color w:val="auto"/>
              </w:rPr>
            </w:pPr>
            <w:r>
              <w:rPr>
                <w:rFonts w:ascii="Arial" w:cs="Arial" w:eastAsia="Arial" w:hAnsi="Arial"/>
                <w:sz w:val="18"/>
                <w:szCs w:val="18"/>
                <w:color w:val="auto"/>
              </w:rPr>
              <w:t>1400, Dallas, TX 75201</w:t>
            </w:r>
          </w:p>
        </w:tc>
        <w:tc>
          <w:tcPr>
            <w:tcW w:w="18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2"/>
        </w:trPr>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HG Vora Special Opportunities Master Fund, Ltd.</w:t>
            </w:r>
          </w:p>
        </w:tc>
        <w:tc>
          <w:tcPr>
            <w:tcW w:w="4000" w:type="dxa"/>
            <w:vAlign w:val="bottom"/>
            <w:shd w:val="clear" w:color="auto" w:fill="CCEEFF"/>
          </w:tcPr>
          <w:p>
            <w:pPr>
              <w:ind w:left="860"/>
              <w:spacing w:after="0" w:line="201" w:lineRule="exact"/>
              <w:rPr>
                <w:sz w:val="20"/>
                <w:szCs w:val="20"/>
                <w:color w:val="auto"/>
              </w:rPr>
            </w:pPr>
            <w:r>
              <w:rPr>
                <w:rFonts w:ascii="Arial" w:cs="Arial" w:eastAsia="Arial" w:hAnsi="Arial"/>
                <w:sz w:val="18"/>
                <w:szCs w:val="18"/>
                <w:color w:val="auto"/>
              </w:rPr>
              <w:t>330 Madison Avenue, 23rd Floor,</w:t>
            </w:r>
          </w:p>
        </w:tc>
        <w:tc>
          <w:tcPr>
            <w:tcW w:w="1880" w:type="dxa"/>
            <w:vAlign w:val="bottom"/>
            <w:shd w:val="clear" w:color="auto" w:fill="CCEEFF"/>
          </w:tcPr>
          <w:p>
            <w:pPr>
              <w:jc w:val="right"/>
              <w:ind w:right="430"/>
              <w:spacing w:after="0" w:line="201" w:lineRule="exact"/>
              <w:rPr>
                <w:sz w:val="20"/>
                <w:szCs w:val="20"/>
                <w:color w:val="auto"/>
              </w:rPr>
            </w:pPr>
            <w:r>
              <w:rPr>
                <w:rFonts w:ascii="Arial" w:cs="Arial" w:eastAsia="Arial" w:hAnsi="Arial"/>
                <w:sz w:val="18"/>
                <w:szCs w:val="18"/>
                <w:color w:val="auto"/>
              </w:rPr>
              <w:t>4,000,000</w:t>
            </w:r>
          </w:p>
        </w:tc>
        <w:tc>
          <w:tcPr>
            <w:tcW w:w="10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0.2%</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(“HGVMF”)(24)</w:t>
            </w:r>
          </w:p>
        </w:tc>
        <w:tc>
          <w:tcPr>
            <w:tcW w:w="4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New York, NY 10017</w:t>
            </w:r>
          </w:p>
        </w:tc>
        <w:tc>
          <w:tcPr>
            <w:tcW w:w="18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bl>
    <w:p>
      <w:pPr>
        <w:sectPr>
          <w:pgSz w:w="11900" w:h="16838" w:orient="portrait"/>
          <w:cols w:equalWidth="0" w:num="1">
            <w:col w:w="11420"/>
          </w:cols>
          <w:pgMar w:left="240" w:top="422"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HG Vora Capital Management, LLC (“HGVCM”)(25)</w:t>
            </w:r>
          </w:p>
        </w:tc>
        <w:tc>
          <w:tcPr>
            <w:tcW w:w="1000" w:type="dxa"/>
            <w:vAlign w:val="bottom"/>
          </w:tcPr>
          <w:p>
            <w:pPr>
              <w:ind w:left="700"/>
              <w:spacing w:after="0"/>
              <w:rPr>
                <w:sz w:val="20"/>
                <w:szCs w:val="20"/>
                <w:color w:val="auto"/>
              </w:rPr>
            </w:pPr>
            <w:r>
              <w:rPr>
                <w:rFonts w:ascii="Arial" w:cs="Arial" w:eastAsia="Arial" w:hAnsi="Arial"/>
                <w:sz w:val="18"/>
                <w:szCs w:val="18"/>
                <w:color w:val="auto"/>
                <w:w w:val="93"/>
              </w:rPr>
              <w:t>330</w:t>
            </w:r>
          </w:p>
        </w:tc>
        <w:tc>
          <w:tcPr>
            <w:tcW w:w="2840" w:type="dxa"/>
            <w:vAlign w:val="bottom"/>
          </w:tcPr>
          <w:p>
            <w:pPr>
              <w:ind w:left="20"/>
              <w:spacing w:after="0"/>
              <w:rPr>
                <w:sz w:val="20"/>
                <w:szCs w:val="20"/>
                <w:color w:val="auto"/>
              </w:rPr>
            </w:pPr>
            <w:r>
              <w:rPr>
                <w:rFonts w:ascii="Arial" w:cs="Arial" w:eastAsia="Arial" w:hAnsi="Arial"/>
                <w:sz w:val="18"/>
                <w:szCs w:val="18"/>
                <w:color w:val="auto"/>
              </w:rPr>
              <w:t>Madison Avenue, 23rd Floor,</w:t>
            </w:r>
          </w:p>
        </w:tc>
        <w:tc>
          <w:tcPr>
            <w:tcW w:w="1940" w:type="dxa"/>
            <w:vAlign w:val="bottom"/>
          </w:tcPr>
          <w:p>
            <w:pPr>
              <w:jc w:val="right"/>
              <w:ind w:right="470"/>
              <w:spacing w:after="0"/>
              <w:rPr>
                <w:sz w:val="20"/>
                <w:szCs w:val="20"/>
                <w:color w:val="auto"/>
              </w:rPr>
            </w:pPr>
            <w:r>
              <w:rPr>
                <w:rFonts w:ascii="Arial" w:cs="Arial" w:eastAsia="Arial" w:hAnsi="Arial"/>
                <w:sz w:val="18"/>
                <w:szCs w:val="18"/>
                <w:color w:val="auto"/>
              </w:rPr>
              <w:t>4,000,000</w:t>
            </w: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4640" w:type="dxa"/>
            <w:vAlign w:val="bottom"/>
          </w:tcPr>
          <w:p>
            <w:pPr>
              <w:spacing w:after="0"/>
              <w:rPr>
                <w:sz w:val="20"/>
                <w:szCs w:val="20"/>
                <w:color w:val="auto"/>
              </w:rPr>
            </w:pPr>
          </w:p>
        </w:tc>
        <w:tc>
          <w:tcPr>
            <w:tcW w:w="3840" w:type="dxa"/>
            <w:vAlign w:val="bottom"/>
            <w:gridSpan w:val="2"/>
          </w:tcPr>
          <w:p>
            <w:pPr>
              <w:ind w:left="700"/>
              <w:spacing w:after="0"/>
              <w:rPr>
                <w:sz w:val="20"/>
                <w:szCs w:val="20"/>
                <w:color w:val="auto"/>
              </w:rPr>
            </w:pPr>
            <w:r>
              <w:rPr>
                <w:rFonts w:ascii="Arial" w:cs="Arial" w:eastAsia="Arial" w:hAnsi="Arial"/>
                <w:sz w:val="18"/>
                <w:szCs w:val="18"/>
                <w:color w:val="auto"/>
              </w:rPr>
              <w:t>New York, NY 10017</w:t>
            </w:r>
          </w:p>
        </w:tc>
        <w:tc>
          <w:tcPr>
            <w:tcW w:w="19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2"/>
        </w:trPr>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Parag Vora(26)</w:t>
            </w:r>
          </w:p>
        </w:tc>
        <w:tc>
          <w:tcPr>
            <w:tcW w:w="10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3"/>
              </w:rPr>
              <w:t>330</w:t>
            </w:r>
          </w:p>
        </w:tc>
        <w:tc>
          <w:tcPr>
            <w:tcW w:w="28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Madison Avenue, 23rd Floor,</w:t>
            </w:r>
          </w:p>
        </w:tc>
        <w:tc>
          <w:tcPr>
            <w:tcW w:w="1940" w:type="dxa"/>
            <w:vAlign w:val="bottom"/>
            <w:shd w:val="clear" w:color="auto" w:fill="CCEEFF"/>
          </w:tcPr>
          <w:p>
            <w:pPr>
              <w:jc w:val="right"/>
              <w:ind w:right="470"/>
              <w:spacing w:after="0" w:line="201" w:lineRule="exact"/>
              <w:rPr>
                <w:sz w:val="20"/>
                <w:szCs w:val="20"/>
                <w:color w:val="auto"/>
              </w:rPr>
            </w:pPr>
            <w:r>
              <w:rPr>
                <w:rFonts w:ascii="Arial" w:cs="Arial" w:eastAsia="Arial" w:hAnsi="Arial"/>
                <w:sz w:val="18"/>
                <w:szCs w:val="18"/>
                <w:color w:val="auto"/>
              </w:rPr>
              <w:t>4,000,000</w:t>
            </w: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0.2%</w:t>
            </w:r>
          </w:p>
        </w:tc>
      </w:tr>
      <w:tr>
        <w:trPr>
          <w:trHeight w:val="230"/>
        </w:trPr>
        <w:tc>
          <w:tcPr>
            <w:tcW w:w="4640" w:type="dxa"/>
            <w:vAlign w:val="bottom"/>
            <w:shd w:val="clear" w:color="auto" w:fill="CCEEFF"/>
          </w:tcPr>
          <w:p>
            <w:pPr>
              <w:spacing w:after="0"/>
              <w:rPr>
                <w:sz w:val="20"/>
                <w:szCs w:val="20"/>
                <w:color w:val="auto"/>
              </w:rPr>
            </w:pPr>
          </w:p>
        </w:tc>
        <w:tc>
          <w:tcPr>
            <w:tcW w:w="3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New York, NY 10017</w:t>
            </w:r>
          </w:p>
        </w:tc>
        <w:tc>
          <w:tcPr>
            <w:tcW w:w="19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02"/>
        </w:trPr>
        <w:tc>
          <w:tcPr>
            <w:tcW w:w="4640" w:type="dxa"/>
            <w:vAlign w:val="bottom"/>
          </w:tcPr>
          <w:p>
            <w:pPr>
              <w:spacing w:after="0" w:line="201" w:lineRule="exact"/>
              <w:rPr>
                <w:sz w:val="20"/>
                <w:szCs w:val="20"/>
                <w:color w:val="auto"/>
              </w:rPr>
            </w:pPr>
            <w:r>
              <w:rPr>
                <w:rFonts w:ascii="Arial" w:cs="Arial" w:eastAsia="Arial" w:hAnsi="Arial"/>
                <w:sz w:val="18"/>
                <w:szCs w:val="18"/>
                <w:color w:val="auto"/>
              </w:rPr>
              <w:t>Taconic Overdrive Fund L.P.</w:t>
            </w:r>
          </w:p>
        </w:tc>
        <w:tc>
          <w:tcPr>
            <w:tcW w:w="3840" w:type="dxa"/>
            <w:vAlign w:val="bottom"/>
            <w:gridSpan w:val="2"/>
          </w:tcPr>
          <w:p>
            <w:pPr>
              <w:ind w:left="700"/>
              <w:spacing w:after="0" w:line="201" w:lineRule="exact"/>
              <w:rPr>
                <w:sz w:val="20"/>
                <w:szCs w:val="20"/>
                <w:color w:val="auto"/>
              </w:rPr>
            </w:pPr>
            <w:r>
              <w:rPr>
                <w:rFonts w:ascii="Arial" w:cs="Arial" w:eastAsia="Arial" w:hAnsi="Arial"/>
                <w:sz w:val="18"/>
                <w:szCs w:val="18"/>
                <w:color w:val="auto"/>
              </w:rPr>
              <w:t>c/o Taconic Capital Advisors L.P.;</w:t>
            </w:r>
          </w:p>
        </w:tc>
        <w:tc>
          <w:tcPr>
            <w:tcW w:w="1940" w:type="dxa"/>
            <w:vAlign w:val="bottom"/>
          </w:tcPr>
          <w:p>
            <w:pPr>
              <w:jc w:val="right"/>
              <w:ind w:right="470"/>
              <w:spacing w:after="0" w:line="201" w:lineRule="exact"/>
              <w:rPr>
                <w:sz w:val="20"/>
                <w:szCs w:val="20"/>
                <w:color w:val="auto"/>
              </w:rPr>
            </w:pPr>
            <w:r>
              <w:rPr>
                <w:rFonts w:ascii="Arial" w:cs="Arial" w:eastAsia="Arial" w:hAnsi="Arial"/>
                <w:sz w:val="18"/>
                <w:szCs w:val="18"/>
                <w:color w:val="auto"/>
              </w:rPr>
              <w:t>0</w:t>
            </w:r>
          </w:p>
        </w:tc>
        <w:tc>
          <w:tcPr>
            <w:tcW w:w="100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0</w:t>
            </w:r>
          </w:p>
        </w:tc>
      </w:tr>
      <w:tr>
        <w:trPr>
          <w:trHeight w:val="216"/>
        </w:trPr>
        <w:tc>
          <w:tcPr>
            <w:tcW w:w="4640" w:type="dxa"/>
            <w:vAlign w:val="bottom"/>
          </w:tcPr>
          <w:p>
            <w:pPr>
              <w:spacing w:after="0"/>
              <w:rPr>
                <w:sz w:val="18"/>
                <w:szCs w:val="18"/>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w w:val="93"/>
              </w:rPr>
              <w:t>450</w:t>
            </w:r>
          </w:p>
        </w:tc>
        <w:tc>
          <w:tcPr>
            <w:tcW w:w="2840" w:type="dxa"/>
            <w:vAlign w:val="bottom"/>
          </w:tcPr>
          <w:p>
            <w:pPr>
              <w:ind w:left="20"/>
              <w:spacing w:after="0"/>
              <w:rPr>
                <w:sz w:val="20"/>
                <w:szCs w:val="20"/>
                <w:color w:val="auto"/>
              </w:rPr>
            </w:pPr>
            <w:r>
              <w:rPr>
                <w:rFonts w:ascii="Arial" w:cs="Arial" w:eastAsia="Arial" w:hAnsi="Arial"/>
                <w:sz w:val="18"/>
                <w:szCs w:val="18"/>
                <w:color w:val="auto"/>
              </w:rPr>
              <w:t>Park Avenue, 9th Floor, New</w:t>
            </w:r>
          </w:p>
        </w:tc>
        <w:tc>
          <w:tcPr>
            <w:tcW w:w="19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p>
        </w:tc>
        <w:tc>
          <w:tcPr>
            <w:tcW w:w="3840" w:type="dxa"/>
            <w:vAlign w:val="bottom"/>
            <w:gridSpan w:val="2"/>
          </w:tcPr>
          <w:p>
            <w:pPr>
              <w:ind w:left="700"/>
              <w:spacing w:after="0"/>
              <w:rPr>
                <w:sz w:val="20"/>
                <w:szCs w:val="20"/>
                <w:color w:val="auto"/>
              </w:rPr>
            </w:pPr>
            <w:r>
              <w:rPr>
                <w:rFonts w:ascii="Arial" w:cs="Arial" w:eastAsia="Arial" w:hAnsi="Arial"/>
                <w:sz w:val="18"/>
                <w:szCs w:val="18"/>
                <w:color w:val="auto"/>
              </w:rPr>
              <w:t>York, NY 10022</w:t>
            </w:r>
          </w:p>
        </w:tc>
        <w:tc>
          <w:tcPr>
            <w:tcW w:w="19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2"/>
        </w:trPr>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EnTrust Partners LLC</w:t>
            </w:r>
          </w:p>
        </w:tc>
        <w:tc>
          <w:tcPr>
            <w:tcW w:w="10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3"/>
              </w:rPr>
              <w:t>375</w:t>
            </w:r>
          </w:p>
        </w:tc>
        <w:tc>
          <w:tcPr>
            <w:tcW w:w="28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Park Avenue, 24</w:t>
            </w:r>
            <w:r>
              <w:rPr>
                <w:rFonts w:ascii="Arial" w:cs="Arial" w:eastAsia="Arial" w:hAnsi="Arial"/>
                <w:sz w:val="15"/>
                <w:szCs w:val="15"/>
                <w:color w:val="auto"/>
              </w:rPr>
              <w:t>th</w:t>
            </w:r>
            <w:r>
              <w:rPr>
                <w:rFonts w:ascii="Arial" w:cs="Arial" w:eastAsia="Arial" w:hAnsi="Arial"/>
                <w:sz w:val="18"/>
                <w:szCs w:val="18"/>
                <w:color w:val="auto"/>
              </w:rPr>
              <w:t xml:space="preserve"> Floor New</w:t>
            </w:r>
          </w:p>
        </w:tc>
        <w:tc>
          <w:tcPr>
            <w:tcW w:w="1940" w:type="dxa"/>
            <w:vAlign w:val="bottom"/>
            <w:shd w:val="clear" w:color="auto" w:fill="CCEEFF"/>
          </w:tcPr>
          <w:p>
            <w:pPr>
              <w:jc w:val="right"/>
              <w:ind w:right="470"/>
              <w:spacing w:after="0" w:line="201" w:lineRule="exact"/>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0</w:t>
            </w:r>
          </w:p>
        </w:tc>
      </w:tr>
      <w:tr>
        <w:trPr>
          <w:trHeight w:val="230"/>
        </w:trPr>
        <w:tc>
          <w:tcPr>
            <w:tcW w:w="4640" w:type="dxa"/>
            <w:vAlign w:val="bottom"/>
            <w:shd w:val="clear" w:color="auto" w:fill="CCEEFF"/>
          </w:tcPr>
          <w:p>
            <w:pPr>
              <w:spacing w:after="0"/>
              <w:rPr>
                <w:sz w:val="20"/>
                <w:szCs w:val="20"/>
                <w:color w:val="auto"/>
              </w:rPr>
            </w:pPr>
          </w:p>
        </w:tc>
        <w:tc>
          <w:tcPr>
            <w:tcW w:w="3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York, NY 10152</w:t>
            </w:r>
          </w:p>
        </w:tc>
        <w:tc>
          <w:tcPr>
            <w:tcW w:w="19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02"/>
        </w:trPr>
        <w:tc>
          <w:tcPr>
            <w:tcW w:w="4640" w:type="dxa"/>
            <w:vAlign w:val="bottom"/>
          </w:tcPr>
          <w:p>
            <w:pPr>
              <w:spacing w:after="0" w:line="201" w:lineRule="exact"/>
              <w:rPr>
                <w:sz w:val="20"/>
                <w:szCs w:val="20"/>
                <w:color w:val="auto"/>
              </w:rPr>
            </w:pPr>
            <w:r>
              <w:rPr>
                <w:rFonts w:ascii="Arial" w:cs="Arial" w:eastAsia="Arial" w:hAnsi="Arial"/>
                <w:sz w:val="18"/>
                <w:szCs w:val="18"/>
                <w:color w:val="auto"/>
              </w:rPr>
              <w:t>EnTrust Partners Offshore LP</w:t>
            </w:r>
          </w:p>
        </w:tc>
        <w:tc>
          <w:tcPr>
            <w:tcW w:w="1000" w:type="dxa"/>
            <w:vAlign w:val="bottom"/>
          </w:tcPr>
          <w:p>
            <w:pPr>
              <w:ind w:left="700"/>
              <w:spacing w:after="0" w:line="201" w:lineRule="exact"/>
              <w:rPr>
                <w:sz w:val="20"/>
                <w:szCs w:val="20"/>
                <w:color w:val="auto"/>
              </w:rPr>
            </w:pPr>
            <w:r>
              <w:rPr>
                <w:rFonts w:ascii="Arial" w:cs="Arial" w:eastAsia="Arial" w:hAnsi="Arial"/>
                <w:sz w:val="18"/>
                <w:szCs w:val="18"/>
                <w:color w:val="auto"/>
                <w:w w:val="93"/>
              </w:rPr>
              <w:t>375</w:t>
            </w:r>
          </w:p>
        </w:tc>
        <w:tc>
          <w:tcPr>
            <w:tcW w:w="2840" w:type="dxa"/>
            <w:vAlign w:val="bottom"/>
          </w:tcPr>
          <w:p>
            <w:pPr>
              <w:ind w:left="20"/>
              <w:spacing w:after="0" w:line="201" w:lineRule="exact"/>
              <w:rPr>
                <w:sz w:val="20"/>
                <w:szCs w:val="20"/>
                <w:color w:val="auto"/>
              </w:rPr>
            </w:pPr>
            <w:r>
              <w:rPr>
                <w:rFonts w:ascii="Arial" w:cs="Arial" w:eastAsia="Arial" w:hAnsi="Arial"/>
                <w:sz w:val="18"/>
                <w:szCs w:val="18"/>
                <w:color w:val="auto"/>
              </w:rPr>
              <w:t>Park Avenue, 24</w:t>
            </w:r>
            <w:r>
              <w:rPr>
                <w:rFonts w:ascii="Arial" w:cs="Arial" w:eastAsia="Arial" w:hAnsi="Arial"/>
                <w:sz w:val="15"/>
                <w:szCs w:val="15"/>
                <w:color w:val="auto"/>
              </w:rPr>
              <w:t>th</w:t>
            </w:r>
            <w:r>
              <w:rPr>
                <w:rFonts w:ascii="Arial" w:cs="Arial" w:eastAsia="Arial" w:hAnsi="Arial"/>
                <w:sz w:val="18"/>
                <w:szCs w:val="18"/>
                <w:color w:val="auto"/>
              </w:rPr>
              <w:t xml:space="preserve"> Floor New</w:t>
            </w:r>
          </w:p>
        </w:tc>
        <w:tc>
          <w:tcPr>
            <w:tcW w:w="1940" w:type="dxa"/>
            <w:vAlign w:val="bottom"/>
          </w:tcPr>
          <w:p>
            <w:pPr>
              <w:jc w:val="right"/>
              <w:ind w:right="470"/>
              <w:spacing w:after="0" w:line="201" w:lineRule="exact"/>
              <w:rPr>
                <w:sz w:val="20"/>
                <w:szCs w:val="20"/>
                <w:color w:val="auto"/>
              </w:rPr>
            </w:pPr>
            <w:r>
              <w:rPr>
                <w:rFonts w:ascii="Arial" w:cs="Arial" w:eastAsia="Arial" w:hAnsi="Arial"/>
                <w:sz w:val="18"/>
                <w:szCs w:val="18"/>
                <w:color w:val="auto"/>
              </w:rPr>
              <w:t>0</w:t>
            </w:r>
          </w:p>
        </w:tc>
        <w:tc>
          <w:tcPr>
            <w:tcW w:w="100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0</w:t>
            </w:r>
          </w:p>
        </w:tc>
      </w:tr>
      <w:tr>
        <w:trPr>
          <w:trHeight w:val="230"/>
        </w:trPr>
        <w:tc>
          <w:tcPr>
            <w:tcW w:w="4640" w:type="dxa"/>
            <w:vAlign w:val="bottom"/>
          </w:tcPr>
          <w:p>
            <w:pPr>
              <w:spacing w:after="0"/>
              <w:rPr>
                <w:sz w:val="20"/>
                <w:szCs w:val="20"/>
                <w:color w:val="auto"/>
              </w:rPr>
            </w:pPr>
          </w:p>
        </w:tc>
        <w:tc>
          <w:tcPr>
            <w:tcW w:w="3840" w:type="dxa"/>
            <w:vAlign w:val="bottom"/>
            <w:gridSpan w:val="2"/>
          </w:tcPr>
          <w:p>
            <w:pPr>
              <w:ind w:left="700"/>
              <w:spacing w:after="0"/>
              <w:rPr>
                <w:sz w:val="20"/>
                <w:szCs w:val="20"/>
                <w:color w:val="auto"/>
              </w:rPr>
            </w:pPr>
            <w:r>
              <w:rPr>
                <w:rFonts w:ascii="Arial" w:cs="Arial" w:eastAsia="Arial" w:hAnsi="Arial"/>
                <w:sz w:val="18"/>
                <w:szCs w:val="18"/>
                <w:color w:val="auto"/>
              </w:rPr>
              <w:t>York, NY 10152</w:t>
            </w:r>
          </w:p>
        </w:tc>
        <w:tc>
          <w:tcPr>
            <w:tcW w:w="194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29" w:lineRule="exact"/>
        <w:rPr>
          <w:sz w:val="20"/>
          <w:szCs w:val="20"/>
          <w:color w:val="auto"/>
        </w:rPr>
      </w:pPr>
    </w:p>
    <w:p>
      <w:pPr>
        <w:ind w:left="460" w:right="18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Harry J. Wilson is the record holder of 100 of the shares of Common Stock of the Company directly beneficially owned by Harry J. Wilson. TOMF is the record holder of 10,000 of the shares of Common Stock of the Company directly beneficially owned by TOMF. Other shares of Common Stock directly beneficially owned by Harry J. Wilson are held in a Charles Schwab account, and to the Participants’ knowledge, Cede &amp; Co. is the record holder of all other shares of Common Stock of the Company listed herein.</w:t>
      </w:r>
    </w:p>
    <w:p>
      <w:pPr>
        <w:spacing w:after="0" w:line="2" w:lineRule="exact"/>
        <w:rPr>
          <w:rFonts w:ascii="Arial" w:cs="Arial" w:eastAsia="Arial" w:hAnsi="Arial"/>
          <w:sz w:val="18"/>
          <w:szCs w:val="18"/>
          <w:color w:val="auto"/>
        </w:rPr>
      </w:pPr>
    </w:p>
    <w:p>
      <w:pPr>
        <w:ind w:left="460" w:right="60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percentages are based on the 1,610,365,961 shares of Common Stock of the Company outstanding as of January 28, 2015, as reported in the Company’s Annual Report on Form 10-K for the year ended December 31, 2014.</w:t>
      </w:r>
    </w:p>
    <w:p>
      <w:pPr>
        <w:ind w:left="460" w:right="3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30,068.9049 shares of Common Stock of the Company beneficially owned by Harry J. Wilson. As the Managing Member of MAEVA CP, Harry J. Wilson may be deemed to beneficially own any shares of Common Stock beneficially owned by MAEVA CP.</w:t>
      </w:r>
    </w:p>
    <w:p>
      <w:pPr>
        <w:jc w:val="both"/>
        <w:ind w:left="460" w:right="2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(i) 61,621 shares of Common Stock of the Company beneficially owned by TMF 1.5; (ii) 7,652,045 shares of Common Stock of the Company beneficially owned by TOMF; (iii) 5,009,196 shares of Common Stock of the Company beneficially owned by AILP; (iv) 6,817,577 shares of Common Stock of the Company beneficially owned by PFL; (v) 1,385,063 shares of Common Stock of the Company beneficially owned by TFLP;</w:t>
      </w:r>
    </w:p>
    <w:p>
      <w:pPr>
        <w:spacing w:after="0" w:line="2" w:lineRule="exact"/>
        <w:rPr>
          <w:rFonts w:ascii="Arial" w:cs="Arial" w:eastAsia="Arial" w:hAnsi="Arial"/>
          <w:sz w:val="16"/>
          <w:szCs w:val="16"/>
          <w:color w:val="auto"/>
        </w:rPr>
      </w:pPr>
    </w:p>
    <w:p>
      <w:pPr>
        <w:ind w:left="460" w:right="60"/>
        <w:spacing w:after="0" w:line="265" w:lineRule="auto"/>
        <w:rPr>
          <w:rFonts w:ascii="Arial" w:cs="Arial" w:eastAsia="Arial" w:hAnsi="Arial"/>
          <w:sz w:val="16"/>
          <w:szCs w:val="16"/>
          <w:color w:val="auto"/>
        </w:rPr>
      </w:pPr>
      <w:r>
        <w:rPr>
          <w:rFonts w:ascii="Arial" w:cs="Arial" w:eastAsia="Arial" w:hAnsi="Arial"/>
          <w:sz w:val="17"/>
          <w:szCs w:val="17"/>
          <w:color w:val="auto"/>
        </w:rPr>
        <w:t>(vi) 1,408,810 shares of Common Stock of the Company beneficially owned by TML; (vii) 4,000,000 shares of Common Stock of the Company beneficially owned by HGVMF; (viii) 125,967 shares of Common Stock of the Company beneficially owned by HDL; and (ix) 4,755,742 shares of Common Stock of the Company beneficially owned by HCMF. Based on the terms of an agreement entered into between MAEVA CP and TCA dated as of February 9, 2015, MAEVA CP may be deemed to beneficially own any shares of Common Stock of the Company held by TOMF and TMF 1.5. Based on the terms of an agreement entered into between MAEVA CP and AMLP dated as of February 9, 2015, MAEVA CP may be deemed to beneficially own any shares of Common Stock of the Company held by AILP, PFL, TFLP and TML. Based on the terms of an agreement entered into between MAEVA CP and HGVCM dated as of February 9, 2015, MAEVA CP may be deemed to beneficially own any shares of Common Stock of the Company held by HGVMF. Based on the terms of an agreement entered into between MAEVA CP and HCM dated as of February 9, 2015, MAEVA CP may be deemed to beneficially own any shares of Common Stock of the Company held by HCMF.</w:t>
      </w:r>
    </w:p>
    <w:p>
      <w:pPr>
        <w:spacing w:after="0" w:line="2" w:lineRule="exact"/>
        <w:rPr>
          <w:rFonts w:ascii="Arial" w:cs="Arial" w:eastAsia="Arial" w:hAnsi="Arial"/>
          <w:sz w:val="16"/>
          <w:szCs w:val="16"/>
          <w:color w:val="auto"/>
        </w:rPr>
      </w:pPr>
    </w:p>
    <w:p>
      <w:pPr>
        <w:ind w:left="460" w:right="30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59,888 shares of Common Stock of the Company which underlie or are issuable upon the exercise of Derivative Interests (as defined in the Company’s Bylaws) held by TMF 1.5 (as more fully described below).</w:t>
      </w:r>
    </w:p>
    <w:p>
      <w:pPr>
        <w:sectPr>
          <w:pgSz w:w="11900" w:h="16838" w:orient="portrait"/>
          <w:cols w:equalWidth="0" w:num="1">
            <w:col w:w="11420"/>
          </w:cols>
          <w:pgMar w:left="240" w:top="422" w:right="239" w:bottom="1440" w:gutter="0" w:footer="0" w:header="0"/>
        </w:sectPr>
      </w:pPr>
    </w:p>
    <w:bookmarkStart w:id="8" w:name="page9"/>
    <w:bookmarkEnd w:id="8"/>
    <w:p>
      <w:pPr>
        <w:ind w:left="452" w:right="200" w:hanging="452"/>
        <w:spacing w:after="0" w:line="258"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1,339,324 shares of Common Stock of the Company which underlie or are issuable upon the exercise of Derivative Interests held by TOMF (as more fully described below).</w:t>
      </w:r>
    </w:p>
    <w:p>
      <w:pPr>
        <w:spacing w:after="0" w:line="1" w:lineRule="exact"/>
        <w:rPr>
          <w:rFonts w:ascii="Arial" w:cs="Arial" w:eastAsia="Arial" w:hAnsi="Arial"/>
          <w:sz w:val="18"/>
          <w:szCs w:val="18"/>
          <w:color w:val="auto"/>
        </w:rPr>
      </w:pPr>
    </w:p>
    <w:p>
      <w:pPr>
        <w:ind w:left="452" w:right="14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general partner of TMF 1.5, Taconic Capital Partners LLC may be deemed to beneficially own any shares of Common Stock of the Company held by TMF 1.5.</w:t>
      </w:r>
    </w:p>
    <w:p>
      <w:pPr>
        <w:ind w:left="452" w:right="46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general partner of TOMF, Taconic Associates LLC may be deemed to beneficially own any shares of Common Stock of the Company held by TOMF.</w:t>
      </w:r>
    </w:p>
    <w:p>
      <w:pPr>
        <w:ind w:left="452" w:right="10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investment manager to TMF 1.5 and TOMF, TCA may be deemed to beneficially own any shares of Common Stock of the Company held by TMF 1.5 or TOMF.</w:t>
      </w:r>
    </w:p>
    <w:p>
      <w:pPr>
        <w:ind w:left="452" w:right="38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subadvisor to TMF 1.5 and TOMF, Taconic Capital Advisors UK LLP may be deemed to beneficially own any shares of Common Stock of the Company held by TMF 1.5 or TOMF.</w:t>
      </w:r>
    </w:p>
    <w:p>
      <w:pPr>
        <w:ind w:left="452" w:right="34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subadvisor to TMF 1.5 and TOMF, Taconic Capital Advisors (Hong Kong) Limited may be deemed to beneficially own any shares of Common Stock of the Company held by TMF 1.5 or TOMF.</w:t>
      </w:r>
    </w:p>
    <w:p>
      <w:pPr>
        <w:ind w:left="452" w:hanging="452"/>
        <w:spacing w:after="0"/>
        <w:tabs>
          <w:tab w:leader="none" w:pos="452"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principal of TCA, Frank P. Brosens may be deemed to beneficially own any shares of Common Stock of the Company held by TMF 1.5 or TOMF.</w:t>
      </w:r>
    </w:p>
    <w:p>
      <w:pPr>
        <w:spacing w:after="0" w:line="32" w:lineRule="exact"/>
        <w:rPr>
          <w:rFonts w:ascii="Arial" w:cs="Arial" w:eastAsia="Arial" w:hAnsi="Arial"/>
          <w:sz w:val="16"/>
          <w:szCs w:val="16"/>
          <w:color w:val="auto"/>
        </w:rPr>
      </w:pPr>
    </w:p>
    <w:p>
      <w:pPr>
        <w:ind w:left="452" w:right="26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96,734 shares of Common Stock of the Company which underlie or are issuable upon the exercise of Derivative Interests held by AILP (as more fully described below).</w:t>
      </w:r>
    </w:p>
    <w:p>
      <w:pPr>
        <w:ind w:left="452" w:right="26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141,396 shares of Common Stock of the Company which underlie or are issuable upon the exercise of Derivative Interests held by PFL (as more fully described below).</w:t>
      </w:r>
    </w:p>
    <w:p>
      <w:pPr>
        <w:ind w:left="452" w:right="24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69,408 shares of Common Stock of the Company which underlie or are issuable upon the exercise of Derivative Interests held by TFLP (as more fully described below).</w:t>
      </w:r>
    </w:p>
    <w:p>
      <w:pPr>
        <w:ind w:left="452" w:right="28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72,484 shares of Common Stock of the Company which underlie or are issuable upon the exercise of Derivative Interests held by TML (as more fully described below).</w:t>
      </w:r>
    </w:p>
    <w:p>
      <w:pPr>
        <w:ind w:left="452" w:right="4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investment advisor to AILP, PFL, TFLP and TML and general partner of AILP and TFLP, AMLP may be deemed to beneficially own any shares of Common Stock of the Company held by AILP, PFL, TFLP and TML.</w:t>
      </w:r>
    </w:p>
    <w:p>
      <w:pPr>
        <w:ind w:left="452" w:right="4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general partner of AMLP, Appaloosa Partners Inc. may be deemed to beneficially own any shares of Common Stock of the Company held by AILP, PFL, TFLP and TML.</w:t>
      </w:r>
    </w:p>
    <w:p>
      <w:pPr>
        <w:ind w:left="452"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the sole stockholder and President of Appaloosa Partners Inc., David A. Tepper may be deemed to beneficially own any shares of Common Stock of the Company held by AILP, PFL, TFLP and TML.</w:t>
      </w:r>
    </w:p>
    <w:p>
      <w:pPr>
        <w:ind w:left="452" w:right="12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the investment advisor to HCMF and the investment advisor and managing member of HDL, HCM may be deemed to beneficially own any shares of Common Stock of the Company held by HCMF and HDL.</w:t>
      </w:r>
    </w:p>
    <w:p>
      <w:pPr>
        <w:ind w:left="452" w:right="18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4,755,742 shares of Common Stock of the Company which underlie or are issuable upon the exercise of Derivative Interests held by HCMF (as more fully described below).</w:t>
      </w:r>
    </w:p>
    <w:p>
      <w:pPr>
        <w:ind w:left="452" w:right="160" w:hanging="452"/>
        <w:spacing w:after="0" w:line="261"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the general partner of HCM, Hayman Investments, L.L.C. may be deemed to beneficially own any shares of Common Stock of the Company held by HCMF and HDL.</w:t>
      </w:r>
    </w:p>
    <w:p>
      <w:pPr>
        <w:sectPr>
          <w:pgSz w:w="11900" w:h="16838" w:orient="portrait"/>
          <w:cols w:equalWidth="0" w:num="1">
            <w:col w:w="11372"/>
          </w:cols>
          <w:pgMar w:left="248" w:top="274" w:right="279" w:bottom="1440" w:gutter="0" w:footer="0" w:header="0"/>
        </w:sectPr>
      </w:pPr>
    </w:p>
    <w:bookmarkStart w:id="9" w:name="page10"/>
    <w:bookmarkEnd w:id="9"/>
    <w:p>
      <w:pPr>
        <w:ind w:left="460" w:right="520" w:hanging="452"/>
        <w:spacing w:after="0" w:line="25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the managing member of Hayman Investments, L.L.C., J. Kyle Bass may be deemed to beneficially own any shares of the Company held by Hayman Investments, L.L.C. Mr. Bass disclaims beneficial ownership of the securities held by HCMF, HDL or other trading accounts directly or indirectly managed by them, except to the extent of their pecuniary interest therein.</w:t>
      </w:r>
    </w:p>
    <w:p>
      <w:pPr>
        <w:ind w:left="460" w:right="8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4,000,000 shares of Common Stock of the Company which underlie or are issuable upon the exercise of Derivative Interests held by HGVMF (as more fully described below).</w:t>
      </w:r>
    </w:p>
    <w:p>
      <w:pPr>
        <w:ind w:left="460" w:hanging="45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As investment advisor to HGVMF, HGVCM may be deemed to beneficially own any shares of Common Stock of the Company held by HGVMF.</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the managing member of HGVCM, Parag Vora may be deemed to beneficially own any shares of Common Stock of the Company held by HGVMF.</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DERIVATIVE INTERESTS IN SECURITIES OF GENERAL MOTORS COMPANY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set forth information with respect to derivative interests respecting shares of Common Stock of the Company, as of February 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 of</w:t>
            </w: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2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Material Economic</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920" w:type="dxa"/>
            <w:vAlign w:val="bottom"/>
            <w:vMerge w:val="restart"/>
          </w:tcPr>
          <w:p>
            <w:pPr>
              <w:spacing w:after="0"/>
              <w:rPr>
                <w:sz w:val="12"/>
                <w:szCs w:val="12"/>
                <w:color w:val="auto"/>
              </w:rPr>
            </w:pPr>
          </w:p>
        </w:tc>
        <w:tc>
          <w:tcPr>
            <w:tcW w:w="15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5"/>
              </w:rPr>
              <w:t>Derivative</w:t>
            </w:r>
          </w:p>
        </w:tc>
        <w:tc>
          <w:tcPr>
            <w:tcW w:w="8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Stock of the</w:t>
            </w:r>
          </w:p>
        </w:tc>
        <w:tc>
          <w:tcPr>
            <w:tcW w:w="12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272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Counterparty</w:t>
            </w:r>
          </w:p>
        </w:tc>
        <w:tc>
          <w:tcPr>
            <w:tcW w:w="0" w:type="dxa"/>
            <w:vAlign w:val="bottom"/>
          </w:tcPr>
          <w:p>
            <w:pPr>
              <w:spacing w:after="0"/>
              <w:rPr>
                <w:sz w:val="1"/>
                <w:szCs w:val="1"/>
                <w:color w:val="auto"/>
              </w:rPr>
            </w:pPr>
          </w:p>
        </w:tc>
      </w:tr>
      <w:tr>
        <w:trPr>
          <w:trHeight w:val="182"/>
        </w:trPr>
        <w:tc>
          <w:tcPr>
            <w:tcW w:w="380" w:type="dxa"/>
            <w:vAlign w:val="bottom"/>
            <w:tcBorders>
              <w:bottom w:val="single" w:sz="8" w:color="auto"/>
            </w:tcBorders>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Instrument(1)</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5"/>
                <w:szCs w:val="15"/>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Terms</w:t>
            </w: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Taconic Master Fund 1.5 L.P.</w:t>
            </w:r>
          </w:p>
        </w:tc>
        <w:tc>
          <w:tcPr>
            <w:tcW w:w="14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2016 Warrant</w:t>
            </w: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1,575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2"/>
              </w:rPr>
              <w:t>Expires July 10, 2016; exercise price</w:t>
            </w:r>
          </w:p>
        </w:tc>
        <w:tc>
          <w:tcPr>
            <w:tcW w:w="12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Issued by the Company</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of $10.00 per share of Common</w:t>
            </w:r>
          </w:p>
        </w:tc>
        <w:tc>
          <w:tcPr>
            <w:tcW w:w="2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Stock</w:t>
            </w:r>
          </w:p>
        </w:tc>
        <w:tc>
          <w:tcPr>
            <w:tcW w:w="2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00" w:type="dxa"/>
            <w:vAlign w:val="bottom"/>
            <w:gridSpan w:val="2"/>
          </w:tcPr>
          <w:p>
            <w:pPr>
              <w:spacing w:after="0" w:line="201" w:lineRule="exact"/>
              <w:rPr>
                <w:sz w:val="20"/>
                <w:szCs w:val="20"/>
                <w:color w:val="auto"/>
              </w:rPr>
            </w:pPr>
            <w:r>
              <w:rPr>
                <w:rFonts w:ascii="Arial" w:cs="Arial" w:eastAsia="Arial" w:hAnsi="Arial"/>
                <w:sz w:val="18"/>
                <w:szCs w:val="18"/>
                <w:color w:val="auto"/>
              </w:rPr>
              <w:t>Taconic Opportunity Master Fund L.P.</w:t>
            </w:r>
          </w:p>
        </w:tc>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2016 Warrant</w:t>
            </w:r>
          </w:p>
        </w:tc>
        <w:tc>
          <w:tcPr>
            <w:tcW w:w="8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11,564</w:t>
            </w:r>
          </w:p>
        </w:tc>
        <w:tc>
          <w:tcPr>
            <w:tcW w:w="296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6"/>
              </w:rPr>
              <w:t>Expires July 10, 2016; exercise price</w:t>
            </w: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Issued by the Company</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of $10.00 per share of Common</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Stock</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Taconic Master Fund 1.5 L.P.</w:t>
            </w:r>
          </w:p>
        </w:tc>
        <w:tc>
          <w:tcPr>
            <w:tcW w:w="1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2019 Warrant</w:t>
            </w:r>
          </w:p>
        </w:tc>
        <w:tc>
          <w:tcPr>
            <w:tcW w:w="8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58,313</w:t>
            </w:r>
          </w:p>
        </w:tc>
        <w:tc>
          <w:tcPr>
            <w:tcW w:w="296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Expires July 10, 2019; exercise price</w:t>
            </w: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Issued by the Company</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of $18.33 per share of Common</w:t>
            </w:r>
          </w:p>
        </w:tc>
        <w:tc>
          <w:tcPr>
            <w:tcW w:w="2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Stock</w:t>
            </w:r>
          </w:p>
        </w:tc>
        <w:tc>
          <w:tcPr>
            <w:tcW w:w="2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00" w:type="dxa"/>
            <w:vAlign w:val="bottom"/>
            <w:gridSpan w:val="2"/>
          </w:tcPr>
          <w:p>
            <w:pPr>
              <w:spacing w:after="0" w:line="201" w:lineRule="exact"/>
              <w:rPr>
                <w:sz w:val="20"/>
                <w:szCs w:val="20"/>
                <w:color w:val="auto"/>
              </w:rPr>
            </w:pPr>
            <w:r>
              <w:rPr>
                <w:rFonts w:ascii="Arial" w:cs="Arial" w:eastAsia="Arial" w:hAnsi="Arial"/>
                <w:sz w:val="18"/>
                <w:szCs w:val="18"/>
                <w:color w:val="auto"/>
              </w:rPr>
              <w:t>Taconic Opportunity Master Fund L.P.</w:t>
            </w:r>
          </w:p>
        </w:tc>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2019 Warrant</w:t>
            </w:r>
          </w:p>
        </w:tc>
        <w:tc>
          <w:tcPr>
            <w:tcW w:w="8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727,760</w:t>
            </w:r>
          </w:p>
        </w:tc>
        <w:tc>
          <w:tcPr>
            <w:tcW w:w="296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6"/>
              </w:rPr>
              <w:t>Expires July 10, 2019; exercise price</w:t>
            </w: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Issued by the Company</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of $18.33 per share of Common</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Stock</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Taconic Opportunity Master Fund L.P.</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Return Swap</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Reference Price: $32.69</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Goldman Sachs International</w:t>
            </w:r>
          </w:p>
        </w:tc>
        <w:tc>
          <w:tcPr>
            <w:tcW w:w="0" w:type="dxa"/>
            <w:vAlign w:val="bottom"/>
          </w:tcPr>
          <w:p>
            <w:pPr>
              <w:spacing w:after="0"/>
              <w:rPr>
                <w:sz w:val="1"/>
                <w:szCs w:val="1"/>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Taconic Opportunity Master Fund L.P.</w:t>
            </w:r>
          </w:p>
        </w:tc>
        <w:tc>
          <w:tcPr>
            <w:tcW w:w="1560" w:type="dxa"/>
            <w:vAlign w:val="bottom"/>
            <w:gridSpan w:val="2"/>
          </w:tcPr>
          <w:p>
            <w:pPr>
              <w:spacing w:after="0"/>
              <w:rPr>
                <w:sz w:val="20"/>
                <w:szCs w:val="20"/>
                <w:color w:val="auto"/>
              </w:rPr>
            </w:pPr>
            <w:r>
              <w:rPr>
                <w:rFonts w:ascii="Arial" w:cs="Arial" w:eastAsia="Arial" w:hAnsi="Arial"/>
                <w:sz w:val="18"/>
                <w:szCs w:val="18"/>
                <w:color w:val="auto"/>
              </w:rPr>
              <w:t>Total Return Swap</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Reference Price: $31.99</w:t>
            </w:r>
          </w:p>
        </w:tc>
        <w:tc>
          <w:tcPr>
            <w:tcW w:w="2720" w:type="dxa"/>
            <w:vAlign w:val="bottom"/>
          </w:tcPr>
          <w:p>
            <w:pPr>
              <w:spacing w:after="0"/>
              <w:rPr>
                <w:sz w:val="20"/>
                <w:szCs w:val="20"/>
                <w:color w:val="auto"/>
              </w:rPr>
            </w:pPr>
            <w:r>
              <w:rPr>
                <w:rFonts w:ascii="Arial" w:cs="Arial" w:eastAsia="Arial" w:hAnsi="Arial"/>
                <w:sz w:val="18"/>
                <w:szCs w:val="18"/>
                <w:color w:val="auto"/>
              </w:rPr>
              <w:t>Goldman Sachs International</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w w:val="97"/>
              </w:rPr>
              <w:t>Taconic Opportunity Master Fund L.P.</w:t>
            </w:r>
          </w:p>
        </w:tc>
        <w:tc>
          <w:tcPr>
            <w:tcW w:w="1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Return Swap</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Reference Price: $32.32</w:t>
            </w:r>
          </w:p>
        </w:tc>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Goldman Sachs International</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w w:val="97"/>
              </w:rPr>
              <w:t>Taconic Opportunity Master Fund L.P.</w:t>
            </w:r>
          </w:p>
        </w:tc>
        <w:tc>
          <w:tcPr>
            <w:tcW w:w="1740" w:type="dxa"/>
            <w:vAlign w:val="bottom"/>
          </w:tcPr>
          <w:p>
            <w:pPr>
              <w:ind w:left="200"/>
              <w:spacing w:after="0"/>
              <w:rPr>
                <w:sz w:val="20"/>
                <w:szCs w:val="20"/>
                <w:color w:val="auto"/>
              </w:rPr>
            </w:pPr>
            <w:r>
              <w:rPr>
                <w:rFonts w:ascii="Arial" w:cs="Arial" w:eastAsia="Arial" w:hAnsi="Arial"/>
                <w:sz w:val="18"/>
                <w:szCs w:val="18"/>
                <w:color w:val="auto"/>
              </w:rPr>
              <w:t>Total Return Swap</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2860" w:type="dxa"/>
            <w:vAlign w:val="bottom"/>
          </w:tcPr>
          <w:p>
            <w:pPr>
              <w:ind w:left="120"/>
              <w:spacing w:after="0"/>
              <w:rPr>
                <w:sz w:val="20"/>
                <w:szCs w:val="20"/>
                <w:color w:val="auto"/>
              </w:rPr>
            </w:pPr>
            <w:r>
              <w:rPr>
                <w:rFonts w:ascii="Arial" w:cs="Arial" w:eastAsia="Arial" w:hAnsi="Arial"/>
                <w:sz w:val="18"/>
                <w:szCs w:val="18"/>
                <w:color w:val="auto"/>
              </w:rPr>
              <w:t>Reference Price: $31.63</w:t>
            </w:r>
          </w:p>
        </w:tc>
        <w:tc>
          <w:tcPr>
            <w:tcW w:w="2820" w:type="dxa"/>
            <w:vAlign w:val="bottom"/>
          </w:tcPr>
          <w:p>
            <w:pPr>
              <w:ind w:left="100"/>
              <w:spacing w:after="0"/>
              <w:rPr>
                <w:sz w:val="20"/>
                <w:szCs w:val="20"/>
                <w:color w:val="auto"/>
              </w:rPr>
            </w:pPr>
            <w:r>
              <w:rPr>
                <w:rFonts w:ascii="Arial" w:cs="Arial" w:eastAsia="Arial" w:hAnsi="Arial"/>
                <w:sz w:val="18"/>
                <w:szCs w:val="18"/>
                <w:color w:val="auto"/>
              </w:rPr>
              <w:t>Citibank N.A.</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w w:val="97"/>
              </w:rPr>
              <w:t>Taconic Opportunity Master Fund L.P.</w:t>
            </w:r>
          </w:p>
        </w:tc>
        <w:tc>
          <w:tcPr>
            <w:tcW w:w="1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Return Swap</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Reference Price: $31.20</w:t>
            </w:r>
          </w:p>
        </w:tc>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Citibank N.A.</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w w:val="97"/>
              </w:rPr>
              <w:t>Taconic Opportunity Master Fund L.P.</w:t>
            </w:r>
          </w:p>
        </w:tc>
        <w:tc>
          <w:tcPr>
            <w:tcW w:w="1740" w:type="dxa"/>
            <w:vAlign w:val="bottom"/>
          </w:tcPr>
          <w:p>
            <w:pPr>
              <w:ind w:left="200"/>
              <w:spacing w:after="0"/>
              <w:rPr>
                <w:sz w:val="20"/>
                <w:szCs w:val="20"/>
                <w:color w:val="auto"/>
              </w:rPr>
            </w:pPr>
            <w:r>
              <w:rPr>
                <w:rFonts w:ascii="Arial" w:cs="Arial" w:eastAsia="Arial" w:hAnsi="Arial"/>
                <w:sz w:val="18"/>
                <w:szCs w:val="18"/>
                <w:color w:val="auto"/>
              </w:rPr>
              <w:t>Total Return Swap</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200,000</w:t>
            </w:r>
          </w:p>
        </w:tc>
        <w:tc>
          <w:tcPr>
            <w:tcW w:w="2860" w:type="dxa"/>
            <w:vAlign w:val="bottom"/>
          </w:tcPr>
          <w:p>
            <w:pPr>
              <w:ind w:left="120"/>
              <w:spacing w:after="0"/>
              <w:rPr>
                <w:sz w:val="20"/>
                <w:szCs w:val="20"/>
                <w:color w:val="auto"/>
              </w:rPr>
            </w:pPr>
            <w:r>
              <w:rPr>
                <w:rFonts w:ascii="Arial" w:cs="Arial" w:eastAsia="Arial" w:hAnsi="Arial"/>
                <w:sz w:val="18"/>
                <w:szCs w:val="18"/>
                <w:color w:val="auto"/>
              </w:rPr>
              <w:t>Reference Price: $30.70</w:t>
            </w:r>
          </w:p>
        </w:tc>
        <w:tc>
          <w:tcPr>
            <w:tcW w:w="2820" w:type="dxa"/>
            <w:vAlign w:val="bottom"/>
          </w:tcPr>
          <w:p>
            <w:pPr>
              <w:ind w:left="100"/>
              <w:spacing w:after="0"/>
              <w:rPr>
                <w:sz w:val="20"/>
                <w:szCs w:val="20"/>
                <w:color w:val="auto"/>
              </w:rPr>
            </w:pPr>
            <w:r>
              <w:rPr>
                <w:rFonts w:ascii="Arial" w:cs="Arial" w:eastAsia="Arial" w:hAnsi="Arial"/>
                <w:sz w:val="18"/>
                <w:szCs w:val="18"/>
                <w:color w:val="auto"/>
              </w:rPr>
              <w:t>Citibank N.A.</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Hayman Capital Master Fund, L.P.</w:t>
            </w:r>
          </w:p>
        </w:tc>
        <w:tc>
          <w:tcPr>
            <w:tcW w:w="1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Return Swap</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1,667,242</w:t>
            </w: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Reference Price: $30.37</w:t>
            </w:r>
          </w:p>
        </w:tc>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Citibank N.A.</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Hayman Capital Master Fund, L.P.</w:t>
            </w:r>
          </w:p>
        </w:tc>
        <w:tc>
          <w:tcPr>
            <w:tcW w:w="1740" w:type="dxa"/>
            <w:vAlign w:val="bottom"/>
          </w:tcPr>
          <w:p>
            <w:pPr>
              <w:ind w:left="200"/>
              <w:spacing w:after="0"/>
              <w:rPr>
                <w:sz w:val="20"/>
                <w:szCs w:val="20"/>
                <w:color w:val="auto"/>
              </w:rPr>
            </w:pPr>
            <w:r>
              <w:rPr>
                <w:rFonts w:ascii="Arial" w:cs="Arial" w:eastAsia="Arial" w:hAnsi="Arial"/>
                <w:sz w:val="18"/>
                <w:szCs w:val="18"/>
                <w:color w:val="auto"/>
              </w:rPr>
              <w:t>Total Return Swap</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1,900,000</w:t>
            </w:r>
          </w:p>
        </w:tc>
        <w:tc>
          <w:tcPr>
            <w:tcW w:w="2860" w:type="dxa"/>
            <w:vAlign w:val="bottom"/>
          </w:tcPr>
          <w:p>
            <w:pPr>
              <w:ind w:left="120"/>
              <w:spacing w:after="0"/>
              <w:rPr>
                <w:sz w:val="20"/>
                <w:szCs w:val="20"/>
                <w:color w:val="auto"/>
              </w:rPr>
            </w:pPr>
            <w:r>
              <w:rPr>
                <w:rFonts w:ascii="Arial" w:cs="Arial" w:eastAsia="Arial" w:hAnsi="Arial"/>
                <w:sz w:val="18"/>
                <w:szCs w:val="18"/>
                <w:color w:val="auto"/>
              </w:rPr>
              <w:t>Reference Price: $31.27</w:t>
            </w:r>
          </w:p>
        </w:tc>
        <w:tc>
          <w:tcPr>
            <w:tcW w:w="2820" w:type="dxa"/>
            <w:vAlign w:val="bottom"/>
          </w:tcPr>
          <w:p>
            <w:pPr>
              <w:ind w:left="100"/>
              <w:spacing w:after="0"/>
              <w:rPr>
                <w:sz w:val="20"/>
                <w:szCs w:val="20"/>
                <w:color w:val="auto"/>
              </w:rPr>
            </w:pPr>
            <w:r>
              <w:rPr>
                <w:rFonts w:ascii="Arial" w:cs="Arial" w:eastAsia="Arial" w:hAnsi="Arial"/>
                <w:sz w:val="18"/>
                <w:szCs w:val="18"/>
                <w:color w:val="auto"/>
              </w:rPr>
              <w:t>JP Morgan Chase Bank</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Hayman Capital Master Fund, L.P.</w:t>
            </w:r>
          </w:p>
        </w:tc>
        <w:tc>
          <w:tcPr>
            <w:tcW w:w="1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Return Swap</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722,500</w:t>
            </w: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Reference Price: $30.85</w:t>
            </w:r>
          </w:p>
        </w:tc>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JP Morgan Chase Bank</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Hayman Capital Master Fund, L.P.</w:t>
            </w:r>
          </w:p>
        </w:tc>
        <w:tc>
          <w:tcPr>
            <w:tcW w:w="1740" w:type="dxa"/>
            <w:vAlign w:val="bottom"/>
          </w:tcPr>
          <w:p>
            <w:pPr>
              <w:ind w:left="200"/>
              <w:spacing w:after="0"/>
              <w:rPr>
                <w:sz w:val="20"/>
                <w:szCs w:val="20"/>
                <w:color w:val="auto"/>
              </w:rPr>
            </w:pPr>
            <w:r>
              <w:rPr>
                <w:rFonts w:ascii="Arial" w:cs="Arial" w:eastAsia="Arial" w:hAnsi="Arial"/>
                <w:sz w:val="18"/>
                <w:szCs w:val="18"/>
                <w:color w:val="auto"/>
              </w:rPr>
              <w:t>Total Return Swap</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466,000</w:t>
            </w:r>
          </w:p>
        </w:tc>
        <w:tc>
          <w:tcPr>
            <w:tcW w:w="2860" w:type="dxa"/>
            <w:vAlign w:val="bottom"/>
          </w:tcPr>
          <w:p>
            <w:pPr>
              <w:ind w:left="120"/>
              <w:spacing w:after="0"/>
              <w:rPr>
                <w:sz w:val="20"/>
                <w:szCs w:val="20"/>
                <w:color w:val="auto"/>
              </w:rPr>
            </w:pPr>
            <w:r>
              <w:rPr>
                <w:rFonts w:ascii="Arial" w:cs="Arial" w:eastAsia="Arial" w:hAnsi="Arial"/>
                <w:sz w:val="18"/>
                <w:szCs w:val="18"/>
                <w:color w:val="auto"/>
              </w:rPr>
              <w:t>Reference Price: $31.47</w:t>
            </w:r>
          </w:p>
        </w:tc>
        <w:tc>
          <w:tcPr>
            <w:tcW w:w="2820" w:type="dxa"/>
            <w:vAlign w:val="bottom"/>
          </w:tcPr>
          <w:p>
            <w:pPr>
              <w:ind w:left="100"/>
              <w:spacing w:after="0"/>
              <w:rPr>
                <w:sz w:val="20"/>
                <w:szCs w:val="20"/>
                <w:color w:val="auto"/>
              </w:rPr>
            </w:pPr>
            <w:r>
              <w:rPr>
                <w:rFonts w:ascii="Arial" w:cs="Arial" w:eastAsia="Arial" w:hAnsi="Arial"/>
                <w:sz w:val="18"/>
                <w:szCs w:val="18"/>
                <w:color w:val="auto"/>
              </w:rPr>
              <w:t>JP Morgan Chase Bank</w:t>
            </w: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Appaloosa Investment Limited</w:t>
            </w:r>
          </w:p>
        </w:tc>
        <w:tc>
          <w:tcPr>
            <w:tcW w:w="17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2016 Warrant</w:t>
            </w:r>
          </w:p>
        </w:tc>
        <w:tc>
          <w:tcPr>
            <w:tcW w:w="100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48,367</w:t>
            </w:r>
          </w:p>
        </w:tc>
        <w:tc>
          <w:tcPr>
            <w:tcW w:w="28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Expires July 10, 2016; exercise price</w:t>
            </w:r>
          </w:p>
        </w:tc>
        <w:tc>
          <w:tcPr>
            <w:tcW w:w="28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Issued by the Company</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Partnership I</w:t>
            </w:r>
          </w:p>
        </w:tc>
        <w:tc>
          <w:tcPr>
            <w:tcW w:w="1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 $10.00 per share of Common</w:t>
            </w:r>
          </w:p>
        </w:tc>
        <w:tc>
          <w:tcPr>
            <w:tcW w:w="2820" w:type="dxa"/>
            <w:vAlign w:val="bottom"/>
            <w:shd w:val="clear" w:color="auto" w:fill="CCEEFF"/>
          </w:tcPr>
          <w:p>
            <w:pPr>
              <w:spacing w:after="0"/>
              <w:rPr>
                <w:sz w:val="18"/>
                <w:szCs w:val="18"/>
                <w:color w:val="auto"/>
              </w:rPr>
            </w:pPr>
          </w:p>
        </w:tc>
      </w:tr>
      <w:tr>
        <w:trPr>
          <w:trHeight w:val="230"/>
        </w:trPr>
        <w:tc>
          <w:tcPr>
            <w:tcW w:w="30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w:t>
            </w:r>
          </w:p>
        </w:tc>
        <w:tc>
          <w:tcPr>
            <w:tcW w:w="2820" w:type="dxa"/>
            <w:vAlign w:val="bottom"/>
            <w:shd w:val="clear" w:color="auto" w:fill="CCEEFF"/>
          </w:tcPr>
          <w:p>
            <w:pPr>
              <w:spacing w:after="0"/>
              <w:rPr>
                <w:sz w:val="20"/>
                <w:szCs w:val="20"/>
                <w:color w:val="auto"/>
              </w:rPr>
            </w:pPr>
          </w:p>
        </w:tc>
      </w:tr>
      <w:tr>
        <w:trPr>
          <w:trHeight w:val="202"/>
        </w:trPr>
        <w:tc>
          <w:tcPr>
            <w:tcW w:w="3000" w:type="dxa"/>
            <w:vAlign w:val="bottom"/>
          </w:tcPr>
          <w:p>
            <w:pPr>
              <w:spacing w:after="0" w:line="201" w:lineRule="exact"/>
              <w:rPr>
                <w:sz w:val="20"/>
                <w:szCs w:val="20"/>
                <w:color w:val="auto"/>
              </w:rPr>
            </w:pPr>
            <w:r>
              <w:rPr>
                <w:rFonts w:ascii="Arial" w:cs="Arial" w:eastAsia="Arial" w:hAnsi="Arial"/>
                <w:sz w:val="18"/>
                <w:szCs w:val="18"/>
                <w:color w:val="auto"/>
              </w:rPr>
              <w:t>Palomino Fund Ltd.</w:t>
            </w:r>
          </w:p>
        </w:tc>
        <w:tc>
          <w:tcPr>
            <w:tcW w:w="1740" w:type="dxa"/>
            <w:vAlign w:val="bottom"/>
          </w:tcPr>
          <w:p>
            <w:pPr>
              <w:ind w:left="200"/>
              <w:spacing w:after="0" w:line="201" w:lineRule="exact"/>
              <w:rPr>
                <w:sz w:val="20"/>
                <w:szCs w:val="20"/>
                <w:color w:val="auto"/>
              </w:rPr>
            </w:pPr>
            <w:r>
              <w:rPr>
                <w:rFonts w:ascii="Arial" w:cs="Arial" w:eastAsia="Arial" w:hAnsi="Arial"/>
                <w:sz w:val="18"/>
                <w:szCs w:val="18"/>
                <w:color w:val="auto"/>
              </w:rPr>
              <w:t>2016 Warrant</w:t>
            </w: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70,698</w:t>
            </w:r>
          </w:p>
        </w:tc>
        <w:tc>
          <w:tcPr>
            <w:tcW w:w="2860" w:type="dxa"/>
            <w:vAlign w:val="bottom"/>
          </w:tcPr>
          <w:p>
            <w:pPr>
              <w:ind w:left="120"/>
              <w:spacing w:after="0" w:line="201" w:lineRule="exact"/>
              <w:rPr>
                <w:sz w:val="20"/>
                <w:szCs w:val="20"/>
                <w:color w:val="auto"/>
              </w:rPr>
            </w:pPr>
            <w:r>
              <w:rPr>
                <w:rFonts w:ascii="Arial" w:cs="Arial" w:eastAsia="Arial" w:hAnsi="Arial"/>
                <w:sz w:val="18"/>
                <w:szCs w:val="18"/>
                <w:color w:val="auto"/>
                <w:w w:val="92"/>
              </w:rPr>
              <w:t>Expires July 10, 2016; exercise price</w:t>
            </w:r>
          </w:p>
        </w:tc>
        <w:tc>
          <w:tcPr>
            <w:tcW w:w="2820" w:type="dxa"/>
            <w:vAlign w:val="bottom"/>
          </w:tcPr>
          <w:p>
            <w:pPr>
              <w:ind w:left="100"/>
              <w:spacing w:after="0" w:line="201" w:lineRule="exact"/>
              <w:rPr>
                <w:sz w:val="20"/>
                <w:szCs w:val="20"/>
                <w:color w:val="auto"/>
              </w:rPr>
            </w:pPr>
            <w:r>
              <w:rPr>
                <w:rFonts w:ascii="Arial" w:cs="Arial" w:eastAsia="Arial" w:hAnsi="Arial"/>
                <w:sz w:val="18"/>
                <w:szCs w:val="18"/>
                <w:color w:val="auto"/>
              </w:rPr>
              <w:t>Issued by the Company</w:t>
            </w:r>
          </w:p>
        </w:tc>
      </w:tr>
      <w:tr>
        <w:trPr>
          <w:trHeight w:val="216"/>
        </w:trPr>
        <w:tc>
          <w:tcPr>
            <w:tcW w:w="3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of $10.00 per share of Common</w:t>
            </w:r>
          </w:p>
        </w:tc>
        <w:tc>
          <w:tcPr>
            <w:tcW w:w="28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Stock</w:t>
            </w:r>
          </w:p>
        </w:tc>
        <w:tc>
          <w:tcPr>
            <w:tcW w:w="2820" w:type="dxa"/>
            <w:vAlign w:val="bottom"/>
          </w:tcPr>
          <w:p>
            <w:pPr>
              <w:spacing w:after="0"/>
              <w:rPr>
                <w:sz w:val="20"/>
                <w:szCs w:val="20"/>
                <w:color w:val="auto"/>
              </w:rPr>
            </w:pPr>
          </w:p>
        </w:tc>
      </w:tr>
    </w:tbl>
    <w:p>
      <w:pPr>
        <w:sectPr>
          <w:pgSz w:w="11900" w:h="16838" w:orient="portrait"/>
          <w:cols w:equalWidth="0" w:num="1">
            <w:col w:w="11420"/>
          </w:cols>
          <w:pgMar w:left="240" w:top="288" w:right="2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Thoroughbred Fund L.P.</w:t>
            </w:r>
          </w:p>
        </w:tc>
        <w:tc>
          <w:tcPr>
            <w:tcW w:w="1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2016 Warrant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34,704</w:t>
            </w:r>
          </w:p>
        </w:tc>
        <w:tc>
          <w:tcPr>
            <w:tcW w:w="35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Expires July 10, 2016; exercise price of $10.00</w:t>
            </w:r>
          </w:p>
        </w:tc>
        <w:tc>
          <w:tcPr>
            <w:tcW w:w="19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Issued by the Company</w:t>
            </w:r>
          </w:p>
        </w:tc>
      </w:tr>
      <w:tr>
        <w:trPr>
          <w:trHeight w:val="230"/>
        </w:trPr>
        <w:tc>
          <w:tcPr>
            <w:tcW w:w="36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 share of Common Stock</w:t>
            </w:r>
          </w:p>
        </w:tc>
        <w:tc>
          <w:tcPr>
            <w:tcW w:w="1960" w:type="dxa"/>
            <w:vAlign w:val="bottom"/>
            <w:shd w:val="clear" w:color="auto" w:fill="CCEEFF"/>
          </w:tcPr>
          <w:p>
            <w:pPr>
              <w:spacing w:after="0"/>
              <w:rPr>
                <w:sz w:val="20"/>
                <w:szCs w:val="20"/>
                <w:color w:val="auto"/>
              </w:rPr>
            </w:pPr>
          </w:p>
        </w:tc>
      </w:tr>
      <w:tr>
        <w:trPr>
          <w:trHeight w:val="202"/>
        </w:trPr>
        <w:tc>
          <w:tcPr>
            <w:tcW w:w="3680" w:type="dxa"/>
            <w:vAlign w:val="bottom"/>
          </w:tcPr>
          <w:p>
            <w:pPr>
              <w:spacing w:after="0" w:line="201" w:lineRule="exact"/>
              <w:rPr>
                <w:sz w:val="20"/>
                <w:szCs w:val="20"/>
                <w:color w:val="auto"/>
              </w:rPr>
            </w:pPr>
            <w:r>
              <w:rPr>
                <w:rFonts w:ascii="Arial" w:cs="Arial" w:eastAsia="Arial" w:hAnsi="Arial"/>
                <w:sz w:val="18"/>
                <w:szCs w:val="18"/>
                <w:color w:val="auto"/>
              </w:rPr>
              <w:t>Thoroughbred Master Ltd.</w:t>
            </w:r>
          </w:p>
        </w:tc>
        <w:tc>
          <w:tcPr>
            <w:tcW w:w="1240" w:type="dxa"/>
            <w:vAlign w:val="bottom"/>
          </w:tcPr>
          <w:p>
            <w:pPr>
              <w:ind w:left="80"/>
              <w:spacing w:after="0" w:line="201" w:lineRule="exact"/>
              <w:rPr>
                <w:sz w:val="20"/>
                <w:szCs w:val="20"/>
                <w:color w:val="auto"/>
              </w:rPr>
            </w:pPr>
            <w:r>
              <w:rPr>
                <w:rFonts w:ascii="Arial" w:cs="Arial" w:eastAsia="Arial" w:hAnsi="Arial"/>
                <w:sz w:val="18"/>
                <w:szCs w:val="18"/>
                <w:color w:val="auto"/>
              </w:rPr>
              <w:t>2016 Warrant</w:t>
            </w: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36,242</w:t>
            </w:r>
          </w:p>
        </w:tc>
        <w:tc>
          <w:tcPr>
            <w:tcW w:w="3560" w:type="dxa"/>
            <w:vAlign w:val="bottom"/>
          </w:tcPr>
          <w:p>
            <w:pPr>
              <w:ind w:left="100"/>
              <w:spacing w:after="0" w:line="201" w:lineRule="exact"/>
              <w:rPr>
                <w:sz w:val="20"/>
                <w:szCs w:val="20"/>
                <w:color w:val="auto"/>
              </w:rPr>
            </w:pPr>
            <w:r>
              <w:rPr>
                <w:rFonts w:ascii="Arial" w:cs="Arial" w:eastAsia="Arial" w:hAnsi="Arial"/>
                <w:sz w:val="18"/>
                <w:szCs w:val="18"/>
                <w:color w:val="auto"/>
                <w:w w:val="92"/>
              </w:rPr>
              <w:t>Expires July 10, 2016; exercise price of $10.00</w:t>
            </w:r>
          </w:p>
        </w:tc>
        <w:tc>
          <w:tcPr>
            <w:tcW w:w="1960" w:type="dxa"/>
            <w:vAlign w:val="bottom"/>
          </w:tcPr>
          <w:p>
            <w:pPr>
              <w:ind w:left="60"/>
              <w:spacing w:after="0" w:line="201" w:lineRule="exact"/>
              <w:rPr>
                <w:sz w:val="20"/>
                <w:szCs w:val="20"/>
                <w:color w:val="auto"/>
              </w:rPr>
            </w:pPr>
            <w:r>
              <w:rPr>
                <w:rFonts w:ascii="Arial" w:cs="Arial" w:eastAsia="Arial" w:hAnsi="Arial"/>
                <w:sz w:val="18"/>
                <w:szCs w:val="18"/>
                <w:color w:val="auto"/>
                <w:w w:val="99"/>
              </w:rPr>
              <w:t>Issued by the Company</w:t>
            </w:r>
          </w:p>
        </w:tc>
      </w:tr>
      <w:tr>
        <w:trPr>
          <w:trHeight w:val="230"/>
        </w:trPr>
        <w:tc>
          <w:tcPr>
            <w:tcW w:w="3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per share of Common Stock</w:t>
            </w:r>
          </w:p>
        </w:tc>
        <w:tc>
          <w:tcPr>
            <w:tcW w:w="1960" w:type="dxa"/>
            <w:vAlign w:val="bottom"/>
          </w:tcPr>
          <w:p>
            <w:pPr>
              <w:spacing w:after="0"/>
              <w:rPr>
                <w:sz w:val="20"/>
                <w:szCs w:val="20"/>
                <w:color w:val="auto"/>
              </w:rPr>
            </w:pPr>
          </w:p>
        </w:tc>
      </w:tr>
      <w:tr>
        <w:trPr>
          <w:trHeight w:val="202"/>
        </w:trPr>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Appaloosa Investment Limited Partnership I</w:t>
            </w:r>
          </w:p>
        </w:tc>
        <w:tc>
          <w:tcPr>
            <w:tcW w:w="12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2019 Warrant</w:t>
            </w:r>
          </w:p>
        </w:tc>
        <w:tc>
          <w:tcPr>
            <w:tcW w:w="98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48,367</w:t>
            </w:r>
          </w:p>
        </w:tc>
        <w:tc>
          <w:tcPr>
            <w:tcW w:w="35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2"/>
              </w:rPr>
              <w:t>Expires July 10, 2019; exercise price of $18.33</w:t>
            </w:r>
          </w:p>
        </w:tc>
        <w:tc>
          <w:tcPr>
            <w:tcW w:w="19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9"/>
              </w:rPr>
              <w:t>Issued by the Company</w:t>
            </w:r>
          </w:p>
        </w:tc>
      </w:tr>
      <w:tr>
        <w:trPr>
          <w:trHeight w:val="230"/>
        </w:trPr>
        <w:tc>
          <w:tcPr>
            <w:tcW w:w="36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 share of Common Stock</w:t>
            </w:r>
          </w:p>
        </w:tc>
        <w:tc>
          <w:tcPr>
            <w:tcW w:w="1960" w:type="dxa"/>
            <w:vAlign w:val="bottom"/>
            <w:shd w:val="clear" w:color="auto" w:fill="CCEEFF"/>
          </w:tcPr>
          <w:p>
            <w:pPr>
              <w:spacing w:after="0"/>
              <w:rPr>
                <w:sz w:val="20"/>
                <w:szCs w:val="20"/>
                <w:color w:val="auto"/>
              </w:rPr>
            </w:pPr>
          </w:p>
        </w:tc>
      </w:tr>
      <w:tr>
        <w:trPr>
          <w:trHeight w:val="202"/>
        </w:trPr>
        <w:tc>
          <w:tcPr>
            <w:tcW w:w="3680" w:type="dxa"/>
            <w:vAlign w:val="bottom"/>
          </w:tcPr>
          <w:p>
            <w:pPr>
              <w:spacing w:after="0" w:line="201" w:lineRule="exact"/>
              <w:rPr>
                <w:sz w:val="20"/>
                <w:szCs w:val="20"/>
                <w:color w:val="auto"/>
              </w:rPr>
            </w:pPr>
            <w:r>
              <w:rPr>
                <w:rFonts w:ascii="Arial" w:cs="Arial" w:eastAsia="Arial" w:hAnsi="Arial"/>
                <w:sz w:val="18"/>
                <w:szCs w:val="18"/>
                <w:color w:val="auto"/>
              </w:rPr>
              <w:t>Palomino Fund Ltd.</w:t>
            </w:r>
          </w:p>
        </w:tc>
        <w:tc>
          <w:tcPr>
            <w:tcW w:w="1240" w:type="dxa"/>
            <w:vAlign w:val="bottom"/>
          </w:tcPr>
          <w:p>
            <w:pPr>
              <w:ind w:left="80"/>
              <w:spacing w:after="0" w:line="201" w:lineRule="exact"/>
              <w:rPr>
                <w:sz w:val="20"/>
                <w:szCs w:val="20"/>
                <w:color w:val="auto"/>
              </w:rPr>
            </w:pPr>
            <w:r>
              <w:rPr>
                <w:rFonts w:ascii="Arial" w:cs="Arial" w:eastAsia="Arial" w:hAnsi="Arial"/>
                <w:sz w:val="18"/>
                <w:szCs w:val="18"/>
                <w:color w:val="auto"/>
              </w:rPr>
              <w:t>2019 Warrant</w:t>
            </w: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70,698</w:t>
            </w:r>
          </w:p>
        </w:tc>
        <w:tc>
          <w:tcPr>
            <w:tcW w:w="3560" w:type="dxa"/>
            <w:vAlign w:val="bottom"/>
          </w:tcPr>
          <w:p>
            <w:pPr>
              <w:ind w:left="100"/>
              <w:spacing w:after="0" w:line="201" w:lineRule="exact"/>
              <w:rPr>
                <w:sz w:val="20"/>
                <w:szCs w:val="20"/>
                <w:color w:val="auto"/>
              </w:rPr>
            </w:pPr>
            <w:r>
              <w:rPr>
                <w:rFonts w:ascii="Arial" w:cs="Arial" w:eastAsia="Arial" w:hAnsi="Arial"/>
                <w:sz w:val="18"/>
                <w:szCs w:val="18"/>
                <w:color w:val="auto"/>
                <w:w w:val="92"/>
              </w:rPr>
              <w:t>Expires July 10, 2019; exercise price of $18.33</w:t>
            </w:r>
          </w:p>
        </w:tc>
        <w:tc>
          <w:tcPr>
            <w:tcW w:w="1960" w:type="dxa"/>
            <w:vAlign w:val="bottom"/>
          </w:tcPr>
          <w:p>
            <w:pPr>
              <w:ind w:left="60"/>
              <w:spacing w:after="0" w:line="201" w:lineRule="exact"/>
              <w:rPr>
                <w:sz w:val="20"/>
                <w:szCs w:val="20"/>
                <w:color w:val="auto"/>
              </w:rPr>
            </w:pPr>
            <w:r>
              <w:rPr>
                <w:rFonts w:ascii="Arial" w:cs="Arial" w:eastAsia="Arial" w:hAnsi="Arial"/>
                <w:sz w:val="18"/>
                <w:szCs w:val="18"/>
                <w:color w:val="auto"/>
                <w:w w:val="99"/>
              </w:rPr>
              <w:t>Issued by the Company</w:t>
            </w:r>
          </w:p>
        </w:tc>
      </w:tr>
      <w:tr>
        <w:trPr>
          <w:trHeight w:val="230"/>
        </w:trPr>
        <w:tc>
          <w:tcPr>
            <w:tcW w:w="3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per share of Common Stock</w:t>
            </w:r>
          </w:p>
        </w:tc>
        <w:tc>
          <w:tcPr>
            <w:tcW w:w="1960" w:type="dxa"/>
            <w:vAlign w:val="bottom"/>
          </w:tcPr>
          <w:p>
            <w:pPr>
              <w:spacing w:after="0"/>
              <w:rPr>
                <w:sz w:val="20"/>
                <w:szCs w:val="20"/>
                <w:color w:val="auto"/>
              </w:rPr>
            </w:pPr>
          </w:p>
        </w:tc>
      </w:tr>
      <w:tr>
        <w:trPr>
          <w:trHeight w:val="202"/>
        </w:trPr>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Thoroughbred Fund L.P.</w:t>
            </w:r>
          </w:p>
        </w:tc>
        <w:tc>
          <w:tcPr>
            <w:tcW w:w="12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2019 Warrant</w:t>
            </w:r>
          </w:p>
        </w:tc>
        <w:tc>
          <w:tcPr>
            <w:tcW w:w="98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34,704</w:t>
            </w:r>
          </w:p>
        </w:tc>
        <w:tc>
          <w:tcPr>
            <w:tcW w:w="35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2"/>
              </w:rPr>
              <w:t>Expires July 10, 2019; exercise price of $18.33</w:t>
            </w:r>
          </w:p>
        </w:tc>
        <w:tc>
          <w:tcPr>
            <w:tcW w:w="19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9"/>
              </w:rPr>
              <w:t>Issued by the Company</w:t>
            </w:r>
          </w:p>
        </w:tc>
      </w:tr>
      <w:tr>
        <w:trPr>
          <w:trHeight w:val="230"/>
        </w:trPr>
        <w:tc>
          <w:tcPr>
            <w:tcW w:w="36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 share of Common Stock</w:t>
            </w:r>
          </w:p>
        </w:tc>
        <w:tc>
          <w:tcPr>
            <w:tcW w:w="1960" w:type="dxa"/>
            <w:vAlign w:val="bottom"/>
            <w:shd w:val="clear" w:color="auto" w:fill="CCEEFF"/>
          </w:tcPr>
          <w:p>
            <w:pPr>
              <w:spacing w:after="0"/>
              <w:rPr>
                <w:sz w:val="20"/>
                <w:szCs w:val="20"/>
                <w:color w:val="auto"/>
              </w:rPr>
            </w:pPr>
          </w:p>
        </w:tc>
      </w:tr>
      <w:tr>
        <w:trPr>
          <w:trHeight w:val="202"/>
        </w:trPr>
        <w:tc>
          <w:tcPr>
            <w:tcW w:w="3680" w:type="dxa"/>
            <w:vAlign w:val="bottom"/>
          </w:tcPr>
          <w:p>
            <w:pPr>
              <w:spacing w:after="0" w:line="201" w:lineRule="exact"/>
              <w:rPr>
                <w:sz w:val="20"/>
                <w:szCs w:val="20"/>
                <w:color w:val="auto"/>
              </w:rPr>
            </w:pPr>
            <w:r>
              <w:rPr>
                <w:rFonts w:ascii="Arial" w:cs="Arial" w:eastAsia="Arial" w:hAnsi="Arial"/>
                <w:sz w:val="18"/>
                <w:szCs w:val="18"/>
                <w:color w:val="auto"/>
              </w:rPr>
              <w:t>Thoroughbred Master Ltd.</w:t>
            </w:r>
          </w:p>
        </w:tc>
        <w:tc>
          <w:tcPr>
            <w:tcW w:w="1240" w:type="dxa"/>
            <w:vAlign w:val="bottom"/>
          </w:tcPr>
          <w:p>
            <w:pPr>
              <w:ind w:left="80"/>
              <w:spacing w:after="0" w:line="201" w:lineRule="exact"/>
              <w:rPr>
                <w:sz w:val="20"/>
                <w:szCs w:val="20"/>
                <w:color w:val="auto"/>
              </w:rPr>
            </w:pPr>
            <w:r>
              <w:rPr>
                <w:rFonts w:ascii="Arial" w:cs="Arial" w:eastAsia="Arial" w:hAnsi="Arial"/>
                <w:sz w:val="18"/>
                <w:szCs w:val="18"/>
                <w:color w:val="auto"/>
              </w:rPr>
              <w:t>2019 Warrant</w:t>
            </w: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36,242</w:t>
            </w:r>
          </w:p>
        </w:tc>
        <w:tc>
          <w:tcPr>
            <w:tcW w:w="3560" w:type="dxa"/>
            <w:vAlign w:val="bottom"/>
          </w:tcPr>
          <w:p>
            <w:pPr>
              <w:ind w:left="100"/>
              <w:spacing w:after="0" w:line="201" w:lineRule="exact"/>
              <w:rPr>
                <w:sz w:val="20"/>
                <w:szCs w:val="20"/>
                <w:color w:val="auto"/>
              </w:rPr>
            </w:pPr>
            <w:r>
              <w:rPr>
                <w:rFonts w:ascii="Arial" w:cs="Arial" w:eastAsia="Arial" w:hAnsi="Arial"/>
                <w:sz w:val="18"/>
                <w:szCs w:val="18"/>
                <w:color w:val="auto"/>
                <w:w w:val="92"/>
              </w:rPr>
              <w:t>Expires July 10, 2019; exercise price of $18.33</w:t>
            </w:r>
          </w:p>
        </w:tc>
        <w:tc>
          <w:tcPr>
            <w:tcW w:w="1960" w:type="dxa"/>
            <w:vAlign w:val="bottom"/>
          </w:tcPr>
          <w:p>
            <w:pPr>
              <w:ind w:left="60"/>
              <w:spacing w:after="0" w:line="201" w:lineRule="exact"/>
              <w:rPr>
                <w:sz w:val="20"/>
                <w:szCs w:val="20"/>
                <w:color w:val="auto"/>
              </w:rPr>
            </w:pPr>
            <w:r>
              <w:rPr>
                <w:rFonts w:ascii="Arial" w:cs="Arial" w:eastAsia="Arial" w:hAnsi="Arial"/>
                <w:sz w:val="18"/>
                <w:szCs w:val="18"/>
                <w:color w:val="auto"/>
                <w:w w:val="99"/>
              </w:rPr>
              <w:t>Issued by the Company</w:t>
            </w:r>
          </w:p>
        </w:tc>
      </w:tr>
      <w:tr>
        <w:trPr>
          <w:trHeight w:val="230"/>
        </w:trPr>
        <w:tc>
          <w:tcPr>
            <w:tcW w:w="3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per share of Common Stock</w:t>
            </w:r>
          </w:p>
        </w:tc>
        <w:tc>
          <w:tcPr>
            <w:tcW w:w="1960" w:type="dxa"/>
            <w:vAlign w:val="bottom"/>
          </w:tcPr>
          <w:p>
            <w:pPr>
              <w:spacing w:after="0"/>
              <w:rPr>
                <w:sz w:val="20"/>
                <w:szCs w:val="20"/>
                <w:color w:val="auto"/>
              </w:rPr>
            </w:pPr>
          </w:p>
        </w:tc>
      </w:tr>
      <w:tr>
        <w:trPr>
          <w:trHeight w:val="202"/>
        </w:trPr>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HG Vora Special Opportunities Master Fund, Ltd.</w:t>
            </w:r>
          </w:p>
        </w:tc>
        <w:tc>
          <w:tcPr>
            <w:tcW w:w="12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Option</w:t>
            </w:r>
          </w:p>
        </w:tc>
        <w:tc>
          <w:tcPr>
            <w:tcW w:w="98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1,250,000</w:t>
            </w:r>
          </w:p>
        </w:tc>
        <w:tc>
          <w:tcPr>
            <w:tcW w:w="35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3"/>
              </w:rPr>
              <w:t>Expires March 20, 2015; strike price of $37.00</w:t>
            </w:r>
          </w:p>
        </w:tc>
        <w:tc>
          <w:tcPr>
            <w:tcW w:w="19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Exchange-traded</w:t>
            </w:r>
          </w:p>
        </w:tc>
      </w:tr>
      <w:tr>
        <w:trPr>
          <w:trHeight w:val="230"/>
        </w:trPr>
        <w:tc>
          <w:tcPr>
            <w:tcW w:w="36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 share of Common Stock</w:t>
            </w:r>
          </w:p>
        </w:tc>
        <w:tc>
          <w:tcPr>
            <w:tcW w:w="1960" w:type="dxa"/>
            <w:vAlign w:val="bottom"/>
            <w:shd w:val="clear" w:color="auto" w:fill="CCEEFF"/>
          </w:tcPr>
          <w:p>
            <w:pPr>
              <w:spacing w:after="0"/>
              <w:rPr>
                <w:sz w:val="20"/>
                <w:szCs w:val="20"/>
                <w:color w:val="auto"/>
              </w:rPr>
            </w:pPr>
          </w:p>
        </w:tc>
      </w:tr>
      <w:tr>
        <w:trPr>
          <w:trHeight w:val="202"/>
        </w:trPr>
        <w:tc>
          <w:tcPr>
            <w:tcW w:w="3680" w:type="dxa"/>
            <w:vAlign w:val="bottom"/>
          </w:tcPr>
          <w:p>
            <w:pPr>
              <w:spacing w:after="0" w:line="201" w:lineRule="exact"/>
              <w:rPr>
                <w:sz w:val="20"/>
                <w:szCs w:val="20"/>
                <w:color w:val="auto"/>
              </w:rPr>
            </w:pPr>
            <w:r>
              <w:rPr>
                <w:rFonts w:ascii="Arial" w:cs="Arial" w:eastAsia="Arial" w:hAnsi="Arial"/>
                <w:sz w:val="18"/>
                <w:szCs w:val="18"/>
                <w:color w:val="auto"/>
                <w:w w:val="93"/>
              </w:rPr>
              <w:t>HG Vora Special Opportunities Master Fund, Ltd.</w:t>
            </w:r>
          </w:p>
        </w:tc>
        <w:tc>
          <w:tcPr>
            <w:tcW w:w="1240" w:type="dxa"/>
            <w:vAlign w:val="bottom"/>
          </w:tcPr>
          <w:p>
            <w:pPr>
              <w:ind w:left="80"/>
              <w:spacing w:after="0" w:line="201" w:lineRule="exact"/>
              <w:rPr>
                <w:sz w:val="20"/>
                <w:szCs w:val="20"/>
                <w:color w:val="auto"/>
              </w:rPr>
            </w:pPr>
            <w:r>
              <w:rPr>
                <w:rFonts w:ascii="Arial" w:cs="Arial" w:eastAsia="Arial" w:hAnsi="Arial"/>
                <w:sz w:val="18"/>
                <w:szCs w:val="18"/>
                <w:color w:val="auto"/>
              </w:rPr>
              <w:t>Option</w:t>
            </w: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1,500,000</w:t>
            </w:r>
          </w:p>
        </w:tc>
        <w:tc>
          <w:tcPr>
            <w:tcW w:w="3560" w:type="dxa"/>
            <w:vAlign w:val="bottom"/>
          </w:tcPr>
          <w:p>
            <w:pPr>
              <w:ind w:left="100"/>
              <w:spacing w:after="0" w:line="201" w:lineRule="exact"/>
              <w:rPr>
                <w:sz w:val="20"/>
                <w:szCs w:val="20"/>
                <w:color w:val="auto"/>
              </w:rPr>
            </w:pPr>
            <w:r>
              <w:rPr>
                <w:rFonts w:ascii="Arial" w:cs="Arial" w:eastAsia="Arial" w:hAnsi="Arial"/>
                <w:sz w:val="18"/>
                <w:szCs w:val="18"/>
                <w:color w:val="auto"/>
                <w:w w:val="93"/>
              </w:rPr>
              <w:t>Expires March 20, 2015; strike price of $38.00</w:t>
            </w:r>
          </w:p>
        </w:tc>
        <w:tc>
          <w:tcPr>
            <w:tcW w:w="1960" w:type="dxa"/>
            <w:vAlign w:val="bottom"/>
          </w:tcPr>
          <w:p>
            <w:pPr>
              <w:ind w:left="60"/>
              <w:spacing w:after="0" w:line="201" w:lineRule="exact"/>
              <w:rPr>
                <w:sz w:val="20"/>
                <w:szCs w:val="20"/>
                <w:color w:val="auto"/>
              </w:rPr>
            </w:pPr>
            <w:r>
              <w:rPr>
                <w:rFonts w:ascii="Arial" w:cs="Arial" w:eastAsia="Arial" w:hAnsi="Arial"/>
                <w:sz w:val="18"/>
                <w:szCs w:val="18"/>
                <w:color w:val="auto"/>
              </w:rPr>
              <w:t>Exchange-traded</w:t>
            </w:r>
          </w:p>
        </w:tc>
      </w:tr>
      <w:tr>
        <w:trPr>
          <w:trHeight w:val="230"/>
        </w:trPr>
        <w:tc>
          <w:tcPr>
            <w:tcW w:w="3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per share of Common Stock</w:t>
            </w:r>
          </w:p>
        </w:tc>
        <w:tc>
          <w:tcPr>
            <w:tcW w:w="1960" w:type="dxa"/>
            <w:vAlign w:val="bottom"/>
          </w:tcPr>
          <w:p>
            <w:pPr>
              <w:spacing w:after="0"/>
              <w:rPr>
                <w:sz w:val="20"/>
                <w:szCs w:val="20"/>
                <w:color w:val="auto"/>
              </w:rPr>
            </w:pPr>
          </w:p>
        </w:tc>
      </w:tr>
      <w:tr>
        <w:trPr>
          <w:trHeight w:val="202"/>
        </w:trPr>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HG Vora Special Opportunities Master Fund, Ltd.</w:t>
            </w:r>
          </w:p>
        </w:tc>
        <w:tc>
          <w:tcPr>
            <w:tcW w:w="12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Option</w:t>
            </w:r>
          </w:p>
        </w:tc>
        <w:tc>
          <w:tcPr>
            <w:tcW w:w="98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550,000</w:t>
            </w:r>
          </w:p>
        </w:tc>
        <w:tc>
          <w:tcPr>
            <w:tcW w:w="35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Expires January 15, 2016; strike price $40.00</w:t>
            </w:r>
          </w:p>
        </w:tc>
        <w:tc>
          <w:tcPr>
            <w:tcW w:w="19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Exchange-traded</w:t>
            </w:r>
          </w:p>
        </w:tc>
      </w:tr>
      <w:tr>
        <w:trPr>
          <w:trHeight w:val="230"/>
        </w:trPr>
        <w:tc>
          <w:tcPr>
            <w:tcW w:w="36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 share of Common Stock</w:t>
            </w:r>
          </w:p>
        </w:tc>
        <w:tc>
          <w:tcPr>
            <w:tcW w:w="1960" w:type="dxa"/>
            <w:vAlign w:val="bottom"/>
            <w:shd w:val="clear" w:color="auto" w:fill="CCEEFF"/>
          </w:tcPr>
          <w:p>
            <w:pPr>
              <w:spacing w:after="0"/>
              <w:rPr>
                <w:sz w:val="20"/>
                <w:szCs w:val="20"/>
                <w:color w:val="auto"/>
              </w:rPr>
            </w:pPr>
          </w:p>
        </w:tc>
      </w:tr>
      <w:tr>
        <w:trPr>
          <w:trHeight w:val="202"/>
        </w:trPr>
        <w:tc>
          <w:tcPr>
            <w:tcW w:w="3680" w:type="dxa"/>
            <w:vAlign w:val="bottom"/>
          </w:tcPr>
          <w:p>
            <w:pPr>
              <w:spacing w:after="0" w:line="201" w:lineRule="exact"/>
              <w:rPr>
                <w:sz w:val="20"/>
                <w:szCs w:val="20"/>
                <w:color w:val="auto"/>
              </w:rPr>
            </w:pPr>
            <w:r>
              <w:rPr>
                <w:rFonts w:ascii="Arial" w:cs="Arial" w:eastAsia="Arial" w:hAnsi="Arial"/>
                <w:sz w:val="18"/>
                <w:szCs w:val="18"/>
                <w:color w:val="auto"/>
                <w:w w:val="93"/>
              </w:rPr>
              <w:t>HG Vora Special Opportunities Master Fund, Ltd.</w:t>
            </w:r>
          </w:p>
        </w:tc>
        <w:tc>
          <w:tcPr>
            <w:tcW w:w="1240" w:type="dxa"/>
            <w:vAlign w:val="bottom"/>
          </w:tcPr>
          <w:p>
            <w:pPr>
              <w:ind w:left="80"/>
              <w:spacing w:after="0" w:line="201" w:lineRule="exact"/>
              <w:rPr>
                <w:sz w:val="20"/>
                <w:szCs w:val="20"/>
                <w:color w:val="auto"/>
              </w:rPr>
            </w:pPr>
            <w:r>
              <w:rPr>
                <w:rFonts w:ascii="Arial" w:cs="Arial" w:eastAsia="Arial" w:hAnsi="Arial"/>
                <w:sz w:val="18"/>
                <w:szCs w:val="18"/>
                <w:color w:val="auto"/>
              </w:rPr>
              <w:t>Option</w:t>
            </w: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300,000</w:t>
            </w:r>
          </w:p>
        </w:tc>
        <w:tc>
          <w:tcPr>
            <w:tcW w:w="3560" w:type="dxa"/>
            <w:vAlign w:val="bottom"/>
          </w:tcPr>
          <w:p>
            <w:pPr>
              <w:ind w:left="100"/>
              <w:spacing w:after="0" w:line="201" w:lineRule="exact"/>
              <w:rPr>
                <w:sz w:val="20"/>
                <w:szCs w:val="20"/>
                <w:color w:val="auto"/>
              </w:rPr>
            </w:pPr>
            <w:r>
              <w:rPr>
                <w:rFonts w:ascii="Arial" w:cs="Arial" w:eastAsia="Arial" w:hAnsi="Arial"/>
                <w:sz w:val="18"/>
                <w:szCs w:val="18"/>
                <w:color w:val="auto"/>
              </w:rPr>
              <w:t>Expires January 15, 2016; strike price of</w:t>
            </w:r>
          </w:p>
        </w:tc>
        <w:tc>
          <w:tcPr>
            <w:tcW w:w="1960" w:type="dxa"/>
            <w:vAlign w:val="bottom"/>
          </w:tcPr>
          <w:p>
            <w:pPr>
              <w:ind w:left="60"/>
              <w:spacing w:after="0" w:line="201" w:lineRule="exact"/>
              <w:rPr>
                <w:sz w:val="20"/>
                <w:szCs w:val="20"/>
                <w:color w:val="auto"/>
              </w:rPr>
            </w:pPr>
            <w:r>
              <w:rPr>
                <w:rFonts w:ascii="Arial" w:cs="Arial" w:eastAsia="Arial" w:hAnsi="Arial"/>
                <w:sz w:val="18"/>
                <w:szCs w:val="18"/>
                <w:color w:val="auto"/>
              </w:rPr>
              <w:t>Exchange-traded</w:t>
            </w:r>
          </w:p>
        </w:tc>
      </w:tr>
      <w:tr>
        <w:trPr>
          <w:trHeight w:val="230"/>
        </w:trPr>
        <w:tc>
          <w:tcPr>
            <w:tcW w:w="3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$42.00 per share of Common Stock</w:t>
            </w:r>
          </w:p>
        </w:tc>
        <w:tc>
          <w:tcPr>
            <w:tcW w:w="1960" w:type="dxa"/>
            <w:vAlign w:val="bottom"/>
          </w:tcPr>
          <w:p>
            <w:pPr>
              <w:spacing w:after="0"/>
              <w:rPr>
                <w:sz w:val="20"/>
                <w:szCs w:val="20"/>
                <w:color w:val="auto"/>
              </w:rPr>
            </w:pPr>
          </w:p>
        </w:tc>
      </w:tr>
      <w:tr>
        <w:trPr>
          <w:trHeight w:val="202"/>
        </w:trPr>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HG Vora Special Opportunities Master Fund, Ltd.</w:t>
            </w:r>
          </w:p>
        </w:tc>
        <w:tc>
          <w:tcPr>
            <w:tcW w:w="12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Option</w:t>
            </w:r>
          </w:p>
        </w:tc>
        <w:tc>
          <w:tcPr>
            <w:tcW w:w="98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400,000</w:t>
            </w:r>
          </w:p>
        </w:tc>
        <w:tc>
          <w:tcPr>
            <w:tcW w:w="35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Expires January 20, 2017; strike price of</w:t>
            </w:r>
          </w:p>
        </w:tc>
        <w:tc>
          <w:tcPr>
            <w:tcW w:w="19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Exchange-traded</w:t>
            </w:r>
          </w:p>
        </w:tc>
      </w:tr>
      <w:tr>
        <w:trPr>
          <w:trHeight w:val="230"/>
        </w:trPr>
        <w:tc>
          <w:tcPr>
            <w:tcW w:w="36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$40.00 per share of Common Stock</w:t>
            </w:r>
          </w:p>
        </w:tc>
        <w:tc>
          <w:tcPr>
            <w:tcW w:w="1960" w:type="dxa"/>
            <w:vAlign w:val="bottom"/>
            <w:shd w:val="clear" w:color="auto" w:fill="CCEEFF"/>
          </w:tcPr>
          <w:p>
            <w:pPr>
              <w:spacing w:after="0"/>
              <w:rPr>
                <w:sz w:val="20"/>
                <w:szCs w:val="20"/>
                <w:color w:val="auto"/>
              </w:rPr>
            </w:pPr>
          </w:p>
        </w:tc>
      </w:tr>
    </w:tbl>
    <w:p>
      <w:pPr>
        <w:spacing w:after="0" w:line="229" w:lineRule="exact"/>
        <w:rPr>
          <w:sz w:val="20"/>
          <w:szCs w:val="20"/>
          <w:color w:val="auto"/>
        </w:rPr>
      </w:pPr>
    </w:p>
    <w:p>
      <w:pPr>
        <w:jc w:val="both"/>
        <w:ind w:left="460" w:right="240" w:hanging="452"/>
        <w:spacing w:after="0" w:line="25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each listed total return swap, (i) TOMF and HCMF will receive an amount equal to any appreciation (including dividends and capital gains) in the underlying shares of Common Stock of the Company above the Reference Price and the counterparty will receive an amount equal to a fixed amount plus any depreciation in the underlying shares of Common Stock of the Company below the Reference Price and (ii) there is no stated expiration date, although as a matter of course, the counterparty typically inquires whether TOMF and HCMF would like to continue the total return swap after every 12-month period.</w:t>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2)"/>
      <w:numFmt w:val="decimal"/>
      <w:start w:val="1"/>
    </w:lvl>
  </w:abstractNum>
  <w:abstractNum w:abstractNumId="4">
    <w:nsid w:val="79E2A9E3"/>
    <w:multiLevelType w:val="hybridMultilevel"/>
    <w:lvl w:ilvl="0">
      <w:lvlJc w:val="left"/>
      <w:lvlText w:val="☐"/>
      <w:numFmt w:val="bullet"/>
      <w:start w:val="1"/>
    </w:lvl>
    <w:lvl w:ilvl="1">
      <w:lvlJc w:val="left"/>
      <w:lvlText w:val="(%2)"/>
      <w:numFmt w:val="decimal"/>
      <w:start w:val="3"/>
    </w:lvl>
  </w:abstractNum>
  <w:abstractNum w:abstractNumId="5">
    <w:nsid w:val="7545E146"/>
    <w:multiLevelType w:val="hybridMultilevel"/>
    <w:lvl w:ilvl="0">
      <w:lvlJc w:val="left"/>
      <w:lvlText w:val="☐"/>
      <w:numFmt w:val="bullet"/>
      <w:start w:val="1"/>
    </w:lvl>
    <w:lvl w:ilvl="1">
      <w:lvlJc w:val="left"/>
      <w:lvlText w:val="(%2)"/>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6"/>
    </w:lvl>
  </w:abstractNum>
  <w:abstractNum w:abstractNumId="8">
    <w:nsid w:val="12200854"/>
    <w:multiLevelType w:val="hybridMultilevel"/>
    <w:lvl w:ilvl="0">
      <w:lvlJc w:val="left"/>
      <w:lvlText w:val="(%1)"/>
      <w:numFmt w:val="decimal"/>
      <w:start w:val="23"/>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2019-12-20T22:09:34Z</dcterms:created>
  <dcterms:modified xsi:type="dcterms:W3CDTF">2019-12-20T22:09:34Z</dcterms:modified>
</cp:coreProperties>
</file>