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14A</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(Rule 14a -101)</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INFORMATION REQUIRED IN PROXY STATEMENT</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ectPr>
          <w:pgSz w:w="11900" w:h="16838" w:orient="portrait"/>
          <w:cols w:equalWidth="0" w:num="1">
            <w:col w:w="11320"/>
          </w:cols>
          <w:pgMar w:left="240" w:top="233" w:right="339" w:bottom="1440" w:gutter="0" w:footer="0" w:header="0"/>
        </w:sectPr>
      </w:pPr>
    </w:p>
    <w:p>
      <w:pPr>
        <w:spacing w:after="0" w:line="165"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58" w:lineRule="exact"/>
        <w:rPr>
          <w:sz w:val="24"/>
          <w:szCs w:val="24"/>
          <w:color w:val="auto"/>
        </w:rPr>
      </w:pPr>
    </w:p>
    <w:p>
      <w:pPr>
        <w:sectPr>
          <w:pgSz w:w="11900" w:h="16838" w:orient="portrait"/>
          <w:cols w:equalWidth="0" w:num="2">
            <w:col w:w="7340" w:space="520"/>
            <w:col w:w="3460"/>
          </w:cols>
          <w:pgMar w:left="240" w:top="233" w:right="339" w:bottom="1440" w:gutter="0" w:footer="0" w:header="0"/>
          <w:type w:val="continuous"/>
        </w:sect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8"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PreliminaryProxy Statement</w:t>
      </w:r>
    </w:p>
    <w:p>
      <w:pPr>
        <w:spacing w:after="0" w:line="23"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Only(as permitted by Rule 14a-6(e)(2))</w:t>
      </w:r>
    </w:p>
    <w:p>
      <w:pPr>
        <w:spacing w:after="0" w:line="9"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800" w:hanging="333"/>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800" w:hanging="333"/>
        <w:spacing w:after="0"/>
        <w:tabs>
          <w:tab w:leader="none" w:pos="8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32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84"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-2526665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-1814830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-1523365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-442595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Important Notice Regarding the Availability of Proxy Materials for the Annual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Meeting of Stockholders to Be Held on June 7, 2011</w:t>
      </w:r>
    </w:p>
    <w:p>
      <w:pPr>
        <w:sectPr>
          <w:pgSz w:w="11900" w:h="16838" w:orient="portrait"/>
          <w:cols w:equalWidth="0" w:num="1">
            <w:col w:w="10900"/>
          </w:cols>
          <w:pgMar w:left="480" w:top="247" w:right="5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left="620"/>
        <w:spacing w:after="0"/>
        <w:rPr>
          <w:sz w:val="20"/>
          <w:szCs w:val="20"/>
          <w:color w:val="auto"/>
        </w:rPr>
      </w:pPr>
      <w:r>
        <w:rPr>
          <w:rFonts w:ascii="Arial" w:cs="Arial" w:eastAsia="Arial" w:hAnsi="Arial"/>
          <w:sz w:val="21"/>
          <w:szCs w:val="21"/>
          <w:b w:val="1"/>
          <w:bCs w:val="1"/>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970280</wp:posOffset>
            </wp:positionV>
            <wp:extent cx="531495"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49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MOTORS COMPANY</w:t>
      </w:r>
    </w:p>
    <w:p>
      <w:pPr>
        <w:spacing w:after="0" w:line="221" w:lineRule="auto"/>
        <w:rPr>
          <w:sz w:val="20"/>
          <w:szCs w:val="20"/>
          <w:color w:val="auto"/>
        </w:rPr>
      </w:pPr>
      <w:r>
        <w:rPr>
          <w:rFonts w:ascii="Arial" w:cs="Arial" w:eastAsia="Arial" w:hAnsi="Arial"/>
          <w:sz w:val="14"/>
          <w:szCs w:val="14"/>
          <w:i w:val="1"/>
          <w:iCs w:val="1"/>
          <w:color w:val="auto"/>
        </w:rPr>
        <w:t>300 RENAISSANCE CENTER</w:t>
      </w:r>
    </w:p>
    <w:p>
      <w:pPr>
        <w:spacing w:after="0" w:line="221" w:lineRule="auto"/>
        <w:rPr>
          <w:sz w:val="20"/>
          <w:szCs w:val="20"/>
          <w:color w:val="auto"/>
        </w:rPr>
      </w:pPr>
      <w:r>
        <w:rPr>
          <w:rFonts w:ascii="Arial" w:cs="Arial" w:eastAsia="Arial" w:hAnsi="Arial"/>
          <w:sz w:val="14"/>
          <w:szCs w:val="14"/>
          <w:i w:val="1"/>
          <w:iCs w:val="1"/>
          <w:color w:val="auto"/>
        </w:rPr>
        <w:t>P.O. BOX 300</w:t>
      </w:r>
    </w:p>
    <w:p>
      <w:pPr>
        <w:spacing w:after="0"/>
        <w:rPr>
          <w:sz w:val="20"/>
          <w:szCs w:val="20"/>
          <w:color w:val="auto"/>
        </w:rPr>
      </w:pPr>
      <w:r>
        <w:rPr>
          <w:rFonts w:ascii="Arial" w:cs="Arial" w:eastAsia="Arial" w:hAnsi="Arial"/>
          <w:sz w:val="14"/>
          <w:szCs w:val="14"/>
          <w:i w:val="1"/>
          <w:iCs w:val="1"/>
          <w:color w:val="auto"/>
        </w:rPr>
        <w:t>DETROIT, MI 48265-3000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309245</wp:posOffset>
            </wp:positionV>
            <wp:extent cx="85725" cy="934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934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Meeting Information</w:t>
            </w:r>
          </w:p>
        </w:tc>
      </w:tr>
      <w:tr>
        <w:trPr>
          <w:trHeight w:val="248"/>
        </w:trPr>
        <w:tc>
          <w:tcPr>
            <w:tcW w:w="128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160" w:type="dxa"/>
            <w:vAlign w:val="bottom"/>
            <w:gridSpan w:val="2"/>
          </w:tcPr>
          <w:p>
            <w:pPr>
              <w:ind w:left="200"/>
              <w:spacing w:after="0"/>
              <w:rPr>
                <w:sz w:val="20"/>
                <w:szCs w:val="20"/>
                <w:color w:val="auto"/>
              </w:rPr>
            </w:pPr>
            <w:r>
              <w:rPr>
                <w:rFonts w:ascii="Arial" w:cs="Arial" w:eastAsia="Arial" w:hAnsi="Arial"/>
                <w:sz w:val="18"/>
                <w:szCs w:val="18"/>
                <w:color w:val="auto"/>
              </w:rPr>
              <w:t>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-289560</wp:posOffset>
            </wp:positionV>
            <wp:extent cx="3670300" cy="1414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70300" cy="141478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April 8, 2011</w:t>
      </w:r>
    </w:p>
    <w:p>
      <w:pPr>
        <w:spacing w:after="0" w:line="36" w:lineRule="exact"/>
        <w:rPr>
          <w:sz w:val="20"/>
          <w:szCs w:val="20"/>
          <w:color w:val="auto"/>
        </w:rPr>
      </w:pPr>
    </w:p>
    <w:p>
      <w:pPr>
        <w:ind w:left="240"/>
        <w:spacing w:after="0"/>
        <w:tabs>
          <w:tab w:leader="none" w:pos="900" w:val="left"/>
          <w:tab w:leader="none" w:pos="20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June 7, 2011</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9:30 a.m. Eastern Time</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Fisher Building</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3011 West Grand Boulevard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Detroit, MI 48202</w:t>
      </w:r>
    </w:p>
    <w:p>
      <w:pPr>
        <w:spacing w:after="0" w:line="9" w:lineRule="exact"/>
        <w:rPr>
          <w:sz w:val="20"/>
          <w:szCs w:val="20"/>
          <w:color w:val="auto"/>
        </w:rPr>
      </w:pPr>
    </w:p>
    <w:p>
      <w:pPr>
        <w:ind w:left="240" w:right="200"/>
        <w:spacing w:after="0" w:line="261" w:lineRule="auto"/>
        <w:rPr>
          <w:sz w:val="20"/>
          <w:szCs w:val="20"/>
          <w:color w:val="auto"/>
        </w:rPr>
      </w:pPr>
      <w:r>
        <w:rPr>
          <w:rFonts w:ascii="Arial" w:cs="Arial" w:eastAsia="Arial" w:hAnsi="Arial"/>
          <w:sz w:val="18"/>
          <w:szCs w:val="18"/>
          <w:color w:val="auto"/>
        </w:rPr>
        <w:t>Stockholders must request an admission ticket by following instructions set forth in the Proxy Statement.</w:t>
      </w:r>
    </w:p>
    <w:p>
      <w:pPr>
        <w:spacing w:after="0" w:line="200" w:lineRule="exact"/>
        <w:rPr>
          <w:sz w:val="20"/>
          <w:szCs w:val="20"/>
          <w:color w:val="auto"/>
        </w:rPr>
      </w:pP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88900</wp:posOffset>
            </wp:positionV>
            <wp:extent cx="367030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70300" cy="428625"/>
                    </a:xfrm>
                    <a:prstGeom prst="rect">
                      <a:avLst/>
                    </a:prstGeom>
                    <a:noFill/>
                  </pic:spPr>
                </pic:pic>
              </a:graphicData>
            </a:graphic>
          </wp:anchor>
        </w:drawing>
      </w:r>
    </w:p>
    <w:p>
      <w:pPr>
        <w:spacing w:after="0" w:line="187" w:lineRule="exact"/>
        <w:rPr>
          <w:sz w:val="20"/>
          <w:szCs w:val="20"/>
          <w:color w:val="auto"/>
        </w:rPr>
      </w:pPr>
    </w:p>
    <w:p>
      <w:pPr>
        <w:ind w:left="240" w:right="4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ectPr>
          <w:pgSz w:w="11900" w:h="16838" w:orient="portrait"/>
          <w:cols w:equalWidth="0" w:num="2">
            <w:col w:w="4660" w:space="720"/>
            <w:col w:w="5520"/>
          </w:cols>
          <w:pgMar w:left="480" w:top="247" w:right="5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384"/>
        </w:trPr>
        <w:tc>
          <w:tcPr>
            <w:tcW w:w="3180" w:type="dxa"/>
            <w:vAlign w:val="bottom"/>
          </w:tcPr>
          <w:p>
            <w:pPr>
              <w:spacing w:after="0"/>
              <w:rPr>
                <w:sz w:val="24"/>
                <w:szCs w:val="24"/>
                <w:color w:val="auto"/>
              </w:rPr>
            </w:pPr>
          </w:p>
        </w:tc>
        <w:tc>
          <w:tcPr>
            <w:tcW w:w="6480" w:type="dxa"/>
            <w:vAlign w:val="bottom"/>
          </w:tcPr>
          <w:p>
            <w:pPr>
              <w:jc w:val="center"/>
              <w:ind w:right="2521"/>
              <w:spacing w:after="0"/>
              <w:rPr>
                <w:sz w:val="20"/>
                <w:szCs w:val="20"/>
                <w:color w:val="auto"/>
              </w:rPr>
            </w:pPr>
            <w:r>
              <w:rPr>
                <w:rFonts w:ascii="Arial" w:cs="Arial" w:eastAsia="Arial" w:hAnsi="Arial"/>
                <w:sz w:val="32"/>
                <w:szCs w:val="32"/>
                <w:color w:val="auto"/>
                <w:w w:val="96"/>
              </w:rPr>
              <w:t xml:space="preserve">— </w:t>
            </w:r>
            <w:r>
              <w:rPr>
                <w:rFonts w:ascii="Arial" w:cs="Arial" w:eastAsia="Arial" w:hAnsi="Arial"/>
                <w:sz w:val="32"/>
                <w:szCs w:val="32"/>
                <w:b w:val="1"/>
                <w:bCs w:val="1"/>
                <w:color w:val="auto"/>
                <w:w w:val="96"/>
              </w:rPr>
              <w:t>Before You Vote</w:t>
            </w:r>
            <w:r>
              <w:rPr>
                <w:rFonts w:ascii="Arial" w:cs="Arial" w:eastAsia="Arial" w:hAnsi="Arial"/>
                <w:sz w:val="32"/>
                <w:szCs w:val="32"/>
                <w:color w:val="auto"/>
                <w:w w:val="96"/>
              </w:rPr>
              <w:t xml:space="preserve"> —</w:t>
            </w:r>
          </w:p>
        </w:tc>
      </w:tr>
      <w:tr>
        <w:trPr>
          <w:trHeight w:val="275"/>
        </w:trPr>
        <w:tc>
          <w:tcPr>
            <w:tcW w:w="3180" w:type="dxa"/>
            <w:vAlign w:val="bottom"/>
          </w:tcPr>
          <w:p>
            <w:pPr>
              <w:spacing w:after="0"/>
              <w:rPr>
                <w:sz w:val="23"/>
                <w:szCs w:val="23"/>
                <w:color w:val="auto"/>
              </w:rPr>
            </w:pPr>
          </w:p>
        </w:tc>
        <w:tc>
          <w:tcPr>
            <w:tcW w:w="6480" w:type="dxa"/>
            <w:vAlign w:val="bottom"/>
          </w:tcPr>
          <w:p>
            <w:pPr>
              <w:jc w:val="center"/>
              <w:ind w:right="2541"/>
              <w:spacing w:after="0"/>
              <w:rPr>
                <w:sz w:val="20"/>
                <w:szCs w:val="20"/>
                <w:color w:val="auto"/>
              </w:rPr>
            </w:pPr>
            <w:r>
              <w:rPr>
                <w:rFonts w:ascii="Arial" w:cs="Arial" w:eastAsia="Arial" w:hAnsi="Arial"/>
                <w:sz w:val="22"/>
                <w:szCs w:val="22"/>
                <w:color w:val="auto"/>
                <w:w w:val="90"/>
              </w:rPr>
              <w:t>How to Access the Proxy Materials</w:t>
            </w:r>
          </w:p>
        </w:tc>
      </w:tr>
      <w:tr>
        <w:trPr>
          <w:trHeight w:val="71"/>
        </w:trPr>
        <w:tc>
          <w:tcPr>
            <w:tcW w:w="9660" w:type="dxa"/>
            <w:vAlign w:val="bottom"/>
            <w:tcBorders>
              <w:bottom w:val="single" w:sz="8" w:color="auto"/>
            </w:tcBorders>
            <w:gridSpan w:val="2"/>
          </w:tcPr>
          <w:p>
            <w:pPr>
              <w:spacing w:after="0"/>
              <w:rPr>
                <w:sz w:val="6"/>
                <w:szCs w:val="6"/>
                <w:color w:val="auto"/>
              </w:rPr>
            </w:pPr>
          </w:p>
        </w:tc>
      </w:tr>
      <w:tr>
        <w:trPr>
          <w:trHeight w:val="262"/>
        </w:trPr>
        <w:tc>
          <w:tcPr>
            <w:tcW w:w="966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Proxy Materials Available to VIEW or RECEIVE:</w:t>
            </w:r>
          </w:p>
        </w:tc>
      </w:tr>
      <w:tr>
        <w:trPr>
          <w:trHeight w:val="217"/>
        </w:trPr>
        <w:tc>
          <w:tcPr>
            <w:tcW w:w="3180" w:type="dxa"/>
            <w:vAlign w:val="bottom"/>
          </w:tcPr>
          <w:p>
            <w:pPr>
              <w:ind w:left="100"/>
              <w:spacing w:after="0"/>
              <w:rPr>
                <w:sz w:val="20"/>
                <w:szCs w:val="20"/>
                <w:color w:val="auto"/>
              </w:rPr>
            </w:pPr>
            <w:r>
              <w:rPr>
                <w:rFonts w:ascii="Arial" w:cs="Arial" w:eastAsia="Arial" w:hAnsi="Arial"/>
                <w:sz w:val="18"/>
                <w:szCs w:val="18"/>
                <w:color w:val="auto"/>
              </w:rPr>
              <w:t>NOTICE AND PROXY STATEMENT</w:t>
            </w:r>
          </w:p>
        </w:tc>
        <w:tc>
          <w:tcPr>
            <w:tcW w:w="6480" w:type="dxa"/>
            <w:vAlign w:val="bottom"/>
          </w:tcPr>
          <w:p>
            <w:pPr>
              <w:ind w:left="540"/>
              <w:spacing w:after="0"/>
              <w:rPr>
                <w:sz w:val="20"/>
                <w:szCs w:val="20"/>
                <w:color w:val="auto"/>
              </w:rPr>
            </w:pPr>
            <w:r>
              <w:rPr>
                <w:rFonts w:ascii="Arial" w:cs="Arial" w:eastAsia="Arial" w:hAnsi="Arial"/>
                <w:sz w:val="18"/>
                <w:szCs w:val="18"/>
                <w:color w:val="auto"/>
              </w:rPr>
              <w:t>ANNUAL REPORT</w:t>
            </w:r>
          </w:p>
        </w:tc>
      </w:tr>
      <w:tr>
        <w:trPr>
          <w:trHeight w:val="225"/>
        </w:trPr>
        <w:tc>
          <w:tcPr>
            <w:tcW w:w="3180" w:type="dxa"/>
            <w:vAlign w:val="bottom"/>
          </w:tcPr>
          <w:p>
            <w:pPr>
              <w:ind w:left="100"/>
              <w:spacing w:after="0"/>
              <w:rPr>
                <w:sz w:val="20"/>
                <w:szCs w:val="20"/>
                <w:color w:val="auto"/>
              </w:rPr>
            </w:pPr>
            <w:r>
              <w:rPr>
                <w:rFonts w:ascii="Arial" w:cs="Arial" w:eastAsia="Arial" w:hAnsi="Arial"/>
                <w:sz w:val="18"/>
                <w:szCs w:val="18"/>
                <w:b w:val="1"/>
                <w:bCs w:val="1"/>
                <w:color w:val="auto"/>
              </w:rPr>
              <w:t>How to View Online:</w:t>
            </w:r>
          </w:p>
        </w:tc>
        <w:tc>
          <w:tcPr>
            <w:tcW w:w="6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-471805</wp:posOffset>
            </wp:positionV>
            <wp:extent cx="6256020" cy="2465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56020" cy="246507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rFonts w:ascii="Arial" w:cs="Arial" w:eastAsia="Arial" w:hAnsi="Arial"/>
          <w:sz w:val="29"/>
          <w:szCs w:val="29"/>
          <w:color w:val="auto"/>
        </w:rPr>
        <w:t xml:space="preserve">g </w:t>
      </w:r>
      <w:r>
        <w:rPr>
          <w:sz w:val="1"/>
          <w:szCs w:val="1"/>
          <w:color w:val="auto"/>
        </w:rPr>
        <w:drawing>
          <wp:inline distT="0" distB="0" distL="0" distR="0">
            <wp:extent cx="728980"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5725"/>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visit:</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www.proxyvote.com.</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If you want to receive a paper or e-mail copy of these documents, you must request one. There is NO charge for requesting a copy.</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9"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160" w:type="dxa"/>
            <w:vAlign w:val="bottom"/>
          </w:tcPr>
          <w:p>
            <w:pPr>
              <w:jc w:val="right"/>
              <w:spacing w:after="0"/>
              <w:rPr>
                <w:sz w:val="20"/>
                <w:szCs w:val="20"/>
                <w:color w:val="auto"/>
              </w:rPr>
            </w:pPr>
            <w:r>
              <w:rPr>
                <w:rFonts w:ascii="Arial" w:cs="Arial" w:eastAsia="Arial" w:hAnsi="Arial"/>
                <w:sz w:val="18"/>
                <w:szCs w:val="18"/>
                <w:color w:val="auto"/>
                <w:w w:val="74"/>
              </w:rPr>
              <w:t>1)</w:t>
            </w:r>
          </w:p>
        </w:tc>
        <w:tc>
          <w:tcPr>
            <w:tcW w:w="146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340" w:type="dxa"/>
            <w:vAlign w:val="bottom"/>
          </w:tcPr>
          <w:p>
            <w:pPr>
              <w:ind w:left="160"/>
              <w:spacing w:after="0"/>
              <w:rPr>
                <w:sz w:val="20"/>
                <w:szCs w:val="20"/>
                <w:color w:val="auto"/>
              </w:rPr>
            </w:pPr>
            <w:r>
              <w:rPr>
                <w:rFonts w:ascii="Arial" w:cs="Arial" w:eastAsia="Arial" w:hAnsi="Arial"/>
                <w:sz w:val="18"/>
                <w:szCs w:val="18"/>
                <w:color w:val="auto"/>
              </w:rPr>
              <w:t>www.proxyvote.com</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460" w:type="dxa"/>
            <w:vAlign w:val="bottom"/>
          </w:tcPr>
          <w:p>
            <w:pPr>
              <w:ind w:left="20"/>
              <w:spacing w:after="0"/>
              <w:rPr>
                <w:sz w:val="20"/>
                <w:szCs w:val="20"/>
                <w:color w:val="auto"/>
              </w:rPr>
            </w:pPr>
            <w:r>
              <w:rPr>
                <w:rFonts w:ascii="Arial" w:cs="Arial" w:eastAsia="Arial" w:hAnsi="Arial"/>
                <w:sz w:val="18"/>
                <w:szCs w:val="18"/>
                <w:i w:val="1"/>
                <w:iCs w:val="1"/>
                <w:color w:val="auto"/>
                <w:w w:val="99"/>
              </w:rPr>
              <w:t>BY TELEPHONE</w:t>
            </w:r>
            <w:r>
              <w:rPr>
                <w:rFonts w:ascii="Arial" w:cs="Arial" w:eastAsia="Arial" w:hAnsi="Arial"/>
                <w:sz w:val="18"/>
                <w:szCs w:val="18"/>
                <w:color w:val="auto"/>
                <w:w w:val="99"/>
              </w:rPr>
              <w:t>:</w:t>
            </w:r>
          </w:p>
        </w:tc>
        <w:tc>
          <w:tcPr>
            <w:tcW w:w="2340" w:type="dxa"/>
            <w:vAlign w:val="bottom"/>
          </w:tcPr>
          <w:p>
            <w:pPr>
              <w:ind w:left="160"/>
              <w:spacing w:after="0"/>
              <w:rPr>
                <w:sz w:val="20"/>
                <w:szCs w:val="20"/>
                <w:color w:val="auto"/>
              </w:rPr>
            </w:pPr>
            <w:r>
              <w:rPr>
                <w:rFonts w:ascii="Arial" w:cs="Arial" w:eastAsia="Arial" w:hAnsi="Arial"/>
                <w:sz w:val="18"/>
                <w:szCs w:val="18"/>
                <w:color w:val="auto"/>
              </w:rPr>
              <w:t>1-800-579-1639</w:t>
            </w:r>
          </w:p>
        </w:tc>
      </w:t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46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340" w:type="dxa"/>
            <w:vAlign w:val="bottom"/>
          </w:tcPr>
          <w:p>
            <w:pPr>
              <w:ind w:left="220"/>
              <w:spacing w:after="0"/>
              <w:rPr>
                <w:sz w:val="20"/>
                <w:szCs w:val="20"/>
                <w:color w:val="auto"/>
              </w:rPr>
            </w:pPr>
            <w:r>
              <w:rPr>
                <w:rFonts w:ascii="Arial" w:cs="Arial" w:eastAsia="Arial" w:hAnsi="Arial"/>
                <w:sz w:val="18"/>
                <w:szCs w:val="18"/>
                <w:color w:val="auto"/>
                <w:w w:val="88"/>
              </w:rPr>
              <w:t>sendmaterial@proxyvote.com</w:t>
            </w:r>
          </w:p>
        </w:tc>
      </w:tr>
    </w:tbl>
    <w:p>
      <w:pPr>
        <w:ind w:left="380" w:hanging="276"/>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requesting materials by e-mail, please send a blank e-mail with the information that is printed in the box marked by the arrow</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32"/>
          <w:szCs w:val="32"/>
          <w:color w:val="auto"/>
        </w:rPr>
        <w:t xml:space="preserve">g </w:t>
      </w:r>
      <w:r>
        <w:rPr>
          <w:sz w:val="1"/>
          <w:szCs w:val="1"/>
          <w:color w:val="auto"/>
        </w:rPr>
        <w:drawing>
          <wp:inline distT="0" distB="0" distL="0" distR="0">
            <wp:extent cx="728980"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572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7" w:lineRule="exact"/>
        <w:rPr>
          <w:sz w:val="20"/>
          <w:szCs w:val="20"/>
          <w:color w:val="auto"/>
        </w:rPr>
      </w:pPr>
    </w:p>
    <w:p>
      <w:pPr>
        <w:ind w:left="100" w:right="220"/>
        <w:spacing w:after="0" w:line="252"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24, 2011 to facilitate timely delivery.</w:t>
      </w: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3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99060</wp:posOffset>
            </wp:positionV>
            <wp:extent cx="6538595" cy="1140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8595" cy="1140460"/>
                    </a:xfrm>
                    <a:prstGeom prst="rect">
                      <a:avLst/>
                    </a:prstGeom>
                    <a:noFill/>
                  </pic:spPr>
                </pic:pic>
              </a:graphicData>
            </a:graphic>
          </wp:anchor>
        </w:drawing>
      </w:r>
    </w:p>
    <w:p>
      <w:pPr>
        <w:spacing w:after="0" w:line="283" w:lineRule="exact"/>
        <w:rPr>
          <w:sz w:val="20"/>
          <w:szCs w:val="20"/>
          <w:color w:val="auto"/>
        </w:rPr>
      </w:pPr>
    </w:p>
    <w:p>
      <w:pPr>
        <w:ind w:left="100" w:right="220"/>
        <w:spacing w:after="0" w:line="275"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plan to attend the meeting, you must request an admission ticket in advance by following the instructions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Proxy Statement. At the meeting, you will need to request a ballot to vote these shares.</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information that is printed in the box marked by the</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arrow </w:t>
      </w:r>
      <w:r>
        <w:rPr>
          <w:rFonts w:ascii="Arial" w:cs="Arial" w:eastAsia="Arial" w:hAnsi="Arial"/>
          <w:sz w:val="32"/>
          <w:szCs w:val="32"/>
          <w:color w:val="auto"/>
        </w:rPr>
        <w:t xml:space="preserve">g </w:t>
      </w:r>
      <w:r>
        <w:rPr>
          <w:sz w:val="1"/>
          <w:szCs w:val="1"/>
          <w:color w:val="auto"/>
        </w:rPr>
        <w:drawing>
          <wp:inline distT="0" distB="0" distL="0" distR="0">
            <wp:extent cx="728980" cy="857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5725"/>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9660"/>
          </w:cols>
          <w:pgMar w:left="860" w:top="247" w:right="1379" w:bottom="1440" w:gutter="0" w:footer="0" w:header="0"/>
        </w:sectPr>
      </w:pPr>
    </w:p>
    <w:bookmarkStart w:id="3" w:name="page4"/>
    <w:bookmarkEnd w:id="3"/>
    <w:p>
      <w:pPr>
        <w:jc w:val="center"/>
        <w:ind w:right="11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252095</wp:posOffset>
            </wp:positionH>
            <wp:positionV relativeFrom="page">
              <wp:posOffset>183515</wp:posOffset>
            </wp:positionV>
            <wp:extent cx="232410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24100" cy="128905"/>
                    </a:xfrm>
                    <a:prstGeom prst="rect">
                      <a:avLst/>
                    </a:prstGeom>
                    <a:noFill/>
                  </pic:spPr>
                </pic:pic>
              </a:graphicData>
            </a:graphic>
          </wp:anchor>
        </w:drawing>
        <w:t>Voting Items</w:t>
      </w:r>
    </w:p>
    <w:p>
      <w:pPr>
        <w:spacing w:after="0" w:line="15" w:lineRule="exact"/>
        <w:rPr>
          <w:sz w:val="20"/>
          <w:szCs w:val="20"/>
          <w:color w:val="auto"/>
        </w:rPr>
      </w:pPr>
    </w:p>
    <w:p>
      <w:pPr>
        <w:ind w:right="1100"/>
        <w:spacing w:after="0" w:line="241" w:lineRule="auto"/>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57" w:lineRule="exact"/>
        <w:rPr>
          <w:sz w:val="20"/>
          <w:szCs w:val="20"/>
          <w:color w:val="auto"/>
        </w:rPr>
      </w:pPr>
    </w:p>
    <w:p>
      <w:pPr>
        <w:ind w:left="400" w:right="1100" w:hanging="374"/>
        <w:spacing w:after="0" w:line="318" w:lineRule="auto"/>
        <w:tabs>
          <w:tab w:leader="none" w:pos="761"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Election of Directors - The Board of Directors recommends a vote </w:t>
      </w:r>
      <w:r>
        <w:rPr>
          <w:rFonts w:ascii="Arial" w:cs="Arial" w:eastAsia="Arial" w:hAnsi="Arial"/>
          <w:sz w:val="12"/>
          <w:szCs w:val="12"/>
          <w:b w:val="1"/>
          <w:bCs w:val="1"/>
          <w:u w:val="single" w:color="auto"/>
          <w:color w:val="auto"/>
        </w:rPr>
        <w:t>FOR</w:t>
      </w:r>
      <w:r>
        <w:rPr>
          <w:rFonts w:ascii="Arial" w:cs="Arial" w:eastAsia="Arial" w:hAnsi="Arial"/>
          <w:sz w:val="12"/>
          <w:szCs w:val="12"/>
          <w:color w:val="auto"/>
        </w:rPr>
        <w:t xml:space="preserve"> the nominees listed below:</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Nominees:</w:t>
      </w:r>
    </w:p>
    <w:p>
      <w:pPr>
        <w:spacing w:after="0" w:line="84"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4"/>
          <w:szCs w:val="14"/>
          <w:color w:val="auto"/>
        </w:rPr>
        <w:t>1a.</w:t>
      </w:r>
      <w:r>
        <w:rPr>
          <w:sz w:val="20"/>
          <w:szCs w:val="20"/>
          <w:color w:val="auto"/>
        </w:rPr>
        <w:tab/>
      </w:r>
      <w:r>
        <w:rPr>
          <w:rFonts w:ascii="Arial" w:cs="Arial" w:eastAsia="Arial" w:hAnsi="Arial"/>
          <w:sz w:val="14"/>
          <w:szCs w:val="14"/>
          <w:color w:val="auto"/>
        </w:rPr>
        <w:t>Daniel F. Akerson</w:t>
      </w:r>
    </w:p>
    <w:p>
      <w:pPr>
        <w:spacing w:after="0" w:line="19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4"/>
          <w:szCs w:val="14"/>
          <w:color w:val="auto"/>
        </w:rPr>
        <w:t>1b.</w:t>
      </w:r>
      <w:r>
        <w:rPr>
          <w:sz w:val="20"/>
          <w:szCs w:val="20"/>
          <w:color w:val="auto"/>
        </w:rPr>
        <w:tab/>
      </w:r>
      <w:r>
        <w:rPr>
          <w:rFonts w:ascii="Arial" w:cs="Arial" w:eastAsia="Arial" w:hAnsi="Arial"/>
          <w:sz w:val="14"/>
          <w:szCs w:val="14"/>
          <w:color w:val="auto"/>
        </w:rPr>
        <w:t>David Bonderman</w:t>
      </w:r>
    </w:p>
    <w:p>
      <w:pPr>
        <w:spacing w:after="0" w:line="190"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4"/>
          <w:szCs w:val="14"/>
          <w:color w:val="auto"/>
        </w:rPr>
        <w:t>1c.</w:t>
      </w:r>
      <w:r>
        <w:rPr>
          <w:sz w:val="20"/>
          <w:szCs w:val="20"/>
          <w:color w:val="auto"/>
        </w:rPr>
        <w:tab/>
      </w:r>
      <w:r>
        <w:rPr>
          <w:rFonts w:ascii="Arial" w:cs="Arial" w:eastAsia="Arial" w:hAnsi="Arial"/>
          <w:sz w:val="14"/>
          <w:szCs w:val="14"/>
          <w:color w:val="auto"/>
        </w:rPr>
        <w:t>Erroll B. Davis, Jr.</w:t>
      </w:r>
    </w:p>
    <w:p>
      <w:pPr>
        <w:spacing w:after="0" w:line="19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4"/>
          <w:szCs w:val="14"/>
          <w:color w:val="auto"/>
        </w:rPr>
        <w:t>1d.</w:t>
      </w:r>
      <w:r>
        <w:rPr>
          <w:sz w:val="20"/>
          <w:szCs w:val="20"/>
          <w:color w:val="auto"/>
        </w:rPr>
        <w:tab/>
      </w:r>
      <w:r>
        <w:rPr>
          <w:rFonts w:ascii="Arial" w:cs="Arial" w:eastAsia="Arial" w:hAnsi="Arial"/>
          <w:sz w:val="14"/>
          <w:szCs w:val="14"/>
          <w:color w:val="auto"/>
        </w:rPr>
        <w:t>Stephen J. Girsky</w:t>
      </w:r>
    </w:p>
    <w:p>
      <w:pPr>
        <w:spacing w:after="0" w:line="190"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4"/>
          <w:szCs w:val="14"/>
          <w:color w:val="auto"/>
        </w:rPr>
        <w:t>1e.</w:t>
      </w:r>
      <w:r>
        <w:rPr>
          <w:sz w:val="20"/>
          <w:szCs w:val="20"/>
          <w:color w:val="auto"/>
        </w:rPr>
        <w:tab/>
      </w:r>
      <w:r>
        <w:rPr>
          <w:rFonts w:ascii="Arial" w:cs="Arial" w:eastAsia="Arial" w:hAnsi="Arial"/>
          <w:sz w:val="14"/>
          <w:szCs w:val="14"/>
          <w:color w:val="auto"/>
        </w:rPr>
        <w:t>E. Neville Isdell</w:t>
      </w:r>
    </w:p>
    <w:p>
      <w:pPr>
        <w:spacing w:after="0" w:line="19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4"/>
          <w:szCs w:val="14"/>
          <w:color w:val="auto"/>
        </w:rPr>
        <w:t>1f.</w:t>
      </w:r>
      <w:r>
        <w:rPr>
          <w:sz w:val="20"/>
          <w:szCs w:val="20"/>
          <w:color w:val="auto"/>
        </w:rPr>
        <w:tab/>
      </w:r>
      <w:r>
        <w:rPr>
          <w:rFonts w:ascii="Arial" w:cs="Arial" w:eastAsia="Arial" w:hAnsi="Arial"/>
          <w:sz w:val="14"/>
          <w:szCs w:val="14"/>
          <w:color w:val="auto"/>
        </w:rPr>
        <w:t>Robert D. Krebs</w:t>
      </w:r>
    </w:p>
    <w:p>
      <w:pPr>
        <w:spacing w:after="0" w:line="19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4"/>
          <w:szCs w:val="14"/>
          <w:color w:val="auto"/>
        </w:rPr>
        <w:t>1g.</w:t>
      </w:r>
      <w:r>
        <w:rPr>
          <w:sz w:val="20"/>
          <w:szCs w:val="20"/>
          <w:color w:val="auto"/>
        </w:rPr>
        <w:tab/>
      </w:r>
      <w:r>
        <w:rPr>
          <w:rFonts w:ascii="Arial" w:cs="Arial" w:eastAsia="Arial" w:hAnsi="Arial"/>
          <w:sz w:val="14"/>
          <w:szCs w:val="14"/>
          <w:color w:val="auto"/>
        </w:rPr>
        <w:t>Philip A. Laskawy</w:t>
      </w:r>
    </w:p>
    <w:p>
      <w:pPr>
        <w:spacing w:after="0" w:line="19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4"/>
          <w:szCs w:val="14"/>
          <w:color w:val="auto"/>
        </w:rPr>
        <w:t>1h.</w:t>
      </w:r>
      <w:r>
        <w:rPr>
          <w:sz w:val="20"/>
          <w:szCs w:val="20"/>
          <w:color w:val="auto"/>
        </w:rPr>
        <w:tab/>
      </w:r>
      <w:r>
        <w:rPr>
          <w:rFonts w:ascii="Arial" w:cs="Arial" w:eastAsia="Arial" w:hAnsi="Arial"/>
          <w:sz w:val="14"/>
          <w:szCs w:val="14"/>
          <w:color w:val="auto"/>
        </w:rPr>
        <w:t>Kathryn V. Marinello</w:t>
      </w:r>
    </w:p>
    <w:p>
      <w:pPr>
        <w:spacing w:after="0" w:line="19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4"/>
          <w:szCs w:val="14"/>
          <w:color w:val="auto"/>
        </w:rPr>
        <w:t>1i.</w:t>
      </w:r>
      <w:r>
        <w:rPr>
          <w:sz w:val="20"/>
          <w:szCs w:val="20"/>
          <w:color w:val="auto"/>
        </w:rPr>
        <w:tab/>
      </w:r>
      <w:r>
        <w:rPr>
          <w:rFonts w:ascii="Arial" w:cs="Arial" w:eastAsia="Arial" w:hAnsi="Arial"/>
          <w:sz w:val="14"/>
          <w:szCs w:val="14"/>
          <w:color w:val="auto"/>
        </w:rPr>
        <w:t>Patricia F. Russo</w:t>
      </w:r>
    </w:p>
    <w:p>
      <w:pPr>
        <w:spacing w:after="0" w:line="19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4"/>
          <w:szCs w:val="14"/>
          <w:color w:val="auto"/>
        </w:rPr>
        <w:t>1j.</w:t>
      </w:r>
      <w:r>
        <w:rPr>
          <w:sz w:val="20"/>
          <w:szCs w:val="20"/>
          <w:color w:val="auto"/>
        </w:rPr>
        <w:tab/>
      </w:r>
      <w:r>
        <w:rPr>
          <w:rFonts w:ascii="Arial" w:cs="Arial" w:eastAsia="Arial" w:hAnsi="Arial"/>
          <w:sz w:val="14"/>
          <w:szCs w:val="14"/>
          <w:color w:val="auto"/>
        </w:rPr>
        <w:t>Carol M. Stephenson</w:t>
      </w:r>
    </w:p>
    <w:p>
      <w:pPr>
        <w:spacing w:after="0" w:line="19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4"/>
          <w:szCs w:val="14"/>
          <w:color w:val="auto"/>
        </w:rPr>
        <w:t>1k.</w:t>
      </w:r>
      <w:r>
        <w:rPr>
          <w:sz w:val="20"/>
          <w:szCs w:val="20"/>
          <w:color w:val="auto"/>
        </w:rPr>
        <w:tab/>
      </w:r>
      <w:r>
        <w:rPr>
          <w:rFonts w:ascii="Arial" w:cs="Arial" w:eastAsia="Arial" w:hAnsi="Arial"/>
          <w:sz w:val="14"/>
          <w:szCs w:val="14"/>
          <w:color w:val="auto"/>
        </w:rPr>
        <w:t>Cynthia A. Telles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7620</wp:posOffset>
            </wp:positionV>
            <wp:extent cx="85725" cy="926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926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339"/>
        <w:spacing w:after="0" w:line="241"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Items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-745490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-650875</wp:posOffset>
            </wp:positionV>
            <wp:extent cx="428625" cy="317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317500"/>
                    </a:xfrm>
                    <a:prstGeom prst="rect">
                      <a:avLst/>
                    </a:prstGeom>
                    <a:noFill/>
                  </pic:spPr>
                </pic:pic>
              </a:graphicData>
            </a:graphic>
          </wp:anchor>
        </w:drawing>
      </w:r>
    </w:p>
    <w:p>
      <w:pPr>
        <w:spacing w:after="0" w:line="118" w:lineRule="exact"/>
        <w:rPr>
          <w:sz w:val="20"/>
          <w:szCs w:val="20"/>
          <w:color w:val="auto"/>
        </w:rPr>
      </w:pPr>
    </w:p>
    <w:p>
      <w:pPr>
        <w:jc w:val="both"/>
        <w:ind w:left="420" w:right="1179" w:hanging="386"/>
        <w:spacing w:after="0" w:line="233" w:lineRule="auto"/>
        <w:tabs>
          <w:tab w:leader="none" w:pos="447" w:val="left"/>
        </w:tabs>
        <w:numPr>
          <w:ilvl w:val="0"/>
          <w:numId w:val="8"/>
        </w:numPr>
        <w:rPr>
          <w:rFonts w:ascii="Arial" w:cs="Arial" w:eastAsia="Arial" w:hAnsi="Arial"/>
          <w:sz w:val="14"/>
          <w:szCs w:val="14"/>
          <w:color w:val="auto"/>
        </w:rPr>
      </w:pPr>
      <w:r>
        <w:rPr>
          <w:rFonts w:ascii="Arial" w:cs="Arial" w:eastAsia="Arial" w:hAnsi="Arial"/>
          <w:sz w:val="14"/>
          <w:szCs w:val="14"/>
          <w:color w:val="auto"/>
        </w:rPr>
        <w:t>Ratification of the Selection of Deloitte &amp; Touche LLP as GM's Independent Registered Public Accounting Firm for the Year 2011.</w:t>
      </w:r>
    </w:p>
    <w:p>
      <w:pPr>
        <w:spacing w:after="0" w:line="179" w:lineRule="exact"/>
        <w:rPr>
          <w:rFonts w:ascii="Arial" w:cs="Arial" w:eastAsia="Arial" w:hAnsi="Arial"/>
          <w:sz w:val="14"/>
          <w:szCs w:val="14"/>
          <w:color w:val="auto"/>
        </w:rPr>
      </w:pPr>
    </w:p>
    <w:p>
      <w:pPr>
        <w:ind w:left="440" w:hanging="406"/>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Advisory Vote to Approve Executive Compensation.</w:t>
      </w:r>
    </w:p>
    <w:p>
      <w:pPr>
        <w:sectPr>
          <w:pgSz w:w="11900" w:h="16838" w:orient="portrait"/>
          <w:cols w:equalWidth="0" w:num="2">
            <w:col w:w="4620" w:space="720"/>
            <w:col w:w="4599"/>
          </w:cols>
          <w:pgMar w:left="520" w:top="302" w:right="1440" w:bottom="1440" w:gutter="0" w:footer="0" w:header="0"/>
        </w:sectPr>
      </w:pPr>
    </w:p>
    <w:bookmarkStart w:id="4" w:name="page5"/>
    <w:bookmarkEnd w:id="4"/>
    <w:p>
      <w:pPr>
        <w:spacing w:after="0"/>
        <w:tabs>
          <w:tab w:leader="none" w:pos="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89015" cy="3456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089015" cy="3456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2019-12-11T07:35:31Z</dcterms:created>
  <dcterms:modified xsi:type="dcterms:W3CDTF">2019-12-11T07:35:31Z</dcterms:modified>
</cp:coreProperties>
</file>