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9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7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-635000</wp:posOffset>
            </wp:positionV>
            <wp:extent cx="58420" cy="648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33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-635000</wp:posOffset>
            </wp:positionV>
            <wp:extent cx="58420" cy="648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33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65290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652907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00" w:space="440"/>
            <w:col w:w="878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Reilly David Nicholas</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right="1040"/>
        <w:spacing w:after="0" w:line="309"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03/31/2011</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4" w:right="720" w:hanging="4"/>
        <w:spacing w:after="0" w:line="242"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64"/>
        <w:spacing w:after="0"/>
        <w:rPr>
          <w:sz w:val="20"/>
          <w:szCs w:val="20"/>
          <w:color w:val="auto"/>
        </w:rPr>
      </w:pPr>
      <w:r>
        <w:rPr>
          <w:rFonts w:ascii="Arial" w:cs="Arial" w:eastAsia="Arial" w:hAnsi="Arial"/>
          <w:sz w:val="17"/>
          <w:szCs w:val="17"/>
          <w:color w:val="0000FF"/>
        </w:rPr>
        <w:t>Vice President</w:t>
      </w:r>
    </w:p>
    <w:p>
      <w:pPr>
        <w:spacing w:after="0" w:line="439" w:lineRule="exact"/>
        <w:rPr>
          <w:sz w:val="24"/>
          <w:szCs w:val="24"/>
          <w:color w:val="auto"/>
        </w:rPr>
      </w:pPr>
    </w:p>
    <w:p>
      <w:pPr>
        <w:sectPr>
          <w:pgSz w:w="11900" w:h="16838" w:orient="portrait"/>
          <w:cols w:equalWidth="0" w:num="3">
            <w:col w:w="3340" w:space="720"/>
            <w:col w:w="3256" w:space="720"/>
            <w:col w:w="3484"/>
          </w:cols>
          <w:pgMar w:left="240" w:top="223" w:right="139" w:bottom="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80" w:type="dxa"/>
            <w:vAlign w:val="bottom"/>
            <w:gridSpan w:val="6"/>
          </w:tcPr>
          <w:p>
            <w:pPr>
              <w:jc w:val="center"/>
              <w:ind w:right="171"/>
              <w:spacing w:after="0" w:line="100"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60"/>
              <w:spacing w:after="0" w:line="100"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40" w:type="dxa"/>
            <w:vAlign w:val="bottom"/>
            <w:gridSpan w:val="10"/>
            <w:vMerge w:val="restart"/>
          </w:tcPr>
          <w:p>
            <w:pPr>
              <w:ind w:left="4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DETROIT</w:t>
            </w: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gridSpan w:val="3"/>
          </w:tcPr>
          <w:p>
            <w:pPr>
              <w:spacing w:after="0"/>
              <w:rPr>
                <w:sz w:val="10"/>
                <w:szCs w:val="10"/>
                <w:color w:val="auto"/>
              </w:rPr>
            </w:pPr>
          </w:p>
        </w:tc>
        <w:tc>
          <w:tcPr>
            <w:tcW w:w="4480" w:type="dxa"/>
            <w:vAlign w:val="bottom"/>
            <w:tcBorders>
              <w:bottom w:val="single" w:sz="8" w:color="2C2C2C"/>
            </w:tcBorders>
            <w:gridSpan w:val="7"/>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3"/>
          </w:tcPr>
          <w:p>
            <w:pPr>
              <w:jc w:val="center"/>
              <w:ind w:left="73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40"/>
              <w:spacing w:after="0" w:line="128" w:lineRule="exact"/>
              <w:rPr>
                <w:sz w:val="20"/>
                <w:szCs w:val="20"/>
                <w:color w:val="auto"/>
              </w:rPr>
            </w:pPr>
            <w:r>
              <w:rPr>
                <w:rFonts w:ascii="Arial" w:cs="Arial" w:eastAsia="Arial" w:hAnsi="Arial"/>
                <w:sz w:val="12"/>
                <w:szCs w:val="12"/>
                <w:b w:val="1"/>
                <w:bCs w:val="1"/>
                <w:color w:val="auto"/>
                <w:w w:val="92"/>
              </w:rPr>
              <w:t>Date</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jc w:val="center"/>
              <w:ind w:left="687"/>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03/31/2011</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83"/>
              </w:rPr>
              <w:t>3,594</w:t>
            </w:r>
            <w:r>
              <w:rPr>
                <w:rFonts w:ascii="Arial" w:cs="Arial" w:eastAsia="Arial" w:hAnsi="Arial"/>
                <w:sz w:val="21"/>
                <w:szCs w:val="21"/>
                <w:color w:val="008000"/>
                <w:w w:val="83"/>
                <w:vertAlign w:val="superscript"/>
              </w:rPr>
              <w:t>(2)</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3,594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03/31/2011</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89"/>
              </w:rPr>
              <w:t>1,761</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31.28</w:t>
            </w:r>
            <w:r>
              <w:rPr>
                <w:rFonts w:ascii="Arial" w:cs="Arial" w:eastAsia="Arial" w:hAnsi="Arial"/>
                <w:sz w:val="21"/>
                <w:szCs w:val="21"/>
                <w:color w:val="008000"/>
                <w:w w:val="86"/>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1,833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03/31/2011</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89"/>
              </w:rPr>
              <w:t>1,833</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31.28</w:t>
            </w:r>
            <w:r>
              <w:rPr>
                <w:rFonts w:ascii="Arial" w:cs="Arial" w:eastAsia="Arial" w:hAnsi="Arial"/>
                <w:sz w:val="21"/>
                <w:szCs w:val="21"/>
                <w:color w:val="008000"/>
                <w:w w:val="86"/>
                <w:vertAlign w:val="superscript"/>
              </w:rPr>
              <w:t>(3)</w:t>
            </w:r>
          </w:p>
        </w:tc>
        <w:tc>
          <w:tcPr>
            <w:tcW w:w="700" w:type="dxa"/>
            <w:vAlign w:val="bottom"/>
            <w:tcBorders>
              <w:bottom w:val="single" w:sz="8" w:color="2C2C2C"/>
            </w:tcBorders>
            <w:gridSpan w:val="2"/>
          </w:tcPr>
          <w:p>
            <w:pPr>
              <w:jc w:val="center"/>
              <w:ind w:left="510"/>
              <w:spacing w:after="0"/>
              <w:rPr>
                <w:sz w:val="20"/>
                <w:szCs w:val="20"/>
                <w:color w:val="auto"/>
              </w:rPr>
            </w:pPr>
            <w:r>
              <w:rPr>
                <w:rFonts w:ascii="Arial" w:cs="Arial" w:eastAsia="Arial" w:hAnsi="Arial"/>
                <w:sz w:val="17"/>
                <w:szCs w:val="17"/>
                <w:color w:val="0000FF"/>
                <w:w w:val="84"/>
              </w:rPr>
              <w:t>0</w:t>
            </w: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(4)</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03/31/2011</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83"/>
              </w:rPr>
              <w:t>6,177</w:t>
            </w:r>
            <w:r>
              <w:rPr>
                <w:rFonts w:ascii="Arial" w:cs="Arial" w:eastAsia="Arial" w:hAnsi="Arial"/>
                <w:sz w:val="21"/>
                <w:szCs w:val="21"/>
                <w:color w:val="008000"/>
                <w:w w:val="83"/>
                <w:vertAlign w:val="superscript"/>
              </w:rPr>
              <w:t>(5)</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6,177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03/31/2011</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89"/>
              </w:rPr>
              <w:t>3,026</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31.28</w:t>
            </w:r>
            <w:r>
              <w:rPr>
                <w:rFonts w:ascii="Arial" w:cs="Arial" w:eastAsia="Arial" w:hAnsi="Arial"/>
                <w:sz w:val="21"/>
                <w:szCs w:val="21"/>
                <w:color w:val="008000"/>
                <w:w w:val="86"/>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3,151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03/31/2011</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89"/>
              </w:rPr>
              <w:t>3,151</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31.28</w:t>
            </w:r>
            <w:r>
              <w:rPr>
                <w:rFonts w:ascii="Arial" w:cs="Arial" w:eastAsia="Arial" w:hAnsi="Arial"/>
                <w:sz w:val="21"/>
                <w:szCs w:val="21"/>
                <w:color w:val="008000"/>
                <w:w w:val="86"/>
                <w:vertAlign w:val="superscript"/>
              </w:rPr>
              <w:t>(3)</w:t>
            </w:r>
          </w:p>
        </w:tc>
        <w:tc>
          <w:tcPr>
            <w:tcW w:w="700" w:type="dxa"/>
            <w:vAlign w:val="bottom"/>
            <w:tcBorders>
              <w:bottom w:val="single" w:sz="8" w:color="2C2C2C"/>
            </w:tcBorders>
            <w:gridSpan w:val="2"/>
          </w:tcPr>
          <w:p>
            <w:pPr>
              <w:jc w:val="center"/>
              <w:ind w:left="510"/>
              <w:spacing w:after="0"/>
              <w:rPr>
                <w:sz w:val="20"/>
                <w:szCs w:val="20"/>
                <w:color w:val="auto"/>
              </w:rPr>
            </w:pPr>
            <w:r>
              <w:rPr>
                <w:rFonts w:ascii="Arial" w:cs="Arial" w:eastAsia="Arial" w:hAnsi="Arial"/>
                <w:sz w:val="17"/>
                <w:szCs w:val="17"/>
                <w:color w:val="0000FF"/>
                <w:w w:val="84"/>
              </w:rPr>
              <w:t>0</w:t>
            </w: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2"/>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20" w:type="dxa"/>
            <w:vAlign w:val="bottom"/>
            <w:gridSpan w:val="10"/>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ind w:left="80"/>
              <w:spacing w:after="0"/>
              <w:rPr>
                <w:sz w:val="20"/>
                <w:szCs w:val="20"/>
                <w:color w:val="auto"/>
              </w:rPr>
            </w:pPr>
            <w:r>
              <w:rPr>
                <w:rFonts w:ascii="Arial" w:cs="Arial" w:eastAsia="Arial" w:hAnsi="Arial"/>
                <w:sz w:val="12"/>
                <w:szCs w:val="12"/>
                <w:b w:val="1"/>
                <w:bCs w:val="1"/>
                <w:color w:val="auto"/>
                <w:w w:val="99"/>
              </w:rPr>
              <w:t>4.</w:t>
            </w:r>
          </w:p>
        </w:tc>
        <w:tc>
          <w:tcPr>
            <w:tcW w:w="58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2"/>
              </w:rPr>
              <w:t>Underlying</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3"/>
              </w:rPr>
              <w:t>8)</w:t>
            </w: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(Instr. 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vMerge w:val="restart"/>
          </w:tcPr>
          <w:p>
            <w:pPr>
              <w:ind w:left="20"/>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vMerge w:val="restart"/>
          </w:tcPr>
          <w:p>
            <w:pPr>
              <w:ind w:left="80"/>
              <w:spacing w:after="0"/>
              <w:rPr>
                <w:sz w:val="20"/>
                <w:szCs w:val="20"/>
                <w:color w:val="auto"/>
              </w:rPr>
            </w:pPr>
            <w:r>
              <w:rPr>
                <w:rFonts w:ascii="Arial" w:cs="Arial" w:eastAsia="Arial" w:hAnsi="Arial"/>
                <w:sz w:val="13"/>
                <w:szCs w:val="13"/>
                <w:color w:val="0000FF"/>
                <w:w w:val="92"/>
              </w:rPr>
              <w:t>3,594</w:t>
            </w:r>
            <w:r>
              <w:rPr>
                <w:rFonts w:ascii="Arial" w:cs="Arial" w:eastAsia="Arial" w:hAnsi="Arial"/>
                <w:sz w:val="21"/>
                <w:szCs w:val="21"/>
                <w:color w:val="008000"/>
                <w:w w:val="92"/>
                <w:vertAlign w:val="superscript"/>
              </w:rPr>
              <w:t>(2)</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7"/>
              </w:rPr>
              <w:t>3,594</w:t>
            </w:r>
            <w:r>
              <w:rPr>
                <w:rFonts w:ascii="Arial" w:cs="Arial" w:eastAsia="Arial" w:hAnsi="Arial"/>
                <w:sz w:val="21"/>
                <w:szCs w:val="21"/>
                <w:color w:val="008000"/>
                <w:w w:val="87"/>
                <w:vertAlign w:val="superscript"/>
              </w:rPr>
              <w:t>(2)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4"/>
              </w:rPr>
              <w:t>3,594</w:t>
            </w:r>
            <w:r>
              <w:rPr>
                <w:rFonts w:ascii="Arial" w:cs="Arial" w:eastAsia="Arial" w:hAnsi="Arial"/>
                <w:sz w:val="21"/>
                <w:szCs w:val="21"/>
                <w:color w:val="008000"/>
                <w:w w:val="84"/>
                <w:vertAlign w:val="superscript"/>
              </w:rPr>
              <w:t>(2)</w:t>
            </w: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03/31/2011</w:t>
            </w:r>
          </w:p>
        </w:tc>
        <w:tc>
          <w:tcPr>
            <w:tcW w:w="1100" w:type="dxa"/>
            <w:vAlign w:val="bottom"/>
          </w:tcPr>
          <w:p>
            <w:pPr>
              <w:spacing w:after="0"/>
              <w:rPr>
                <w:sz w:val="13"/>
                <w:szCs w:val="13"/>
                <w:color w:val="auto"/>
              </w:rPr>
            </w:pPr>
          </w:p>
        </w:tc>
        <w:tc>
          <w:tcPr>
            <w:tcW w:w="780" w:type="dxa"/>
            <w:vAlign w:val="bottom"/>
            <w:gridSpan w:val="2"/>
          </w:tcPr>
          <w:p>
            <w:pPr>
              <w:jc w:val="center"/>
              <w:ind w:right="286"/>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spacing w:after="0"/>
              <w:rPr>
                <w:sz w:val="20"/>
                <w:szCs w:val="20"/>
                <w:color w:val="auto"/>
              </w:rPr>
            </w:pPr>
            <w:r>
              <w:rPr>
                <w:rFonts w:ascii="Arial" w:cs="Arial" w:eastAsia="Arial" w:hAnsi="Arial"/>
                <w:sz w:val="11"/>
                <w:szCs w:val="11"/>
                <w:color w:val="008000"/>
              </w:rPr>
              <w:t>(1)</w:t>
            </w:r>
          </w:p>
        </w:tc>
        <w:tc>
          <w:tcPr>
            <w:tcW w:w="6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1"/>
                <w:szCs w:val="11"/>
                <w:color w:val="008000"/>
              </w:rPr>
              <w:t>(3)</w:t>
            </w:r>
          </w:p>
        </w:tc>
        <w:tc>
          <w:tcPr>
            <w:tcW w:w="880" w:type="dxa"/>
            <w:vAlign w:val="bottom"/>
            <w:gridSpan w:val="2"/>
            <w:vMerge w:val="continue"/>
          </w:tcPr>
          <w:p>
            <w:pPr>
              <w:spacing w:after="0"/>
              <w:rPr>
                <w:sz w:val="13"/>
                <w:szCs w:val="13"/>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80"/>
              <w:spacing w:after="0" w:line="144"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vMerge w:val="restart"/>
          </w:tcPr>
          <w:p>
            <w:pPr>
              <w:ind w:left="80"/>
              <w:spacing w:after="0"/>
              <w:rPr>
                <w:sz w:val="20"/>
                <w:szCs w:val="20"/>
                <w:color w:val="auto"/>
              </w:rPr>
            </w:pPr>
            <w:r>
              <w:rPr>
                <w:rFonts w:ascii="Arial" w:cs="Arial" w:eastAsia="Arial" w:hAnsi="Arial"/>
                <w:sz w:val="13"/>
                <w:szCs w:val="13"/>
                <w:color w:val="0000FF"/>
                <w:w w:val="92"/>
              </w:rPr>
              <w:t>6,177</w:t>
            </w:r>
            <w:r>
              <w:rPr>
                <w:rFonts w:ascii="Arial" w:cs="Arial" w:eastAsia="Arial" w:hAnsi="Arial"/>
                <w:sz w:val="21"/>
                <w:szCs w:val="21"/>
                <w:color w:val="008000"/>
                <w:w w:val="92"/>
                <w:vertAlign w:val="superscript"/>
              </w:rPr>
              <w:t>(5)</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7"/>
              </w:rPr>
              <w:t>6,177</w:t>
            </w:r>
            <w:r>
              <w:rPr>
                <w:rFonts w:ascii="Arial" w:cs="Arial" w:eastAsia="Arial" w:hAnsi="Arial"/>
                <w:sz w:val="21"/>
                <w:szCs w:val="21"/>
                <w:color w:val="008000"/>
                <w:w w:val="87"/>
                <w:vertAlign w:val="superscript"/>
              </w:rPr>
              <w:t>(2)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7"/>
              </w:rPr>
              <w:t>12,348</w:t>
            </w:r>
            <w:r>
              <w:rPr>
                <w:rFonts w:ascii="Arial" w:cs="Arial" w:eastAsia="Arial" w:hAnsi="Arial"/>
                <w:sz w:val="21"/>
                <w:szCs w:val="21"/>
                <w:color w:val="008000"/>
                <w:w w:val="87"/>
                <w:vertAlign w:val="superscript"/>
              </w:rPr>
              <w:t>(2)</w:t>
            </w: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03/31/2011</w:t>
            </w:r>
          </w:p>
        </w:tc>
        <w:tc>
          <w:tcPr>
            <w:tcW w:w="1100" w:type="dxa"/>
            <w:vAlign w:val="bottom"/>
          </w:tcPr>
          <w:p>
            <w:pPr>
              <w:spacing w:after="0"/>
              <w:rPr>
                <w:sz w:val="13"/>
                <w:szCs w:val="13"/>
                <w:color w:val="auto"/>
              </w:rPr>
            </w:pPr>
          </w:p>
        </w:tc>
        <w:tc>
          <w:tcPr>
            <w:tcW w:w="780" w:type="dxa"/>
            <w:vAlign w:val="bottom"/>
            <w:gridSpan w:val="2"/>
          </w:tcPr>
          <w:p>
            <w:pPr>
              <w:jc w:val="center"/>
              <w:ind w:right="286"/>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spacing w:after="0"/>
              <w:rPr>
                <w:sz w:val="20"/>
                <w:szCs w:val="20"/>
                <w:color w:val="auto"/>
              </w:rPr>
            </w:pPr>
            <w:r>
              <w:rPr>
                <w:rFonts w:ascii="Arial" w:cs="Arial" w:eastAsia="Arial" w:hAnsi="Arial"/>
                <w:sz w:val="11"/>
                <w:szCs w:val="11"/>
                <w:color w:val="008000"/>
              </w:rPr>
              <w:t>(1)</w:t>
            </w:r>
          </w:p>
        </w:tc>
        <w:tc>
          <w:tcPr>
            <w:tcW w:w="6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1"/>
                <w:szCs w:val="11"/>
                <w:color w:val="008000"/>
              </w:rPr>
              <w:t>(3)</w:t>
            </w:r>
          </w:p>
        </w:tc>
        <w:tc>
          <w:tcPr>
            <w:tcW w:w="880" w:type="dxa"/>
            <w:vAlign w:val="bottom"/>
            <w:gridSpan w:val="2"/>
            <w:vMerge w:val="continue"/>
          </w:tcPr>
          <w:p>
            <w:pPr>
              <w:spacing w:after="0"/>
              <w:rPr>
                <w:sz w:val="13"/>
                <w:szCs w:val="13"/>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(4)</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80"/>
              <w:spacing w:after="0" w:line="144"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8"/>
              </w:rPr>
              <w:t>18,383</w:t>
            </w:r>
          </w:p>
        </w:tc>
        <w:tc>
          <w:tcPr>
            <w:tcW w:w="40" w:type="dxa"/>
            <w:vAlign w:val="bottom"/>
          </w:tcPr>
          <w:p>
            <w:pPr>
              <w:spacing w:after="0"/>
              <w:rPr>
                <w:sz w:val="16"/>
                <w:szCs w:val="16"/>
                <w:color w:val="auto"/>
              </w:rPr>
            </w:pPr>
          </w:p>
        </w:tc>
        <w:tc>
          <w:tcPr>
            <w:tcW w:w="700" w:type="dxa"/>
            <w:vAlign w:val="bottom"/>
            <w:gridSpan w:val="2"/>
            <w:vMerge w:val="restart"/>
          </w:tcPr>
          <w:p>
            <w:pPr>
              <w:jc w:val="center"/>
              <w:ind w:right="20"/>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(6)</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0" w:lineRule="exact"/>
              <w:rPr>
                <w:sz w:val="20"/>
                <w:szCs w:val="20"/>
                <w:color w:val="auto"/>
              </w:rPr>
            </w:pPr>
            <w:r>
              <w:rPr>
                <w:rFonts w:ascii="Arial" w:cs="Arial" w:eastAsia="Arial" w:hAnsi="Arial"/>
                <w:sz w:val="13"/>
                <w:szCs w:val="13"/>
                <w:color w:val="0000FF"/>
                <w:w w:val="92"/>
              </w:rPr>
              <w:t>03/31/2011</w:t>
            </w:r>
          </w:p>
        </w:tc>
        <w:tc>
          <w:tcPr>
            <w:tcW w:w="1100" w:type="dxa"/>
            <w:vAlign w:val="bottom"/>
          </w:tcPr>
          <w:p>
            <w:pPr>
              <w:spacing w:after="0"/>
              <w:rPr>
                <w:sz w:val="12"/>
                <w:szCs w:val="12"/>
                <w:color w:val="auto"/>
              </w:rPr>
            </w:pPr>
          </w:p>
        </w:tc>
        <w:tc>
          <w:tcPr>
            <w:tcW w:w="780" w:type="dxa"/>
            <w:vAlign w:val="bottom"/>
            <w:gridSpan w:val="2"/>
          </w:tcPr>
          <w:p>
            <w:pPr>
              <w:jc w:val="center"/>
              <w:ind w:right="286"/>
              <w:spacing w:after="0" w:line="140" w:lineRule="exact"/>
              <w:rPr>
                <w:sz w:val="20"/>
                <w:szCs w:val="20"/>
                <w:color w:val="auto"/>
              </w:rPr>
            </w:pPr>
            <w:r>
              <w:rPr>
                <w:rFonts w:ascii="Arial" w:cs="Arial" w:eastAsia="Arial" w:hAnsi="Arial"/>
                <w:sz w:val="13"/>
                <w:szCs w:val="13"/>
                <w:color w:val="0000FF"/>
                <w:w w:val="91"/>
              </w:rPr>
              <w:t>A</w:t>
            </w:r>
          </w:p>
        </w:tc>
        <w:tc>
          <w:tcPr>
            <w:tcW w:w="540" w:type="dxa"/>
            <w:vAlign w:val="bottom"/>
          </w:tcPr>
          <w:p>
            <w:pPr>
              <w:ind w:left="120"/>
              <w:spacing w:after="0" w:line="140" w:lineRule="exact"/>
              <w:rPr>
                <w:sz w:val="20"/>
                <w:szCs w:val="20"/>
                <w:color w:val="auto"/>
              </w:rPr>
            </w:pPr>
            <w:r>
              <w:rPr>
                <w:rFonts w:ascii="Arial" w:cs="Arial" w:eastAsia="Arial" w:hAnsi="Arial"/>
                <w:sz w:val="13"/>
                <w:szCs w:val="13"/>
                <w:color w:val="0000FF"/>
              </w:rPr>
              <w:t>18,383</w:t>
            </w:r>
          </w:p>
        </w:tc>
        <w:tc>
          <w:tcPr>
            <w:tcW w:w="560" w:type="dxa"/>
            <w:vAlign w:val="bottom"/>
          </w:tcPr>
          <w:p>
            <w:pPr>
              <w:spacing w:after="0"/>
              <w:rPr>
                <w:sz w:val="12"/>
                <w:szCs w:val="12"/>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(6)</w:t>
            </w:r>
          </w:p>
        </w:tc>
        <w:tc>
          <w:tcPr>
            <w:tcW w:w="740" w:type="dxa"/>
            <w:vAlign w:val="bottom"/>
          </w:tcPr>
          <w:p>
            <w:pPr>
              <w:jc w:val="center"/>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8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18,383</w:t>
            </w:r>
          </w:p>
        </w:tc>
        <w:tc>
          <w:tcPr>
            <w:tcW w:w="68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(6)</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18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600" w:firstLine="4"/>
        <w:spacing w:after="0" w:line="295" w:lineRule="auto"/>
        <w:tabs>
          <w:tab w:leader="none" w:pos="17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deemed to have been issued, nunc pro tunc, on March 31, 2009 pursuant to the Company's Salary Stock Plan (the "GMSSP") and vested upon grant. The portion of this award currently payable was settled on March 31, 2011 in cash, less a portion withheld for taxes.</w:t>
      </w:r>
    </w:p>
    <w:p>
      <w:pPr>
        <w:ind w:left="40" w:right="140" w:firstLine="4"/>
        <w:spacing w:after="0" w:line="239"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31, 2009 the employee received a grant of 3,594 SSUs, of which 1,198 SSUs were scheduled to be payable on March 31, 2011. On November 1, 2010 the Company amended its certificate of incorporation to effect a stock split in which each issued and outstanding share of Common Stock was converted into three shares of Common Stock (the "Stock Split"). Pursuant to the terms of the GMSSP, each issued and outstanding SSUs was automatically converted upon the effectiveness of the Stock Split into three SSUs, so that the employee was credited with a total of 10,782 SSUs granted on March 31, 2009, of which 3,594 SSUs became payable on March 31, 2011.</w:t>
      </w:r>
    </w:p>
    <w:p>
      <w:pPr>
        <w:spacing w:after="0" w:line="32" w:lineRule="exact"/>
        <w:rPr>
          <w:rFonts w:ascii="Arial" w:cs="Arial" w:eastAsia="Arial" w:hAnsi="Arial"/>
          <w:sz w:val="13"/>
          <w:szCs w:val="13"/>
          <w:color w:val="008000"/>
        </w:rPr>
      </w:pPr>
    </w:p>
    <w:p>
      <w:pPr>
        <w:jc w:val="both"/>
        <w:ind w:left="40" w:right="160" w:firstLine="4"/>
        <w:spacing w:after="0" w:line="243"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the Company's common stock. Under the GMSSP, the fair value of the Company's common stock is the average of the high and low trading prices for the Company's common stock as reported on the New York Stock Exchange, on which the Company's common stock is listed, on the date of the transaction, which was $31.28.</w:t>
      </w:r>
    </w:p>
    <w:p>
      <w:pPr>
        <w:spacing w:after="0" w:line="29" w:lineRule="exact"/>
        <w:rPr>
          <w:rFonts w:ascii="Arial" w:cs="Arial" w:eastAsia="Arial" w:hAnsi="Arial"/>
          <w:sz w:val="13"/>
          <w:szCs w:val="13"/>
          <w:color w:val="008000"/>
        </w:rPr>
      </w:pPr>
    </w:p>
    <w:p>
      <w:pPr>
        <w:ind w:left="40" w:right="42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deemed to have been issued, nunc pro tunc, on March 31, 2010 pursuant to the GMSSP and vested upon grant. The portion of this award currently payable was settled on March 31, 2011 in cash, less a portion withheld for taxes.</w:t>
      </w:r>
    </w:p>
    <w:p>
      <w:pPr>
        <w:spacing w:after="0" w:line="22" w:lineRule="exact"/>
        <w:rPr>
          <w:rFonts w:ascii="Arial" w:cs="Arial" w:eastAsia="Arial" w:hAnsi="Arial"/>
          <w:sz w:val="13"/>
          <w:szCs w:val="13"/>
          <w:color w:val="008000"/>
        </w:rPr>
      </w:pPr>
    </w:p>
    <w:p>
      <w:pPr>
        <w:ind w:left="40" w:right="160" w:firstLine="4"/>
        <w:spacing w:after="0" w:line="243"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31, 2010 the employee received a grant of 6,177 SSUs, of which 2,059 SSUs were scheduled to be payable on March 31, 2011. Pursuant to the terms of the GMSSP, each issued and outstanding SSUs was automatically converted upon the effectiveness of the Stock Split into three SSUs, so that the employee was credited with a total of 18,531 SSUs granted on March 31, 2010, of which 6,177 SSUs became payable on March 31, 2011.</w:t>
      </w:r>
    </w:p>
    <w:p>
      <w:pPr>
        <w:spacing w:after="0" w:line="29" w:lineRule="exact"/>
        <w:rPr>
          <w:rFonts w:ascii="Arial" w:cs="Arial" w:eastAsia="Arial" w:hAnsi="Arial"/>
          <w:sz w:val="13"/>
          <w:szCs w:val="13"/>
          <w:color w:val="008000"/>
        </w:rPr>
      </w:pPr>
    </w:p>
    <w:p>
      <w:pPr>
        <w:ind w:left="40" w:right="240" w:firstLine="4"/>
        <w:spacing w:after="0" w:line="297" w:lineRule="auto"/>
        <w:tabs>
          <w:tab w:leader="none" w:pos="17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SSUs reported in this item were awarded on March 31, 2011 pursuant to the Company's Salary Stock Plan (the "GMSSP"), and will be settled in three equal, annual installments beginning on March 31, 2012. Each SSU is fully vested and represents a right to receive one share of the Company's common stock on the applicable settlement date; provided, however, that if a settlement date occurs prior to the date that is six months following a consummation of an initial public offering of the Company's common stock, which occurred on November 17, 2010, the SSU will be settled by the delivery of cash (with certain exceptions) in an amount equal to the Fair Market Value (as defined in the GMSSP) of the Company's common stock as of the applicable anniversary date of the SSU's grant. The SSUs do not have an expiration or exercise date.</w:t>
      </w:r>
    </w:p>
    <w:p>
      <w:pPr>
        <w:sectPr>
          <w:pgSz w:w="11900" w:h="16838" w:orient="portrait"/>
          <w:cols w:equalWidth="0" w:num="1">
            <w:col w:w="11520"/>
          </w:cols>
          <w:pgMar w:left="240" w:top="223" w:right="139" w:bottom="0" w:gutter="0" w:footer="0" w:header="0"/>
          <w:type w:val="continuous"/>
        </w:sectPr>
      </w:pPr>
    </w:p>
    <w:p>
      <w:pPr>
        <w:spacing w:after="0" w:line="28" w:lineRule="exact"/>
        <w:rPr>
          <w:sz w:val="24"/>
          <w:szCs w:val="24"/>
          <w:color w:val="auto"/>
        </w:rPr>
      </w:pPr>
    </w:p>
    <w:p>
      <w:pPr>
        <w:ind w:left="6860"/>
        <w:spacing w:after="0"/>
        <w:rPr>
          <w:sz w:val="20"/>
          <w:szCs w:val="20"/>
          <w:color w:val="auto"/>
        </w:rPr>
      </w:pPr>
      <w:r>
        <w:rPr>
          <w:rFonts w:ascii="Arial" w:cs="Arial" w:eastAsia="Arial" w:hAnsi="Arial"/>
          <w:sz w:val="15"/>
          <w:szCs w:val="15"/>
          <w:color w:val="0000FF"/>
        </w:rPr>
        <w:t>/s/ Anne T. Larin,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3810</wp:posOffset>
            </wp:positionV>
            <wp:extent cx="1299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99210" cy="8255"/>
                    </a:xfrm>
                    <a:prstGeom prst="rect">
                      <a:avLst/>
                    </a:prstGeom>
                    <a:noFill/>
                  </pic:spPr>
                </pic:pic>
              </a:graphicData>
            </a:graphic>
          </wp:anchor>
        </w:drawing>
      </w:r>
    </w:p>
    <w:p>
      <w:pPr>
        <w:spacing w:after="0" w:line="23"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fact for Mr. Reilly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-13970</wp:posOffset>
            </wp:positionV>
            <wp:extent cx="7854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48"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Arial" w:cs="Arial" w:eastAsia="Arial" w:hAnsi="Arial"/>
          <w:sz w:val="15"/>
          <w:szCs w:val="15"/>
          <w:color w:val="0000FF"/>
        </w:rPr>
        <w:t>04/04/2011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4876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7680" cy="8255"/>
                    </a:xfrm>
                    <a:prstGeom prst="rect">
                      <a:avLst/>
                    </a:prstGeom>
                    <a:noFill/>
                  </pic:spPr>
                </pic:pic>
              </a:graphicData>
            </a:graphic>
          </wp:anchor>
        </w:drawing>
      </w:r>
    </w:p>
    <w:p>
      <w:pPr>
        <w:spacing w:after="0" w:line="182"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ectPr>
          <w:pgSz w:w="11900" w:h="16838" w:orient="portrait"/>
          <w:cols w:equalWidth="0" w:num="2">
            <w:col w:w="8900" w:space="240"/>
            <w:col w:w="2380"/>
          </w:cols>
          <w:pgMar w:left="240" w:top="223"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6686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2019-12-17T00:42:47Z</dcterms:created>
  <dcterms:modified xsi:type="dcterms:W3CDTF">2019-12-17T00:42:47Z</dcterms:modified>
</cp:coreProperties>
</file>