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4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319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Glidden Craig B.</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04/01/2015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3"/>
        <w:spacing w:after="0"/>
        <w:rPr>
          <w:sz w:val="20"/>
          <w:szCs w:val="20"/>
          <w:color w:val="auto"/>
        </w:rPr>
      </w:pPr>
      <w:r>
        <w:rPr>
          <w:rFonts w:ascii="Arial" w:cs="Arial" w:eastAsia="Arial" w:hAnsi="Arial"/>
          <w:sz w:val="17"/>
          <w:szCs w:val="17"/>
          <w:color w:val="0000FF"/>
        </w:rPr>
        <w:t>Executive Vice President &amp; GC</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7"/>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69,407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04/01/2015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69,407</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69,407</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13,099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04/01/2015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13,099</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13,099</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April 1, 2015, pursuant to the Company's 2014 Long-Term Incentive Plan (the "GMLTIP"). One half of the RSUs will vest on April 1, 2016, and the remaining half will vest on April 1, 2017, provided that the reporting person remains continuously employed through the vesting date. Each RSU represents a right to receive one shares of the Company's common stock upon settlement. RSUs will be settled when they vest provided that the conditions in the GMLTP have been satisfied. The RSUs do not have an expiration or exercise date or carry a conversion or exercise price.</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are exercisable or expire.</w:t>
      </w:r>
    </w:p>
    <w:p>
      <w:pPr>
        <w:spacing w:after="0" w:line="51" w:lineRule="exact"/>
        <w:rPr>
          <w:rFonts w:ascii="Arial" w:cs="Arial" w:eastAsia="Arial" w:hAnsi="Arial"/>
          <w:sz w:val="13"/>
          <w:szCs w:val="13"/>
          <w:color w:val="008000"/>
        </w:rPr>
      </w:pPr>
    </w:p>
    <w:p>
      <w:pPr>
        <w:ind w:left="40" w:right="46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RSUs were awarded on April 1, 2015, pursuant to the Company's GMLTIP. The RSUs will vest annually in three equal installments beginning on February 11, 2016 pursuant to the terms of the GMLTIP. Upon vesting, each RSU will be settled by delivery of one share of the Company's common stock. The RSUs do not have an expiration or exercise date or carry a conversion or exercise price.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04/02/2015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Glidden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356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687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03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2019-12-08T21:20:41Z</dcterms:created>
  <dcterms:modified xsi:type="dcterms:W3CDTF">2019-12-08T21:20:41Z</dcterms:modified>
</cp:coreProperties>
</file>