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359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5940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Stephenson Carol</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9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12/31/2014</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8"/>
                <w:szCs w:val="18"/>
                <w:color w:val="0000FF"/>
                <w:w w:val="98"/>
              </w:rPr>
              <w:t>M/C: 482-C25-A36</w:t>
            </w: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9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20" w:type="dxa"/>
            <w:vAlign w:val="bottom"/>
          </w:tcPr>
          <w:p>
            <w:pPr>
              <w:spacing w:after="0"/>
              <w:rPr>
                <w:sz w:val="20"/>
                <w:szCs w:val="20"/>
                <w:color w:val="auto"/>
              </w:rPr>
            </w:pPr>
            <w:r>
              <w:rPr>
                <w:rFonts w:ascii="Arial" w:cs="Arial" w:eastAsia="Arial" w:hAnsi="Arial"/>
                <w:sz w:val="18"/>
                <w:szCs w:val="18"/>
                <w:color w:val="0000FF"/>
                <w:w w:val="99"/>
              </w:rPr>
              <w:t>MI</w:t>
            </w: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7400" w:type="dxa"/>
            <w:vAlign w:val="bottom"/>
            <w:tcBorders>
              <w:top w:val="single" w:sz="8" w:color="2C2C2C"/>
            </w:tcBorders>
            <w:gridSpan w:val="18"/>
          </w:tcPr>
          <w:p>
            <w:pPr>
              <w:ind w:left="7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42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8"/>
          </w:tcPr>
          <w:p>
            <w:pPr>
              <w:ind w:left="9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5,786</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Share</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7"/>
                <w:szCs w:val="7"/>
                <w:color w:val="auto"/>
              </w:rPr>
            </w:pPr>
          </w:p>
        </w:tc>
        <w:tc>
          <w:tcPr>
            <w:tcW w:w="1020" w:type="dxa"/>
            <w:vAlign w:val="bottom"/>
            <w:gridSpan w:val="2"/>
            <w:vMerge w:val="restart"/>
          </w:tcPr>
          <w:p>
            <w:pPr>
              <w:jc w:val="right"/>
              <w:ind w:right="112"/>
              <w:spacing w:after="0" w:line="146" w:lineRule="exact"/>
              <w:rPr>
                <w:sz w:val="20"/>
                <w:szCs w:val="20"/>
                <w:color w:val="auto"/>
              </w:rPr>
            </w:pPr>
            <w:r>
              <w:rPr>
                <w:rFonts w:ascii="Arial" w:cs="Arial" w:eastAsia="Arial" w:hAnsi="Arial"/>
                <w:sz w:val="14"/>
                <w:szCs w:val="14"/>
                <w:color w:val="0000FF"/>
              </w:rPr>
              <w:t>12/31/2014</w:t>
            </w:r>
          </w:p>
        </w:tc>
        <w:tc>
          <w:tcPr>
            <w:tcW w:w="1200" w:type="dxa"/>
            <w:vAlign w:val="bottom"/>
            <w:vMerge w:val="restart"/>
          </w:tcPr>
          <w:p>
            <w:pPr>
              <w:ind w:left="560"/>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7"/>
                <w:szCs w:val="7"/>
                <w:color w:val="auto"/>
              </w:rPr>
            </w:pPr>
          </w:p>
        </w:tc>
        <w:tc>
          <w:tcPr>
            <w:tcW w:w="64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jc w:val="right"/>
              <w:ind w:right="38"/>
              <w:spacing w:after="0" w:line="146" w:lineRule="exact"/>
              <w:rPr>
                <w:sz w:val="20"/>
                <w:szCs w:val="20"/>
                <w:color w:val="auto"/>
              </w:rPr>
            </w:pPr>
            <w:r>
              <w:rPr>
                <w:rFonts w:ascii="Arial" w:cs="Arial" w:eastAsia="Arial" w:hAnsi="Arial"/>
                <w:sz w:val="14"/>
                <w:szCs w:val="14"/>
                <w:color w:val="0000FF"/>
              </w:rPr>
              <w:t>5,786</w:t>
            </w:r>
          </w:p>
        </w:tc>
        <w:tc>
          <w:tcPr>
            <w:tcW w:w="340" w:type="dxa"/>
            <w:vAlign w:val="bottom"/>
          </w:tcPr>
          <w:p>
            <w:pPr>
              <w:spacing w:after="0"/>
              <w:rPr>
                <w:sz w:val="7"/>
                <w:szCs w:val="7"/>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restart"/>
          </w:tcPr>
          <w:p>
            <w:pPr>
              <w:ind w:left="220"/>
              <w:spacing w:after="0" w:line="146" w:lineRule="exact"/>
              <w:rPr>
                <w:sz w:val="20"/>
                <w:szCs w:val="20"/>
                <w:color w:val="auto"/>
              </w:rPr>
            </w:pPr>
            <w:r>
              <w:rPr>
                <w:rFonts w:ascii="Arial" w:cs="Arial" w:eastAsia="Arial" w:hAnsi="Arial"/>
                <w:sz w:val="14"/>
                <w:szCs w:val="14"/>
                <w:color w:val="0000FF"/>
                <w:w w:val="88"/>
              </w:rPr>
              <w:t>27,350</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108"/>
              <w:spacing w:after="0"/>
              <w:rPr>
                <w:sz w:val="20"/>
                <w:szCs w:val="20"/>
                <w:color w:val="auto"/>
              </w:rPr>
            </w:pPr>
            <w:r>
              <w:rPr>
                <w:rFonts w:ascii="Arial" w:cs="Arial" w:eastAsia="Arial" w:hAnsi="Arial"/>
                <w:sz w:val="18"/>
                <w:szCs w:val="18"/>
                <w:color w:val="0000FF"/>
              </w:rPr>
              <w:t>891</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Share</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7"/>
                <w:szCs w:val="7"/>
                <w:color w:val="auto"/>
              </w:rPr>
            </w:pPr>
          </w:p>
        </w:tc>
        <w:tc>
          <w:tcPr>
            <w:tcW w:w="1020" w:type="dxa"/>
            <w:vAlign w:val="bottom"/>
            <w:gridSpan w:val="2"/>
            <w:vMerge w:val="restart"/>
          </w:tcPr>
          <w:p>
            <w:pPr>
              <w:jc w:val="right"/>
              <w:ind w:right="112"/>
              <w:spacing w:after="0" w:line="146" w:lineRule="exact"/>
              <w:rPr>
                <w:sz w:val="20"/>
                <w:szCs w:val="20"/>
                <w:color w:val="auto"/>
              </w:rPr>
            </w:pPr>
            <w:r>
              <w:rPr>
                <w:rFonts w:ascii="Arial" w:cs="Arial" w:eastAsia="Arial" w:hAnsi="Arial"/>
                <w:sz w:val="14"/>
                <w:szCs w:val="14"/>
                <w:color w:val="0000FF"/>
              </w:rPr>
              <w:t>12/31/2014</w:t>
            </w:r>
          </w:p>
        </w:tc>
        <w:tc>
          <w:tcPr>
            <w:tcW w:w="1200" w:type="dxa"/>
            <w:vAlign w:val="bottom"/>
            <w:vMerge w:val="restart"/>
          </w:tcPr>
          <w:p>
            <w:pPr>
              <w:ind w:left="560"/>
              <w:spacing w:after="0"/>
              <w:rPr>
                <w:sz w:val="20"/>
                <w:szCs w:val="20"/>
                <w:color w:val="auto"/>
              </w:rPr>
            </w:pPr>
            <w:r>
              <w:rPr>
                <w:rFonts w:ascii="Arial" w:cs="Arial" w:eastAsia="Arial" w:hAnsi="Arial"/>
                <w:sz w:val="11"/>
                <w:szCs w:val="11"/>
                <w:color w:val="008000"/>
              </w:rPr>
              <w:t>(2)</w:t>
            </w:r>
          </w:p>
        </w:tc>
        <w:tc>
          <w:tcPr>
            <w:tcW w:w="80" w:type="dxa"/>
            <w:vAlign w:val="bottom"/>
          </w:tcPr>
          <w:p>
            <w:pPr>
              <w:spacing w:after="0"/>
              <w:rPr>
                <w:sz w:val="7"/>
                <w:szCs w:val="7"/>
                <w:color w:val="auto"/>
              </w:rPr>
            </w:pPr>
          </w:p>
        </w:tc>
        <w:tc>
          <w:tcPr>
            <w:tcW w:w="64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jc w:val="right"/>
              <w:ind w:right="98"/>
              <w:spacing w:after="0" w:line="146" w:lineRule="exact"/>
              <w:rPr>
                <w:sz w:val="20"/>
                <w:szCs w:val="20"/>
                <w:color w:val="auto"/>
              </w:rPr>
            </w:pPr>
            <w:r>
              <w:rPr>
                <w:rFonts w:ascii="Arial" w:cs="Arial" w:eastAsia="Arial" w:hAnsi="Arial"/>
                <w:sz w:val="14"/>
                <w:szCs w:val="14"/>
                <w:color w:val="0000FF"/>
              </w:rPr>
              <w:t>891</w:t>
            </w:r>
          </w:p>
        </w:tc>
        <w:tc>
          <w:tcPr>
            <w:tcW w:w="340" w:type="dxa"/>
            <w:vAlign w:val="bottom"/>
          </w:tcPr>
          <w:p>
            <w:pPr>
              <w:spacing w:after="0"/>
              <w:rPr>
                <w:sz w:val="7"/>
                <w:szCs w:val="7"/>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(2)</w:t>
            </w:r>
          </w:p>
        </w:tc>
        <w:tc>
          <w:tcPr>
            <w:tcW w:w="18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restart"/>
          </w:tcPr>
          <w:p>
            <w:pPr>
              <w:ind w:left="220"/>
              <w:spacing w:after="0" w:line="146" w:lineRule="exact"/>
              <w:rPr>
                <w:sz w:val="20"/>
                <w:szCs w:val="20"/>
                <w:color w:val="auto"/>
              </w:rPr>
            </w:pPr>
            <w:r>
              <w:rPr>
                <w:rFonts w:ascii="Arial" w:cs="Arial" w:eastAsia="Arial" w:hAnsi="Arial"/>
                <w:sz w:val="14"/>
                <w:szCs w:val="14"/>
                <w:color w:val="0000FF"/>
                <w:w w:val="88"/>
              </w:rPr>
              <w:t>28,241</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(2)</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0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Deferred share units of the Company's Common Stock ("DSUs") were awarded on December 31, 2014 pursuant to the General Motors Company Deferred Compensation Plan for Non-Employee Directors (the "Plan"). Each non-employee director is required to defer one-half of the $200,000 annual retainer fee for service on the Board of Directors into DSUs and may elect to defer more. The retainer fee is converted to DSUs based on the average closing price of the Common Stock for the previous calendar year. Amounts credited as DSUs will be paid in cash after the director leaves the Board. The Deferred Share Units do not have a conversion or exercise price, or an exercise or expiration date.</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Pursuant to the Plan, dividends on the DSUs are credited in DSUs at the end of year.</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Robert C. Shrosbree,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68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807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Ms.</w:t>
      </w:r>
      <w:r>
        <w:rPr>
          <w:sz w:val="20"/>
          <w:szCs w:val="20"/>
          <w:color w:val="auto"/>
        </w:rPr>
        <w:tab/>
      </w:r>
      <w:r>
        <w:rPr>
          <w:rFonts w:ascii="Arial" w:cs="Arial" w:eastAsia="Arial" w:hAnsi="Arial"/>
          <w:sz w:val="15"/>
          <w:szCs w:val="15"/>
          <w:color w:val="0000FF"/>
        </w:rPr>
        <w:t>01/05/2015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Stephenson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5137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1371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9325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2019-12-08T21:51:53Z</dcterms:created>
  <dcterms:modified xsi:type="dcterms:W3CDTF">2019-12-08T21:51:53Z</dcterms:modified>
</cp:coreProperties>
</file>