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8554169.xml.htm"/>
      <w:bookmarkStart w:id="1" w:name="kswkform4_170855416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Barra Mary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RENAISSANCE CENTER</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 482-C24-A68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DETROIT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48265-3000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General Motors Co</w:t>
              </w:r>
            </w:hyperlink>
            <w:r>
              <w:rPr/>
              <w:t xml:space="preserve"> [ </w:t>
            </w:r>
            <w:r>
              <w:rPr>
                <w:rFonts w:ascii="Times;serif" w:hAnsi="Times;serif"/>
                <w:color w:val="0000FF"/>
                <w:sz w:val="24"/>
                <w:shd w:fill="FFFFFF" w:val="clear"/>
              </w:rPr>
              <w:t>GM</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 &amp; CEO</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02/18/2024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1008"/>
        <w:gridCol w:w="447"/>
        <w:gridCol w:w="663"/>
        <w:gridCol w:w="1267"/>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02/18/2024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167,586</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1,447,871</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02/18/2024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69,195</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38.7</w:t>
            </w:r>
            <w:r>
              <w:rPr/>
              <w:t xml:space="preserve"> </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1,378,676</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385,000</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GRAT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February 18, 2021, the Reporting Person received a grant of Performance Stock Units ("PSUs"). Under the grant, the PSUs could be earned based on the achievement of certain financial targets. The PSUs vested on February 18, 2024, and were awarded in shares of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Tia Y. Turk, Attorney-In-Fact for Ms. Barra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02/21/2024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492154" TargetMode="External"/><Relationship Id="rId4" Type="http://schemas.openxmlformats.org/officeDocument/2006/relationships/hyperlink" Target="http://www.sec.gov/cgi-bin/browse-edgar?action=getcompany&amp;CIK=000146785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624</Words>
  <Characters>3359</Characters>
  <CharactersWithSpaces>3909</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