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581025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Washington, DC 20549</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FORM 8-K</w:t>
      </w:r>
    </w:p>
    <w:p>
      <w:pPr>
        <w:spacing w:after="0" w:line="39"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79"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Pursuant to Section 13 or 15(d) of</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the Securities Exchange Act of 1934</w:t>
      </w:r>
    </w:p>
    <w:p>
      <w:pPr>
        <w:spacing w:after="0" w:line="175"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Date of Report (Date of earliest event reported): August 4, 2021</w:t>
      </w:r>
    </w:p>
    <w:p>
      <w:pPr>
        <w:spacing w:after="0" w:line="23"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34"/>
          <w:szCs w:val="34"/>
          <w:b w:val="1"/>
          <w:bCs w:val="1"/>
          <w:color w:val="auto"/>
        </w:rPr>
        <w:t>GENERAL MOTORS COMPANY</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(Exact name of registrant as specified in its charter)</w:t>
      </w:r>
    </w:p>
    <w:p>
      <w:pPr>
        <w:spacing w:after="0" w:line="7"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ectPr>
          <w:pgSz w:w="11900" w:h="16838" w:orient="portrait"/>
          <w:cols w:equalWidth="0" w:num="1">
            <w:col w:w="11040"/>
          </w:cols>
          <w:pgMar w:left="300" w:top="1182" w:right="559" w:bottom="1440" w:gutter="0" w:footer="0" w:header="0"/>
        </w:sectPr>
      </w:pPr>
    </w:p>
    <w:p>
      <w:pPr>
        <w:spacing w:after="0" w:line="98" w:lineRule="exact"/>
        <w:rPr>
          <w:sz w:val="24"/>
          <w:szCs w:val="24"/>
          <w:color w:val="auto"/>
        </w:rPr>
      </w:pPr>
    </w:p>
    <w:p>
      <w:pPr>
        <w:ind w:left="17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2220"/>
        <w:spacing w:after="0"/>
        <w:rPr>
          <w:sz w:val="20"/>
          <w:szCs w:val="20"/>
          <w:color w:val="auto"/>
        </w:rPr>
      </w:pPr>
      <w:r>
        <w:rPr>
          <w:rFonts w:ascii="Arial" w:cs="Arial" w:eastAsia="Arial" w:hAnsi="Arial"/>
          <w:sz w:val="12"/>
          <w:szCs w:val="12"/>
          <w:b w:val="1"/>
          <w:bCs w:val="1"/>
          <w:color w:val="auto"/>
        </w:rPr>
        <w:t>001-34960</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27-0756180</w:t>
      </w:r>
    </w:p>
    <w:p>
      <w:pPr>
        <w:spacing w:after="0" w:line="67" w:lineRule="exact"/>
        <w:rPr>
          <w:sz w:val="24"/>
          <w:szCs w:val="24"/>
          <w:color w:val="auto"/>
        </w:rPr>
      </w:pPr>
    </w:p>
    <w:p>
      <w:pPr>
        <w:sectPr>
          <w:pgSz w:w="11900" w:h="16838" w:orient="portrait"/>
          <w:cols w:equalWidth="0" w:num="3">
            <w:col w:w="4780" w:space="720"/>
            <w:col w:w="2820" w:space="720"/>
            <w:col w:w="2000"/>
          </w:cols>
          <w:pgMar w:left="300" w:top="1182" w:right="559" w:bottom="1440" w:gutter="0" w:footer="0" w:header="0"/>
          <w:type w:val="continuous"/>
        </w:sectPr>
      </w:pPr>
    </w:p>
    <w:p>
      <w:pPr>
        <w:ind w:left="80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44" w:lineRule="exact"/>
        <w:rPr>
          <w:sz w:val="24"/>
          <w:szCs w:val="24"/>
          <w:color w:val="auto"/>
        </w:rPr>
      </w:pPr>
    </w:p>
    <w:p>
      <w:pPr>
        <w:sectPr>
          <w:pgSz w:w="11900" w:h="16838" w:orient="portrait"/>
          <w:cols w:equalWidth="0" w:num="3">
            <w:col w:w="4300" w:space="720"/>
            <w:col w:w="2620" w:space="720"/>
            <w:col w:w="2680"/>
          </w:cols>
          <w:pgMar w:left="300" w:top="1182" w:right="559" w:bottom="1440" w:gutter="0" w:footer="0" w:header="0"/>
          <w:type w:val="continuous"/>
        </w:sectPr>
      </w:pPr>
    </w:p>
    <w:p>
      <w:pPr>
        <w:jc w:val="right"/>
        <w:ind w:right="3440"/>
        <w:spacing w:after="0"/>
        <w:tabs>
          <w:tab w:leader="none" w:pos="4700" w:val="left"/>
          <w:tab w:leader="none" w:pos="4000" w:val="left"/>
        </w:tabs>
        <w:rPr>
          <w:sz w:val="20"/>
          <w:szCs w:val="20"/>
          <w:color w:val="auto"/>
        </w:rPr>
      </w:pPr>
      <w:r>
        <w:rPr>
          <w:rFonts w:ascii="Arial" w:cs="Arial" w:eastAsia="Arial" w:hAnsi="Arial"/>
          <w:sz w:val="14"/>
          <w:szCs w:val="14"/>
          <w:b w:val="1"/>
          <w:bCs w:val="1"/>
          <w:color w:val="auto"/>
        </w:rPr>
        <w:t>300 Renaissance Center,</w:t>
      </w:r>
      <w:r>
        <w:rPr>
          <w:sz w:val="20"/>
          <w:szCs w:val="20"/>
          <w:color w:val="auto"/>
        </w:rPr>
        <w:tab/>
      </w:r>
      <w:r>
        <w:rPr>
          <w:rFonts w:ascii="Arial" w:cs="Arial" w:eastAsia="Arial" w:hAnsi="Arial"/>
          <w:sz w:val="14"/>
          <w:szCs w:val="14"/>
          <w:b w:val="1"/>
          <w:bCs w:val="1"/>
          <w:color w:val="auto"/>
        </w:rPr>
        <w:t>Detroit,</w:t>
      </w:r>
      <w:r>
        <w:rPr>
          <w:sz w:val="20"/>
          <w:szCs w:val="20"/>
          <w:color w:val="auto"/>
        </w:rPr>
        <w:tab/>
      </w:r>
      <w:r>
        <w:rPr>
          <w:rFonts w:ascii="Arial" w:cs="Arial" w:eastAsia="Arial" w:hAnsi="Arial"/>
          <w:sz w:val="13"/>
          <w:szCs w:val="13"/>
          <w:b w:val="1"/>
          <w:bCs w:val="1"/>
          <w:color w:val="auto"/>
        </w:rPr>
        <w:t>Michigan</w:t>
      </w:r>
    </w:p>
    <w:p>
      <w:pPr>
        <w:spacing w:after="0" w:line="23" w:lineRule="exact"/>
        <w:rPr>
          <w:sz w:val="24"/>
          <w:szCs w:val="24"/>
          <w:color w:val="auto"/>
        </w:rPr>
      </w:pPr>
    </w:p>
    <w:p>
      <w:pPr>
        <w:jc w:val="right"/>
        <w:ind w:right="340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80"/>
        <w:spacing w:after="0"/>
        <w:rPr>
          <w:sz w:val="20"/>
          <w:szCs w:val="20"/>
          <w:color w:val="auto"/>
        </w:rPr>
      </w:pPr>
      <w:r>
        <w:rPr>
          <w:rFonts w:ascii="Arial" w:cs="Arial" w:eastAsia="Arial" w:hAnsi="Arial"/>
          <w:sz w:val="12"/>
          <w:szCs w:val="12"/>
          <w:b w:val="1"/>
          <w:bCs w:val="1"/>
          <w:color w:val="auto"/>
        </w:rPr>
        <w:t>48265 -3000</w:t>
      </w:r>
    </w:p>
    <w:p>
      <w:pPr>
        <w:spacing w:after="0" w:line="46" w:lineRule="exact"/>
        <w:rPr>
          <w:sz w:val="24"/>
          <w:szCs w:val="24"/>
          <w:color w:val="auto"/>
        </w:rPr>
      </w:pPr>
    </w:p>
    <w:p>
      <w:pPr>
        <w:jc w:val="right"/>
        <w:ind w:right="200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640" w:space="720"/>
            <w:col w:w="2680"/>
          </w:cols>
          <w:pgMar w:left="300" w:top="1182" w:right="559" w:bottom="1440" w:gutter="0" w:footer="0" w:header="0"/>
          <w:type w:val="continuous"/>
        </w:sectPr>
      </w:pPr>
    </w:p>
    <w:p>
      <w:pPr>
        <w:spacing w:after="0" w:line="70"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(313) 667-1500</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Not Applicable</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9"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05" w:lineRule="exact"/>
        <w:rPr>
          <w:sz w:val="24"/>
          <w:szCs w:val="2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Written communications pursuant to Rule 425 under the Securities Act (17 CFR 230.425)</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Soliciting material pursuant to Rule 14a-12 under the Exchange Act (17 CFR 240.14a-12)</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14d-2(b) under the Exchange Act (17 CFR 240.14d-2(b))</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13e-4(c) under the Exchange Act (17 CFR 240.13e-4(c))</w:t>
      </w:r>
    </w:p>
    <w:p>
      <w:pPr>
        <w:spacing w:after="0" w:line="84" w:lineRule="exact"/>
        <w:rPr>
          <w:sz w:val="24"/>
          <w:szCs w:val="24"/>
          <w:color w:val="auto"/>
        </w:rPr>
      </w:pPr>
    </w:p>
    <w:tbl>
      <w:tblPr>
        <w:tblLayout w:type="fixed"/>
        <w:tblInd w:w="1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gridSpan w:val="3"/>
          </w:tcPr>
          <w:p>
            <w:pPr>
              <w:jc w:val="center"/>
              <w:ind w:left="96"/>
              <w:spacing w:after="0"/>
              <w:rPr>
                <w:sz w:val="20"/>
                <w:szCs w:val="20"/>
                <w:color w:val="auto"/>
              </w:rPr>
            </w:pPr>
            <w:r>
              <w:rPr>
                <w:rFonts w:ascii="Arial" w:cs="Arial" w:eastAsia="Arial" w:hAnsi="Arial"/>
                <w:sz w:val="13"/>
                <w:szCs w:val="13"/>
                <w:color w:val="auto"/>
                <w:w w:val="89"/>
              </w:rPr>
              <w:t>Securities registered pursuant to Section 12(b) of the Act:</w:t>
            </w:r>
          </w:p>
        </w:tc>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70"/>
        </w:trPr>
        <w:tc>
          <w:tcPr>
            <w:tcW w:w="360" w:type="dxa"/>
            <w:vAlign w:val="bottom"/>
          </w:tcPr>
          <w:p>
            <w:pPr>
              <w:spacing w:after="0"/>
              <w:rPr>
                <w:sz w:val="23"/>
                <w:szCs w:val="23"/>
                <w:color w:val="auto"/>
              </w:rPr>
            </w:pPr>
          </w:p>
        </w:tc>
        <w:tc>
          <w:tcPr>
            <w:tcW w:w="1780" w:type="dxa"/>
            <w:vAlign w:val="bottom"/>
            <w:gridSpan w:val="2"/>
          </w:tcPr>
          <w:p>
            <w:pPr>
              <w:jc w:val="center"/>
              <w:ind w:right="860"/>
              <w:spacing w:after="0"/>
              <w:rPr>
                <w:sz w:val="20"/>
                <w:szCs w:val="20"/>
                <w:color w:val="auto"/>
              </w:rPr>
            </w:pPr>
            <w:r>
              <w:rPr>
                <w:rFonts w:ascii="Arial" w:cs="Arial" w:eastAsia="Arial" w:hAnsi="Arial"/>
                <w:sz w:val="13"/>
                <w:szCs w:val="13"/>
                <w:color w:val="auto"/>
                <w:w w:val="88"/>
              </w:rPr>
              <w:t>Title of each class</w:t>
            </w:r>
          </w:p>
        </w:tc>
        <w:tc>
          <w:tcPr>
            <w:tcW w:w="1460" w:type="dxa"/>
            <w:vAlign w:val="bottom"/>
          </w:tcPr>
          <w:p>
            <w:pPr>
              <w:spacing w:after="0"/>
              <w:rPr>
                <w:sz w:val="23"/>
                <w:szCs w:val="23"/>
                <w:color w:val="auto"/>
              </w:rPr>
            </w:pPr>
          </w:p>
        </w:tc>
        <w:tc>
          <w:tcPr>
            <w:tcW w:w="2280" w:type="dxa"/>
            <w:vAlign w:val="bottom"/>
            <w:gridSpan w:val="2"/>
          </w:tcPr>
          <w:p>
            <w:pPr>
              <w:jc w:val="center"/>
              <w:ind w:right="1320"/>
              <w:spacing w:after="0"/>
              <w:rPr>
                <w:sz w:val="20"/>
                <w:szCs w:val="20"/>
                <w:color w:val="auto"/>
              </w:rPr>
            </w:pPr>
            <w:r>
              <w:rPr>
                <w:rFonts w:ascii="Arial" w:cs="Arial" w:eastAsia="Arial" w:hAnsi="Arial"/>
                <w:sz w:val="13"/>
                <w:szCs w:val="13"/>
                <w:color w:val="auto"/>
                <w:w w:val="90"/>
              </w:rPr>
              <w:t>Trading Symbol(s)</w:t>
            </w:r>
          </w:p>
        </w:tc>
        <w:tc>
          <w:tcPr>
            <w:tcW w:w="2600" w:type="dxa"/>
            <w:vAlign w:val="bottom"/>
            <w:gridSpan w:val="2"/>
          </w:tcPr>
          <w:p>
            <w:pPr>
              <w:jc w:val="center"/>
              <w:ind w:left="276"/>
              <w:spacing w:after="0"/>
              <w:rPr>
                <w:sz w:val="20"/>
                <w:szCs w:val="20"/>
                <w:color w:val="auto"/>
              </w:rPr>
            </w:pPr>
            <w:r>
              <w:rPr>
                <w:rFonts w:ascii="Arial" w:cs="Arial" w:eastAsia="Arial" w:hAnsi="Arial"/>
                <w:sz w:val="13"/>
                <w:szCs w:val="13"/>
                <w:color w:val="auto"/>
                <w:w w:val="87"/>
              </w:rPr>
              <w:t>Name of each exchange on which registered</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177"/>
        </w:trPr>
        <w:tc>
          <w:tcPr>
            <w:tcW w:w="2140" w:type="dxa"/>
            <w:vAlign w:val="bottom"/>
            <w:gridSpan w:val="3"/>
          </w:tcPr>
          <w:p>
            <w:pPr>
              <w:jc w:val="center"/>
              <w:ind w:right="500"/>
              <w:spacing w:after="0"/>
              <w:rPr>
                <w:sz w:val="20"/>
                <w:szCs w:val="20"/>
                <w:color w:val="auto"/>
              </w:rPr>
            </w:pPr>
            <w:r>
              <w:rPr>
                <w:rFonts w:ascii="Arial" w:cs="Arial" w:eastAsia="Arial" w:hAnsi="Arial"/>
                <w:sz w:val="13"/>
                <w:szCs w:val="13"/>
                <w:color w:val="auto"/>
                <w:w w:val="88"/>
              </w:rPr>
              <w:t>Common Stock, $0.01 par value</w:t>
            </w:r>
          </w:p>
        </w:tc>
        <w:tc>
          <w:tcPr>
            <w:tcW w:w="1460" w:type="dxa"/>
            <w:vAlign w:val="bottom"/>
          </w:tcPr>
          <w:p>
            <w:pPr>
              <w:spacing w:after="0"/>
              <w:rPr>
                <w:sz w:val="15"/>
                <w:szCs w:val="15"/>
                <w:color w:val="auto"/>
              </w:rPr>
            </w:pPr>
          </w:p>
        </w:tc>
        <w:tc>
          <w:tcPr>
            <w:tcW w:w="2280" w:type="dxa"/>
            <w:vAlign w:val="bottom"/>
            <w:gridSpan w:val="2"/>
          </w:tcPr>
          <w:p>
            <w:pPr>
              <w:jc w:val="center"/>
              <w:ind w:right="1320"/>
              <w:spacing w:after="0"/>
              <w:rPr>
                <w:sz w:val="20"/>
                <w:szCs w:val="20"/>
                <w:color w:val="auto"/>
              </w:rPr>
            </w:pPr>
            <w:r>
              <w:rPr>
                <w:rFonts w:ascii="Arial" w:cs="Arial" w:eastAsia="Arial" w:hAnsi="Arial"/>
                <w:sz w:val="13"/>
                <w:szCs w:val="13"/>
                <w:color w:val="auto"/>
                <w:w w:val="95"/>
              </w:rPr>
              <w:t>GM</w:t>
            </w:r>
          </w:p>
        </w:tc>
        <w:tc>
          <w:tcPr>
            <w:tcW w:w="34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3"/>
                <w:szCs w:val="13"/>
                <w:color w:val="auto"/>
                <w:w w:val="89"/>
              </w:rPr>
              <w:t>New York Stock Exchange</w:t>
            </w:r>
          </w:p>
        </w:tc>
      </w:tr>
    </w:tbl>
    <w:p>
      <w:pPr>
        <w:spacing w:after="0" w:line="167" w:lineRule="exact"/>
        <w:rPr>
          <w:sz w:val="24"/>
          <w:szCs w:val="24"/>
          <w:color w:val="auto"/>
        </w:rPr>
      </w:pPr>
    </w:p>
    <w:p>
      <w:pPr>
        <w:ind w:right="520"/>
        <w:spacing w:after="0" w:line="162"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43"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567690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300" w:top="1182"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204" w:lineRule="exact"/>
        <w:rPr>
          <w:sz w:val="20"/>
          <w:szCs w:val="20"/>
          <w:color w:val="auto"/>
        </w:rPr>
      </w:pPr>
    </w:p>
    <w:p>
      <w:pPr>
        <w:ind w:firstLine="127"/>
        <w:spacing w:after="0" w:line="281" w:lineRule="auto"/>
        <w:rPr>
          <w:sz w:val="20"/>
          <w:szCs w:val="20"/>
          <w:color w:val="auto"/>
        </w:rPr>
      </w:pPr>
      <w:r>
        <w:rPr>
          <w:rFonts w:ascii="Arial" w:cs="Arial" w:eastAsia="Arial" w:hAnsi="Arial"/>
          <w:sz w:val="14"/>
          <w:szCs w:val="14"/>
          <w:color w:val="auto"/>
        </w:rPr>
        <w:t>On August 4, 2021 General Motors Company (GM) issued a news release and supplemental materials on the subject of its 2021 second quarter earnings. The news release and supplemental materials are attached as Exhibit 99.1 and Exhibit 99.2.</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Charts furnished to securities analysts in connection with GM's 2021 second quarter earnings release are available on GM's website at www.gm.com/investors/earnings-releases.html.</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182"/>
        </w:trPr>
        <w:tc>
          <w:tcPr>
            <w:tcW w:w="2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2480" w:type="dxa"/>
            <w:vAlign w:val="bottom"/>
            <w:gridSpan w:val="4"/>
          </w:tcPr>
          <w:p>
            <w:pPr>
              <w:spacing w:after="0"/>
              <w:rPr>
                <w:sz w:val="20"/>
                <w:szCs w:val="20"/>
                <w:color w:val="auto"/>
              </w:rPr>
            </w:pPr>
            <w:r>
              <w:rPr>
                <w:rFonts w:ascii="Arial" w:cs="Arial" w:eastAsia="Arial" w:hAnsi="Arial"/>
                <w:sz w:val="14"/>
                <w:szCs w:val="14"/>
                <w:color w:val="auto"/>
              </w:rPr>
              <w:t>Description</w:t>
            </w:r>
          </w:p>
        </w:tc>
        <w:tc>
          <w:tcPr>
            <w:tcW w:w="600" w:type="dxa"/>
            <w:vAlign w:val="bottom"/>
            <w:tcBorders>
              <w:top w:val="single" w:sz="8" w:color="auto"/>
            </w:tcBorders>
          </w:tcPr>
          <w:p>
            <w:pPr>
              <w:spacing w:after="0"/>
              <w:rPr>
                <w:sz w:val="15"/>
                <w:szCs w:val="15"/>
                <w:color w:val="auto"/>
              </w:rPr>
            </w:pPr>
          </w:p>
        </w:tc>
        <w:tc>
          <w:tcPr>
            <w:tcW w:w="53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99.1</w:t>
            </w:r>
          </w:p>
        </w:tc>
        <w:tc>
          <w:tcPr>
            <w:tcW w:w="8420" w:type="dxa"/>
            <w:vAlign w:val="bottom"/>
            <w:gridSpan w:val="6"/>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 xml:space="preserve">News Release Dated August </w:t>
              </w:r>
            </w:hyperlink>
            <w:r>
              <w:rPr>
                <w:rFonts w:ascii="Arial" w:cs="Arial" w:eastAsia="Arial" w:hAnsi="Arial"/>
                <w:sz w:val="14"/>
                <w:szCs w:val="14"/>
                <w:color w:val="0000FF"/>
              </w:rPr>
              <w:t xml:space="preserve">4, </w:t>
            </w:r>
            <w:hyperlink w:anchor="page4">
              <w:r>
                <w:rPr>
                  <w:rFonts w:ascii="Arial" w:cs="Arial" w:eastAsia="Arial" w:hAnsi="Arial"/>
                  <w:sz w:val="14"/>
                  <w:szCs w:val="14"/>
                  <w:color w:val="0000FF"/>
                </w:rPr>
                <w:t>2021</w:t>
              </w:r>
            </w:hyperlink>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99.2</w:t>
            </w:r>
          </w:p>
        </w:tc>
        <w:tc>
          <w:tcPr>
            <w:tcW w:w="8420" w:type="dxa"/>
            <w:vAlign w:val="bottom"/>
            <w:gridSpan w:val="6"/>
          </w:tcPr>
          <w:p>
            <w:pPr>
              <w:spacing w:after="0"/>
              <w:rPr>
                <w:rFonts w:ascii="Arial" w:cs="Arial" w:eastAsia="Arial" w:hAnsi="Arial"/>
                <w:sz w:val="14"/>
                <w:szCs w:val="14"/>
                <w:color w:val="0000FF"/>
              </w:rPr>
            </w:pPr>
            <w:hyperlink w:anchor="page11">
              <w:r>
                <w:rPr>
                  <w:rFonts w:ascii="Arial" w:cs="Arial" w:eastAsia="Arial" w:hAnsi="Arial"/>
                  <w:sz w:val="14"/>
                  <w:szCs w:val="14"/>
                  <w:color w:val="0000FF"/>
                </w:rPr>
                <w:t>Financial Highlights Dated August 4, 2021</w:t>
              </w:r>
            </w:hyperlink>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104</w:t>
            </w:r>
          </w:p>
        </w:tc>
        <w:tc>
          <w:tcPr>
            <w:tcW w:w="8420" w:type="dxa"/>
            <w:vAlign w:val="bottom"/>
            <w:gridSpan w:val="6"/>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r>
        <w:trPr>
          <w:trHeight w:val="957"/>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4"/>
          <w:szCs w:val="14"/>
          <w:b w:val="1"/>
          <w:bCs w:val="1"/>
          <w:color w:val="auto"/>
        </w:rPr>
        <w:t>SIGNATURE</w:t>
      </w: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GENERAL MOTORS COMPANY (Registrant)</w:t>
            </w:r>
          </w:p>
        </w:tc>
      </w:tr>
      <w:tr>
        <w:trPr>
          <w:trHeight w:val="584"/>
        </w:trPr>
        <w:tc>
          <w:tcPr>
            <w:tcW w:w="6080" w:type="dxa"/>
            <w:vAlign w:val="bottom"/>
          </w:tcPr>
          <w:p>
            <w:pPr>
              <w:ind w:left="542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CHRISTOPHER T. HATTO</w:t>
            </w:r>
          </w:p>
        </w:tc>
      </w:tr>
      <w:tr>
        <w:trPr>
          <w:trHeight w:val="129"/>
        </w:trPr>
        <w:tc>
          <w:tcPr>
            <w:tcW w:w="6080" w:type="dxa"/>
            <w:vAlign w:val="bottom"/>
          </w:tcPr>
          <w:p>
            <w:pPr>
              <w:spacing w:after="0" w:line="129" w:lineRule="exact"/>
              <w:rPr>
                <w:sz w:val="20"/>
                <w:szCs w:val="20"/>
                <w:color w:val="auto"/>
              </w:rPr>
            </w:pPr>
            <w:r>
              <w:rPr>
                <w:rFonts w:ascii="Arial" w:cs="Arial" w:eastAsia="Arial" w:hAnsi="Arial"/>
                <w:sz w:val="14"/>
                <w:szCs w:val="14"/>
                <w:color w:val="auto"/>
              </w:rPr>
              <w:t>Date: August 4, 2021</w:t>
            </w:r>
          </w:p>
        </w:tc>
        <w:tc>
          <w:tcPr>
            <w:tcW w:w="5140" w:type="dxa"/>
            <w:vAlign w:val="bottom"/>
          </w:tcPr>
          <w:p>
            <w:pPr>
              <w:ind w:left="20"/>
              <w:spacing w:after="0" w:line="129" w:lineRule="exact"/>
              <w:rPr>
                <w:sz w:val="20"/>
                <w:szCs w:val="20"/>
                <w:color w:val="auto"/>
              </w:rPr>
            </w:pPr>
            <w:r>
              <w:rPr>
                <w:rFonts w:ascii="Arial" w:cs="Arial" w:eastAsia="Arial" w:hAnsi="Arial"/>
                <w:sz w:val="14"/>
                <w:szCs w:val="14"/>
                <w:color w:val="auto"/>
                <w:w w:val="95"/>
              </w:rPr>
              <w:t>Christopher T. Hatto, Vice President, Global Business Solutions and Chief Accounting</w:t>
            </w:r>
          </w:p>
        </w:tc>
      </w:tr>
      <w:tr>
        <w:trPr>
          <w:trHeight w:val="180"/>
        </w:trPr>
        <w:tc>
          <w:tcPr>
            <w:tcW w:w="60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Officer</w:t>
            </w:r>
          </w:p>
        </w:tc>
      </w:tr>
    </w:tbl>
    <w:p>
      <w:pPr>
        <w:sectPr>
          <w:pgSz w:w="11900" w:h="16838" w:orient="portrait"/>
          <w:cols w:equalWidth="0" w:num="1">
            <w:col w:w="11220"/>
          </w:cols>
          <w:pgMar w:left="340" w:top="921"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color w:val="auto"/>
        </w:rPr>
        <w:t>Exhibit 99.2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28"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General Motors Company's (GM)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89"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75" w:lineRule="exact"/>
        <w:rPr>
          <w:sz w:val="20"/>
          <w:szCs w:val="20"/>
          <w:color w:val="auto"/>
        </w:rPr>
      </w:pPr>
    </w:p>
    <w:p>
      <w:pPr>
        <w:jc w:val="both"/>
        <w:ind w:firstLine="127"/>
        <w:spacing w:after="0" w:line="243" w:lineRule="auto"/>
        <w:rPr>
          <w:sz w:val="20"/>
          <w:szCs w:val="20"/>
          <w:color w:val="auto"/>
        </w:rPr>
      </w:pPr>
      <w:r>
        <w:rPr>
          <w:rFonts w:ascii="Arial" w:cs="Arial" w:eastAsia="Arial" w:hAnsi="Arial"/>
          <w:sz w:val="13"/>
          <w:szCs w:val="13"/>
          <w:b w:val="1"/>
          <w:bCs w:val="1"/>
          <w:i w:val="1"/>
          <w:iCs w:val="1"/>
          <w:color w:val="auto"/>
        </w:rPr>
        <w:t xml:space="preserve">EBIT-adjusted </w:t>
      </w:r>
      <w:r>
        <w:rPr>
          <w:rFonts w:ascii="Arial" w:cs="Arial" w:eastAsia="Arial" w:hAnsi="Arial"/>
          <w:sz w:val="13"/>
          <w:szCs w:val="13"/>
          <w:color w:val="auto"/>
        </w:rPr>
        <w:t>EBIT-adjusted is presented net of noncontrolling interests and is used by management and can be used by investors to review our consolidated operating results because it excludes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71"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EPS-diluted-adjusted </w:t>
      </w:r>
      <w:r>
        <w:rPr>
          <w:rFonts w:ascii="Arial" w:cs="Arial" w:eastAsia="Arial" w:hAnsi="Arial"/>
          <w:sz w:val="13"/>
          <w:szCs w:val="13"/>
          <w:color w:val="auto"/>
        </w:rPr>
        <w:t>EPS-diluted-adjusted is used by management and can be used by investors to review our consolidated diluted EPS results on a consistent basis. EPS-diluted-adjusted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66" w:lineRule="exact"/>
        <w:rPr>
          <w:sz w:val="20"/>
          <w:szCs w:val="20"/>
          <w:color w:val="auto"/>
        </w:rPr>
      </w:pPr>
    </w:p>
    <w:p>
      <w:pPr>
        <w:jc w:val="both"/>
        <w:ind w:firstLine="127"/>
        <w:spacing w:after="0" w:line="247" w:lineRule="auto"/>
        <w:rPr>
          <w:sz w:val="20"/>
          <w:szCs w:val="20"/>
          <w:color w:val="auto"/>
        </w:rPr>
      </w:pPr>
      <w:r>
        <w:rPr>
          <w:rFonts w:ascii="Arial" w:cs="Arial" w:eastAsia="Arial" w:hAnsi="Arial"/>
          <w:sz w:val="13"/>
          <w:szCs w:val="13"/>
          <w:b w:val="1"/>
          <w:bCs w:val="1"/>
          <w:i w:val="1"/>
          <w:iCs w:val="1"/>
          <w:color w:val="auto"/>
        </w:rPr>
        <w:t xml:space="preserve">ETR-adjusted </w:t>
      </w:r>
      <w:r>
        <w:rPr>
          <w:rFonts w:ascii="Arial" w:cs="Arial" w:eastAsia="Arial" w:hAnsi="Arial"/>
          <w:sz w:val="13"/>
          <w:szCs w:val="13"/>
          <w:color w:val="auto"/>
        </w:rPr>
        <w:t>ETR-adjusted is used by management and can be used by investors to review the consolidated effective tax rate for our core operations on a consistent basis. ETR-adjusted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70"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ROIC-adjusted </w:t>
      </w:r>
      <w:r>
        <w:rPr>
          <w:rFonts w:ascii="Arial" w:cs="Arial" w:eastAsia="Arial" w:hAnsi="Arial"/>
          <w:sz w:val="13"/>
          <w:szCs w:val="13"/>
          <w:color w:val="auto"/>
        </w:rPr>
        <w:t>ROIC-adjusted is used by management and can be used by investors to review our investment and capital allocation decisions. We define ROIC-adjusted as EBIT-adjusted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166" w:lineRule="exact"/>
        <w:rPr>
          <w:sz w:val="20"/>
          <w:szCs w:val="20"/>
          <w:color w:val="auto"/>
        </w:rPr>
      </w:pPr>
    </w:p>
    <w:p>
      <w:pPr>
        <w:jc w:val="both"/>
        <w:ind w:firstLine="127"/>
        <w:spacing w:after="0" w:line="247" w:lineRule="auto"/>
        <w:rPr>
          <w:sz w:val="20"/>
          <w:szCs w:val="20"/>
          <w:color w:val="auto"/>
        </w:rPr>
      </w:pPr>
      <w:r>
        <w:rPr>
          <w:rFonts w:ascii="Arial" w:cs="Arial" w:eastAsia="Arial" w:hAnsi="Arial"/>
          <w:sz w:val="13"/>
          <w:szCs w:val="13"/>
          <w:b w:val="1"/>
          <w:bCs w:val="1"/>
          <w:i w:val="1"/>
          <w:iCs w:val="1"/>
          <w:color w:val="auto"/>
        </w:rPr>
        <w:t xml:space="preserve">Adjusted automotive free cash flow </w:t>
      </w:r>
      <w:r>
        <w:rPr>
          <w:rFonts w:ascii="Arial" w:cs="Arial" w:eastAsia="Arial" w:hAnsi="Arial"/>
          <w:sz w:val="13"/>
          <w:szCs w:val="13"/>
          <w:color w:val="auto"/>
        </w:rPr>
        <w:t>Adjusted automotive free cash flow is used by management and can be used by investors to review the liquidity of our automotive operations and to measure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118"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attributable to stockholders under U.S. GAAP to segment profit (loss) (dollars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42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10"/>
                <w:szCs w:val="10"/>
                <w:b w:val="1"/>
                <w:bCs w:val="1"/>
                <w:color w:val="auto"/>
                <w:w w:val="99"/>
              </w:rPr>
              <w:t>Three Months Ended</w:t>
            </w: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w:t>
            </w:r>
          </w:p>
        </w:tc>
        <w:tc>
          <w:tcPr>
            <w:tcW w:w="1200" w:type="dxa"/>
            <w:vAlign w:val="bottom"/>
            <w:tcBorders>
              <w:bottom w:val="single" w:sz="8" w:color="auto"/>
            </w:tcBorders>
          </w:tcPr>
          <w:p>
            <w:pPr>
              <w:spacing w:after="0"/>
              <w:rPr>
                <w:sz w:val="11"/>
                <w:szCs w:val="11"/>
                <w:color w:val="auto"/>
              </w:rPr>
            </w:pPr>
          </w:p>
        </w:tc>
      </w:tr>
      <w:tr>
        <w:trPr>
          <w:trHeight w:val="132"/>
        </w:trPr>
        <w:tc>
          <w:tcPr>
            <w:tcW w:w="44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b w:val="1"/>
                <w:bCs w:val="1"/>
                <w:color w:val="auto"/>
              </w:rPr>
              <w:t>June 30, 2021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ind w:right="41"/>
              <w:spacing w:after="0"/>
              <w:rPr>
                <w:sz w:val="20"/>
                <w:szCs w:val="20"/>
                <w:color w:val="auto"/>
              </w:rPr>
            </w:pPr>
            <w:r>
              <w:rPr>
                <w:rFonts w:ascii="Arial" w:cs="Arial" w:eastAsia="Arial" w:hAnsi="Arial"/>
                <w:sz w:val="10"/>
                <w:szCs w:val="10"/>
                <w:b w:val="1"/>
                <w:bCs w:val="1"/>
                <w:color w:val="auto"/>
              </w:rPr>
              <w:t>June 30, 2020</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gridSpan w:val="2"/>
          </w:tcPr>
          <w:p>
            <w:pPr>
              <w:ind w:left="200"/>
              <w:spacing w:after="0"/>
              <w:rPr>
                <w:sz w:val="20"/>
                <w:szCs w:val="20"/>
                <w:color w:val="auto"/>
              </w:rPr>
            </w:pPr>
            <w:r>
              <w:rPr>
                <w:rFonts w:ascii="Arial" w:cs="Arial" w:eastAsia="Arial" w:hAnsi="Arial"/>
                <w:sz w:val="10"/>
                <w:szCs w:val="10"/>
                <w:b w:val="1"/>
                <w:bCs w:val="1"/>
                <w:color w:val="auto"/>
              </w:rPr>
              <w:t>June 30, 2021</w:t>
            </w:r>
          </w:p>
        </w:tc>
        <w:tc>
          <w:tcPr>
            <w:tcW w:w="440" w:type="dxa"/>
            <w:vAlign w:val="bottom"/>
          </w:tcPr>
          <w:p>
            <w:pPr>
              <w:spacing w:after="0"/>
              <w:rPr>
                <w:sz w:val="11"/>
                <w:szCs w:val="11"/>
                <w:color w:val="auto"/>
              </w:rPr>
            </w:pPr>
          </w:p>
        </w:tc>
        <w:tc>
          <w:tcPr>
            <w:tcW w:w="1200" w:type="dxa"/>
            <w:vAlign w:val="bottom"/>
          </w:tcPr>
          <w:p>
            <w:pPr>
              <w:jc w:val="right"/>
              <w:ind w:right="436"/>
              <w:spacing w:after="0"/>
              <w:rPr>
                <w:sz w:val="20"/>
                <w:szCs w:val="20"/>
                <w:color w:val="auto"/>
              </w:rPr>
            </w:pPr>
            <w:r>
              <w:rPr>
                <w:rFonts w:ascii="Arial" w:cs="Arial" w:eastAsia="Arial" w:hAnsi="Arial"/>
                <w:sz w:val="10"/>
                <w:szCs w:val="10"/>
                <w:b w:val="1"/>
                <w:bCs w:val="1"/>
                <w:color w:val="auto"/>
              </w:rPr>
              <w:t>June 30, 2020</w:t>
            </w:r>
          </w:p>
        </w:tc>
      </w:tr>
      <w:tr>
        <w:trPr>
          <w:trHeight w:val="165"/>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stockholders(a)</w:t>
            </w:r>
          </w:p>
        </w:tc>
        <w:tc>
          <w:tcPr>
            <w:tcW w:w="1180" w:type="dxa"/>
            <w:vAlign w:val="bottom"/>
            <w:tcBorders>
              <w:top w:val="single" w:sz="8" w:color="auto"/>
            </w:tcBorders>
            <w:shd w:val="clear" w:color="auto" w:fill="CCEEFF"/>
          </w:tcPr>
          <w:p>
            <w:pPr>
              <w:jc w:val="right"/>
              <w:ind w:right="1041"/>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2,836</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ind w:right="1101"/>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5,858</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(464)</w:t>
            </w:r>
          </w:p>
        </w:tc>
      </w:tr>
      <w:tr>
        <w:trPr>
          <w:trHeight w:val="168"/>
        </w:trPr>
        <w:tc>
          <w:tcPr>
            <w:tcW w:w="442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971</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2,148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245</w:t>
            </w:r>
          </w:p>
        </w:tc>
      </w:tr>
      <w:tr>
        <w:trPr>
          <w:trHeight w:val="172"/>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r>
      <w:tr>
        <w:trPr>
          <w:trHeight w:val="168"/>
        </w:trPr>
        <w:tc>
          <w:tcPr>
            <w:tcW w:w="442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(144)</w:t>
            </w:r>
          </w:p>
        </w:tc>
      </w:tr>
      <w:tr>
        <w:trPr>
          <w:trHeight w:val="172"/>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0"/>
        </w:trPr>
        <w:tc>
          <w:tcPr>
            <w:tcW w:w="4420" w:type="dxa"/>
            <w:vAlign w:val="bottom"/>
          </w:tcPr>
          <w:p>
            <w:pPr>
              <w:ind w:left="120"/>
              <w:spacing w:after="0"/>
              <w:rPr>
                <w:sz w:val="20"/>
                <w:szCs w:val="20"/>
                <w:color w:val="auto"/>
              </w:rPr>
            </w:pPr>
            <w:r>
              <w:rPr>
                <w:rFonts w:ascii="Arial" w:cs="Arial" w:eastAsia="Arial" w:hAnsi="Arial"/>
                <w:sz w:val="13"/>
                <w:szCs w:val="13"/>
                <w:color w:val="auto"/>
              </w:rPr>
              <w:t>GM Korea wage litigation(b)</w:t>
            </w:r>
          </w:p>
        </w:tc>
        <w:tc>
          <w:tcPr>
            <w:tcW w:w="1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Cadillac dealer strategy(c)</w:t>
            </w:r>
          </w:p>
        </w:tc>
        <w:tc>
          <w:tcPr>
            <w:tcW w:w="11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420" w:type="dxa"/>
            <w:vAlign w:val="bottom"/>
          </w:tcPr>
          <w:p>
            <w:pPr>
              <w:ind w:left="120"/>
              <w:spacing w:after="0"/>
              <w:rPr>
                <w:sz w:val="20"/>
                <w:szCs w:val="20"/>
                <w:color w:val="auto"/>
              </w:rPr>
            </w:pPr>
            <w:r>
              <w:rPr>
                <w:rFonts w:ascii="Arial" w:cs="Arial" w:eastAsia="Arial" w:hAnsi="Arial"/>
                <w:sz w:val="13"/>
                <w:szCs w:val="13"/>
                <w:color w:val="auto"/>
              </w:rPr>
              <w:t>GMI restructuring(d)</w:t>
            </w:r>
          </w:p>
        </w:tc>
        <w:tc>
          <w:tcPr>
            <w:tcW w:w="11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581</w:t>
            </w:r>
          </w:p>
        </w:tc>
      </w:tr>
      <w:tr>
        <w:trPr>
          <w:trHeight w:val="158"/>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adjustments</w:t>
            </w:r>
          </w:p>
        </w:tc>
        <w:tc>
          <w:tcPr>
            <w:tcW w:w="118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581</w:t>
            </w:r>
          </w:p>
        </w:tc>
      </w:tr>
      <w:tr>
        <w:trPr>
          <w:trHeight w:val="16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EBIT(loss)-adjusted</w:t>
            </w:r>
          </w:p>
        </w:tc>
        <w:tc>
          <w:tcPr>
            <w:tcW w:w="1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4,117</w:t>
            </w:r>
          </w:p>
        </w:tc>
        <w:tc>
          <w:tcPr>
            <w:tcW w:w="1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8,534</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714</w:t>
            </w:r>
          </w:p>
        </w:tc>
      </w:tr>
      <w:tr>
        <w:trPr>
          <w:trHeight w:val="152"/>
        </w:trPr>
        <w:tc>
          <w:tcPr>
            <w:tcW w:w="4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Operating segments</w:t>
            </w:r>
          </w:p>
        </w:tc>
        <w:tc>
          <w:tcPr>
            <w:tcW w:w="1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68"/>
        </w:trPr>
        <w:tc>
          <w:tcPr>
            <w:tcW w:w="4420" w:type="dxa"/>
            <w:vAlign w:val="bottom"/>
          </w:tcPr>
          <w:p>
            <w:pPr>
              <w:ind w:left="120"/>
              <w:spacing w:after="0"/>
              <w:rPr>
                <w:sz w:val="20"/>
                <w:szCs w:val="20"/>
                <w:color w:val="auto"/>
              </w:rPr>
            </w:pPr>
            <w:r>
              <w:rPr>
                <w:rFonts w:ascii="Arial" w:cs="Arial" w:eastAsia="Arial" w:hAnsi="Arial"/>
                <w:sz w:val="13"/>
                <w:szCs w:val="13"/>
                <w:color w:val="auto"/>
              </w:rPr>
              <w:t>GM North America (GMNA)</w:t>
            </w: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2,894</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6,028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2,093</w:t>
            </w:r>
          </w:p>
        </w:tc>
      </w:tr>
      <w:tr>
        <w:trPr>
          <w:trHeight w:val="172"/>
        </w:trPr>
        <w:tc>
          <w:tcPr>
            <w:tcW w:w="4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 International (GMI)</w:t>
            </w: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w:t>
            </w:r>
          </w:p>
        </w:tc>
      </w:tr>
      <w:tr>
        <w:trPr>
          <w:trHeight w:val="168"/>
        </w:trPr>
        <w:tc>
          <w:tcPr>
            <w:tcW w:w="4420" w:type="dxa"/>
            <w:vAlign w:val="bottom"/>
          </w:tcPr>
          <w:p>
            <w:pPr>
              <w:ind w:left="100"/>
              <w:spacing w:after="0"/>
              <w:rPr>
                <w:sz w:val="20"/>
                <w:szCs w:val="20"/>
                <w:color w:val="auto"/>
              </w:rPr>
            </w:pPr>
            <w:r>
              <w:rPr>
                <w:rFonts w:ascii="Arial" w:cs="Arial" w:eastAsia="Arial" w:hAnsi="Arial"/>
                <w:sz w:val="13"/>
                <w:szCs w:val="13"/>
                <w:color w:val="auto"/>
              </w:rPr>
              <w:t>Cruise</w:t>
            </w: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(332)</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(561)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(423)</w:t>
            </w:r>
          </w:p>
        </w:tc>
      </w:tr>
      <w:tr>
        <w:trPr>
          <w:trHeight w:val="170"/>
        </w:trPr>
        <w:tc>
          <w:tcPr>
            <w:tcW w:w="4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 Financial(e)</w:t>
            </w:r>
          </w:p>
        </w:tc>
        <w:tc>
          <w:tcPr>
            <w:tcW w:w="11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1,581</w:t>
            </w:r>
          </w:p>
        </w:tc>
        <w:tc>
          <w:tcPr>
            <w:tcW w:w="1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456</w:t>
            </w:r>
          </w:p>
        </w:tc>
      </w:tr>
      <w:tr>
        <w:trPr>
          <w:trHeight w:val="160"/>
        </w:trPr>
        <w:tc>
          <w:tcPr>
            <w:tcW w:w="4420" w:type="dxa"/>
            <w:vAlign w:val="bottom"/>
          </w:tcPr>
          <w:p>
            <w:pPr>
              <w:ind w:left="20"/>
              <w:spacing w:after="0"/>
              <w:rPr>
                <w:sz w:val="20"/>
                <w:szCs w:val="20"/>
                <w:color w:val="auto"/>
              </w:rPr>
            </w:pPr>
            <w:r>
              <w:rPr>
                <w:rFonts w:ascii="Arial" w:cs="Arial" w:eastAsia="Arial" w:hAnsi="Arial"/>
                <w:sz w:val="13"/>
                <w:szCs w:val="13"/>
                <w:color w:val="auto"/>
              </w:rPr>
              <w:t>Total operating segments</w:t>
            </w:r>
          </w:p>
        </w:tc>
        <w:tc>
          <w:tcPr>
            <w:tcW w:w="1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4,158</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(340)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8,553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1,305</w:t>
            </w:r>
          </w:p>
        </w:tc>
      </w:tr>
      <w:tr>
        <w:trPr>
          <w:trHeight w:val="170"/>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and eliminations(f)</w:t>
            </w:r>
          </w:p>
        </w:tc>
        <w:tc>
          <w:tcPr>
            <w:tcW w:w="11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(591)</w:t>
            </w:r>
          </w:p>
        </w:tc>
      </w:tr>
      <w:tr>
        <w:trPr>
          <w:trHeight w:val="163"/>
        </w:trPr>
        <w:tc>
          <w:tcPr>
            <w:tcW w:w="4420" w:type="dxa"/>
            <w:vAlign w:val="bottom"/>
          </w:tcPr>
          <w:p>
            <w:pPr>
              <w:ind w:left="20"/>
              <w:spacing w:after="0"/>
              <w:rPr>
                <w:sz w:val="20"/>
                <w:szCs w:val="20"/>
                <w:color w:val="auto"/>
              </w:rPr>
            </w:pPr>
            <w:r>
              <w:rPr>
                <w:rFonts w:ascii="Arial" w:cs="Arial" w:eastAsia="Arial" w:hAnsi="Arial"/>
                <w:sz w:val="13"/>
                <w:szCs w:val="13"/>
                <w:color w:val="auto"/>
              </w:rPr>
              <w:t>EBIT(loss)-adjusted</w:t>
            </w:r>
          </w:p>
        </w:tc>
        <w:tc>
          <w:tcPr>
            <w:tcW w:w="1180" w:type="dxa"/>
            <w:vAlign w:val="bottom"/>
            <w:tcBorders>
              <w:bottom w:val="single" w:sz="8" w:color="auto"/>
            </w:tcBorders>
          </w:tcPr>
          <w:p>
            <w:pPr>
              <w:jc w:val="right"/>
              <w:ind w:right="1041"/>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4,117</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ind w:right="1101"/>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8,534</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714</w:t>
            </w:r>
          </w:p>
        </w:tc>
      </w:tr>
      <w:tr>
        <w:trPr>
          <w:trHeight w:val="20"/>
        </w:trPr>
        <w:tc>
          <w:tcPr>
            <w:tcW w:w="44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 w:lineRule="exact"/>
        <w:rPr>
          <w:sz w:val="20"/>
          <w:szCs w:val="20"/>
          <w:color w:val="auto"/>
        </w:rPr>
      </w:pPr>
    </w:p>
    <w:p>
      <w:pPr>
        <w:ind w:left="240" w:hanging="235"/>
        <w:spacing w:after="0"/>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ind w:left="240" w:hanging="235"/>
        <w:spacing w:after="0"/>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recent Supreme Court of Korea decisions related to our salaried workers.</w:t>
      </w:r>
    </w:p>
    <w:p>
      <w:pPr>
        <w:ind w:left="260" w:hanging="255"/>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they relate to strategic activities to transition certain Cadillac dealers from the network as part of Cadillac's electric vehicle strategy.</w:t>
      </w:r>
    </w:p>
    <w:p>
      <w:pPr>
        <w:jc w:val="both"/>
        <w:ind w:left="260" w:hanging="255"/>
        <w:spacing w:after="0" w:line="241" w:lineRule="auto"/>
        <w:tabs>
          <w:tab w:leader="none" w:pos="249"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These adjustments primarily consist of inventory provisions in the three months ended June 30, 2020, and asset impairments, dealer restructurings, employee separation charges and sales allowances in Australia, New Zealand and Thailand in the six months ended June 30, 2020.</w:t>
      </w:r>
    </w:p>
    <w:p>
      <w:pPr>
        <w:ind w:left="240" w:hanging="235"/>
        <w:spacing w:after="0"/>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 Financial amounts represent EBT-adjusted.</w:t>
      </w:r>
    </w:p>
    <w:p>
      <w:pPr>
        <w:ind w:left="260" w:hanging="255"/>
        <w:spacing w:after="0" w:line="260" w:lineRule="auto"/>
        <w:tabs>
          <w:tab w:leader="none" w:pos="25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GM's automotive interest income and interest expense, legacy costs from the Opel and Vauxhall businesses and certain other assets in Europe, which are primarily pension costs, corporate expenditures and certain nonsegment-specific revenues and expenses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698"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(loss) attributable to stockholders under U.S. GAAP to EBIT (loss)-adjusted (dollars in millions):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5"/>
          </w:tcPr>
          <w:p>
            <w:pPr>
              <w:ind w:left="60"/>
              <w:spacing w:after="0"/>
              <w:rPr>
                <w:sz w:val="20"/>
                <w:szCs w:val="20"/>
                <w:color w:val="auto"/>
              </w:rPr>
            </w:pPr>
            <w:r>
              <w:rPr>
                <w:rFonts w:ascii="Arial" w:cs="Arial" w:eastAsia="Arial" w:hAnsi="Arial"/>
                <w:sz w:val="10"/>
                <w:szCs w:val="10"/>
                <w:b w:val="1"/>
                <w:bCs w:val="1"/>
                <w:color w:val="auto"/>
              </w:rPr>
              <w:t>Three Months Ended</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r>
      <w:tr>
        <w:trPr>
          <w:trHeight w:val="132"/>
        </w:trPr>
        <w:tc>
          <w:tcPr>
            <w:tcW w:w="4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3"/>
          </w:tcPr>
          <w:p>
            <w:pPr>
              <w:jc w:val="right"/>
              <w:spacing w:after="0"/>
              <w:rPr>
                <w:sz w:val="20"/>
                <w:szCs w:val="20"/>
                <w:color w:val="auto"/>
              </w:rPr>
            </w:pPr>
            <w:r>
              <w:rPr>
                <w:rFonts w:ascii="Arial" w:cs="Arial" w:eastAsia="Arial" w:hAnsi="Arial"/>
                <w:sz w:val="10"/>
                <w:szCs w:val="10"/>
                <w:b w:val="1"/>
                <w:bCs w:val="1"/>
                <w:color w:val="auto"/>
              </w:rPr>
              <w:t>June 30,</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Arial" w:cs="Arial" w:eastAsia="Arial" w:hAnsi="Arial"/>
                <w:sz w:val="10"/>
                <w:szCs w:val="10"/>
                <w:b w:val="1"/>
                <w:bCs w:val="1"/>
                <w:color w:val="auto"/>
              </w:rPr>
              <w:t>March 31,</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5"/>
          </w:tcPr>
          <w:p>
            <w:pPr>
              <w:ind w:left="280"/>
              <w:spacing w:after="0"/>
              <w:rPr>
                <w:sz w:val="20"/>
                <w:szCs w:val="20"/>
                <w:color w:val="auto"/>
              </w:rPr>
            </w:pPr>
            <w:r>
              <w:rPr>
                <w:rFonts w:ascii="Arial" w:cs="Arial" w:eastAsia="Arial" w:hAnsi="Arial"/>
                <w:sz w:val="10"/>
                <w:szCs w:val="10"/>
                <w:b w:val="1"/>
                <w:bCs w:val="1"/>
                <w:color w:val="auto"/>
              </w:rPr>
              <w:t>December 31,</w:t>
            </w:r>
          </w:p>
        </w:tc>
        <w:tc>
          <w:tcPr>
            <w:tcW w:w="180" w:type="dxa"/>
            <w:vAlign w:val="bottom"/>
          </w:tcPr>
          <w:p>
            <w:pPr>
              <w:spacing w:after="0"/>
              <w:rPr>
                <w:sz w:val="11"/>
                <w:szCs w:val="11"/>
                <w:color w:val="auto"/>
              </w:rPr>
            </w:pPr>
          </w:p>
        </w:tc>
        <w:tc>
          <w:tcPr>
            <w:tcW w:w="1360" w:type="dxa"/>
            <w:vAlign w:val="bottom"/>
            <w:gridSpan w:val="4"/>
          </w:tcPr>
          <w:p>
            <w:pPr>
              <w:jc w:val="right"/>
              <w:ind w:right="357"/>
              <w:spacing w:after="0"/>
              <w:rPr>
                <w:sz w:val="20"/>
                <w:szCs w:val="20"/>
                <w:color w:val="auto"/>
              </w:rPr>
            </w:pPr>
            <w:r>
              <w:rPr>
                <w:rFonts w:ascii="Arial" w:cs="Arial" w:eastAsia="Arial" w:hAnsi="Arial"/>
                <w:sz w:val="10"/>
                <w:szCs w:val="10"/>
                <w:b w:val="1"/>
                <w:bCs w:val="1"/>
                <w:color w:val="auto"/>
              </w:rPr>
              <w:t>September 30,</w:t>
            </w:r>
          </w:p>
        </w:tc>
      </w:tr>
      <w:tr>
        <w:trPr>
          <w:trHeight w:val="129"/>
        </w:trPr>
        <w:tc>
          <w:tcPr>
            <w:tcW w:w="45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2019</w:t>
            </w:r>
          </w:p>
        </w:tc>
      </w:tr>
      <w:tr>
        <w:trPr>
          <w:trHeight w:val="165"/>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w:t>
            </w:r>
          </w:p>
        </w:tc>
      </w:tr>
      <w:tr>
        <w:trPr>
          <w:trHeight w:val="168"/>
        </w:trPr>
        <w:tc>
          <w:tcPr>
            <w:tcW w:w="454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1,177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357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271</w:t>
            </w:r>
          </w:p>
        </w:tc>
      </w:tr>
      <w:tr>
        <w:trPr>
          <w:trHeight w:val="172"/>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r>
      <w:tr>
        <w:trPr>
          <w:trHeight w:val="168"/>
        </w:trPr>
        <w:tc>
          <w:tcPr>
            <w:tcW w:w="454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(129)</w:t>
            </w:r>
          </w:p>
        </w:tc>
      </w:tr>
      <w:tr>
        <w:trPr>
          <w:trHeight w:val="172"/>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8"/>
        </w:trPr>
        <w:tc>
          <w:tcPr>
            <w:tcW w:w="4540" w:type="dxa"/>
            <w:vAlign w:val="bottom"/>
          </w:tcPr>
          <w:p>
            <w:pPr>
              <w:ind w:left="100"/>
              <w:spacing w:after="0"/>
              <w:rPr>
                <w:sz w:val="20"/>
                <w:szCs w:val="20"/>
                <w:color w:val="auto"/>
              </w:rPr>
            </w:pPr>
            <w:r>
              <w:rPr>
                <w:rFonts w:ascii="Arial" w:cs="Arial" w:eastAsia="Arial" w:hAnsi="Arial"/>
                <w:sz w:val="13"/>
                <w:szCs w:val="13"/>
                <w:color w:val="auto"/>
              </w:rPr>
              <w:t>GM Korea Wage Litigation(a)</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4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Cadillac dealer strategy(b)</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540" w:type="dxa"/>
            <w:vAlign w:val="bottom"/>
          </w:tcPr>
          <w:p>
            <w:pPr>
              <w:ind w:left="100"/>
              <w:spacing w:after="0"/>
              <w:rPr>
                <w:sz w:val="20"/>
                <w:szCs w:val="20"/>
                <w:color w:val="auto"/>
              </w:rPr>
            </w:pPr>
            <w:r>
              <w:rPr>
                <w:rFonts w:ascii="Arial" w:cs="Arial" w:eastAsia="Arial" w:hAnsi="Arial"/>
                <w:sz w:val="13"/>
                <w:szCs w:val="13"/>
                <w:color w:val="auto"/>
              </w:rPr>
              <w:t>GMI restructuring(c)</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489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4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Ignition switch recall and related legal matters(d)</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540" w:type="dxa"/>
            <w:vAlign w:val="bottom"/>
          </w:tcPr>
          <w:p>
            <w:pPr>
              <w:ind w:left="100"/>
              <w:spacing w:after="0"/>
              <w:rPr>
                <w:sz w:val="20"/>
                <w:szCs w:val="20"/>
                <w:color w:val="auto"/>
              </w:rPr>
            </w:pPr>
            <w:r>
              <w:rPr>
                <w:rFonts w:ascii="Arial" w:cs="Arial" w:eastAsia="Arial" w:hAnsi="Arial"/>
                <w:sz w:val="13"/>
                <w:szCs w:val="13"/>
                <w:color w:val="auto"/>
              </w:rPr>
              <w:t>Transformation activities(e)</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390</w:t>
            </w:r>
          </w:p>
        </w:tc>
      </w:tr>
      <w:tr>
        <w:trPr>
          <w:trHeight w:val="172"/>
        </w:trPr>
        <w:tc>
          <w:tcPr>
            <w:tcW w:w="4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FAW-GM divestiture(f)</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5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GM Brazil indirect tax recoveries(g)</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r>
      <w:tr>
        <w:trPr>
          <w:trHeight w:val="160"/>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adjustments</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r>
      <w:tr>
        <w:trPr>
          <w:trHeight w:val="163"/>
        </w:trPr>
        <w:tc>
          <w:tcPr>
            <w:tcW w:w="4540" w:type="dxa"/>
            <w:vAlign w:val="bottom"/>
          </w:tcPr>
          <w:p>
            <w:pPr>
              <w:ind w:left="20"/>
              <w:spacing w:after="0"/>
              <w:rPr>
                <w:sz w:val="20"/>
                <w:szCs w:val="20"/>
                <w:color w:val="auto"/>
              </w:rPr>
            </w:pPr>
            <w:r>
              <w:rPr>
                <w:rFonts w:ascii="Arial" w:cs="Arial" w:eastAsia="Arial" w:hAnsi="Arial"/>
                <w:sz w:val="13"/>
                <w:szCs w:val="13"/>
                <w:color w:val="auto"/>
              </w:rPr>
              <w:t>EBIT (loss)-adjusted</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4,117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4,417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1,250</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3,712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5,284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2,966</w:t>
            </w: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recent Supreme Court of Korea decisions related to our salaried workers.</w:t>
      </w: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they relate to strategic activities to transition certain Cadillac dealers from the network as part of Cadillac's electric vehicle strategy.</w:t>
      </w:r>
    </w:p>
    <w:p>
      <w:pPr>
        <w:jc w:val="both"/>
        <w:ind w:left="260" w:hanging="255"/>
        <w:spacing w:after="0" w:line="241" w:lineRule="auto"/>
        <w:tabs>
          <w:tab w:leader="none" w:pos="254"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These adjustments primarily consist of inventory provisions in the three months ended June 30, 2020, asset impairments, dealer restructurings, employee separation charges and sales allowances in Australia, New Zealand and Thailand in the three months ended March 31, 2020, employee separation charges in the three months ended December 31, 2020, and supplier claims in the three months ended September 30, 2020.</w:t>
      </w:r>
    </w:p>
    <w:p>
      <w:pPr>
        <w:spacing w:after="0" w:line="1" w:lineRule="exact"/>
        <w:rPr>
          <w:rFonts w:ascii="Arial" w:cs="Arial" w:eastAsia="Arial" w:hAnsi="Arial"/>
          <w:sz w:val="11"/>
          <w:szCs w:val="11"/>
          <w:color w:val="auto"/>
        </w:rPr>
      </w:pP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the ignition switch recall, which included various investigations, inquiries and complaints from constituents.</w:t>
      </w:r>
    </w:p>
    <w:p>
      <w:pPr>
        <w:jc w:val="both"/>
        <w:ind w:left="260" w:hanging="255"/>
        <w:spacing w:after="0" w:line="241" w:lineRule="auto"/>
        <w:tabs>
          <w:tab w:leader="none" w:pos="249"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accelerated depreciation and employee separation charges in the three months ended December 31, 2019, and supplier-related charges and pension curtailment and other charges in the three months ended September 30, 2019.</w:t>
      </w:r>
    </w:p>
    <w:p>
      <w:pPr>
        <w:ind w:left="260" w:hanging="255"/>
        <w:spacing w:after="0" w:line="241" w:lineRule="auto"/>
        <w:tabs>
          <w:tab w:leader="none" w:pos="25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we divested our joint venture FAW-GM Light Duty Commercial Vehicle Co., Ltd. (FAW-GM), as a result of a strategic decision by both shareholders, allowing us to focus our resources on opportunities expected to deliver higher returns.</w:t>
      </w: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decisions rendered by the Superior Judicial Court of Brazil resulting in retrospective recoveries of indirect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698"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diluted earnings (loss) per common share under U.S. GAAP to EPS-diluted-adjusted (dollars in millions, except per share amounts):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5"/>
          </w:tcPr>
          <w:p>
            <w:pPr>
              <w:ind w:left="220"/>
              <w:spacing w:after="0"/>
              <w:rPr>
                <w:sz w:val="20"/>
                <w:szCs w:val="20"/>
                <w:color w:val="auto"/>
              </w:rPr>
            </w:pPr>
            <w:r>
              <w:rPr>
                <w:rFonts w:ascii="Arial" w:cs="Arial" w:eastAsia="Arial" w:hAnsi="Arial"/>
                <w:sz w:val="10"/>
                <w:szCs w:val="10"/>
                <w:b w:val="1"/>
                <w:bCs w:val="1"/>
                <w:color w:val="auto"/>
              </w:rPr>
              <w:t>Three Months Ended</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5"/>
          </w:tcPr>
          <w:p>
            <w:pPr>
              <w:ind w:left="280"/>
              <w:spacing w:after="0"/>
              <w:rPr>
                <w:sz w:val="20"/>
                <w:szCs w:val="20"/>
                <w:color w:val="auto"/>
              </w:rPr>
            </w:pPr>
            <w:r>
              <w:rPr>
                <w:rFonts w:ascii="Arial" w:cs="Arial" w:eastAsia="Arial" w:hAnsi="Arial"/>
                <w:sz w:val="10"/>
                <w:szCs w:val="10"/>
                <w:b w:val="1"/>
                <w:bCs w:val="1"/>
                <w:color w:val="auto"/>
              </w:rPr>
              <w:t>Six Months Ended</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32"/>
        </w:trPr>
        <w:tc>
          <w:tcPr>
            <w:tcW w:w="4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5"/>
          </w:tcPr>
          <w:p>
            <w:pPr>
              <w:ind w:left="380"/>
              <w:spacing w:after="0"/>
              <w:rPr>
                <w:sz w:val="20"/>
                <w:szCs w:val="20"/>
                <w:color w:val="auto"/>
              </w:rPr>
            </w:pPr>
            <w:r>
              <w:rPr>
                <w:rFonts w:ascii="Arial" w:cs="Arial" w:eastAsia="Arial" w:hAnsi="Arial"/>
                <w:sz w:val="10"/>
                <w:szCs w:val="10"/>
                <w:b w:val="1"/>
                <w:bCs w:val="1"/>
                <w:color w:val="auto"/>
              </w:rPr>
              <w:t>June 30, 2021</w:t>
            </w:r>
          </w:p>
        </w:tc>
        <w:tc>
          <w:tcPr>
            <w:tcW w:w="180" w:type="dxa"/>
            <w:vAlign w:val="bottom"/>
          </w:tcPr>
          <w:p>
            <w:pPr>
              <w:spacing w:after="0"/>
              <w:rPr>
                <w:sz w:val="11"/>
                <w:szCs w:val="11"/>
                <w:color w:val="auto"/>
              </w:rPr>
            </w:pPr>
          </w:p>
        </w:tc>
        <w:tc>
          <w:tcPr>
            <w:tcW w:w="1540" w:type="dxa"/>
            <w:vAlign w:val="bottom"/>
            <w:gridSpan w:val="4"/>
          </w:tcPr>
          <w:p>
            <w:pPr>
              <w:jc w:val="right"/>
              <w:ind w:right="480"/>
              <w:spacing w:after="0"/>
              <w:rPr>
                <w:sz w:val="20"/>
                <w:szCs w:val="20"/>
                <w:color w:val="auto"/>
              </w:rPr>
            </w:pPr>
            <w:r>
              <w:rPr>
                <w:rFonts w:ascii="Arial" w:cs="Arial" w:eastAsia="Arial" w:hAnsi="Arial"/>
                <w:sz w:val="10"/>
                <w:szCs w:val="10"/>
                <w:b w:val="1"/>
                <w:bCs w:val="1"/>
                <w:color w:val="auto"/>
              </w:rPr>
              <w:t>June 30, 2020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5"/>
          </w:tcPr>
          <w:p>
            <w:pPr>
              <w:ind w:left="360"/>
              <w:spacing w:after="0"/>
              <w:rPr>
                <w:sz w:val="20"/>
                <w:szCs w:val="20"/>
                <w:color w:val="auto"/>
              </w:rPr>
            </w:pPr>
            <w:r>
              <w:rPr>
                <w:rFonts w:ascii="Arial" w:cs="Arial" w:eastAsia="Arial" w:hAnsi="Arial"/>
                <w:sz w:val="10"/>
                <w:szCs w:val="10"/>
                <w:b w:val="1"/>
                <w:bCs w:val="1"/>
                <w:color w:val="auto"/>
              </w:rPr>
              <w:t>June 30, 2021</w:t>
            </w:r>
          </w:p>
        </w:tc>
        <w:tc>
          <w:tcPr>
            <w:tcW w:w="160" w:type="dxa"/>
            <w:vAlign w:val="bottom"/>
          </w:tcPr>
          <w:p>
            <w:pPr>
              <w:spacing w:after="0"/>
              <w:rPr>
                <w:sz w:val="11"/>
                <w:szCs w:val="11"/>
                <w:color w:val="auto"/>
              </w:rPr>
            </w:pPr>
          </w:p>
        </w:tc>
        <w:tc>
          <w:tcPr>
            <w:tcW w:w="1540" w:type="dxa"/>
            <w:vAlign w:val="bottom"/>
            <w:gridSpan w:val="4"/>
          </w:tcPr>
          <w:p>
            <w:pPr>
              <w:ind w:left="360"/>
              <w:spacing w:after="0"/>
              <w:rPr>
                <w:sz w:val="20"/>
                <w:szCs w:val="20"/>
                <w:color w:val="auto"/>
              </w:rPr>
            </w:pPr>
            <w:r>
              <w:rPr>
                <w:rFonts w:ascii="Arial" w:cs="Arial" w:eastAsia="Arial" w:hAnsi="Arial"/>
                <w:sz w:val="10"/>
                <w:szCs w:val="10"/>
                <w:b w:val="1"/>
                <w:bCs w:val="1"/>
                <w:color w:val="auto"/>
              </w:rPr>
              <w:t>June 30, 2020</w:t>
            </w:r>
          </w:p>
        </w:tc>
      </w:tr>
      <w:tr>
        <w:trPr>
          <w:trHeight w:val="114"/>
        </w:trPr>
        <w:tc>
          <w:tcPr>
            <w:tcW w:w="41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ind w:right="161"/>
              <w:spacing w:after="0"/>
              <w:rPr>
                <w:sz w:val="20"/>
                <w:szCs w:val="20"/>
                <w:color w:val="auto"/>
              </w:rPr>
            </w:pPr>
            <w:r>
              <w:rPr>
                <w:rFonts w:ascii="Arial" w:cs="Arial" w:eastAsia="Arial" w:hAnsi="Arial"/>
                <w:sz w:val="8"/>
                <w:szCs w:val="8"/>
                <w:b w:val="1"/>
                <w:bCs w:val="1"/>
                <w:color w:val="auto"/>
              </w:rPr>
              <w:t>Per Share</w:t>
            </w: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ind w:right="140"/>
              <w:spacing w:after="0"/>
              <w:rPr>
                <w:sz w:val="20"/>
                <w:szCs w:val="20"/>
                <w:color w:val="auto"/>
              </w:rPr>
            </w:pPr>
            <w:r>
              <w:rPr>
                <w:rFonts w:ascii="Arial" w:cs="Arial" w:eastAsia="Arial" w:hAnsi="Arial"/>
                <w:sz w:val="8"/>
                <w:szCs w:val="8"/>
                <w:b w:val="1"/>
                <w:bCs w:val="1"/>
                <w:color w:val="auto"/>
              </w:rPr>
              <w:t>Per Share</w:t>
            </w: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ind w:right="141"/>
              <w:spacing w:after="0"/>
              <w:rPr>
                <w:sz w:val="20"/>
                <w:szCs w:val="20"/>
                <w:color w:val="auto"/>
              </w:rPr>
            </w:pPr>
            <w:r>
              <w:rPr>
                <w:rFonts w:ascii="Arial" w:cs="Arial" w:eastAsia="Arial" w:hAnsi="Arial"/>
                <w:sz w:val="8"/>
                <w:szCs w:val="8"/>
                <w:b w:val="1"/>
                <w:bCs w:val="1"/>
                <w:color w:val="auto"/>
              </w:rPr>
              <w:t>Per Share</w:t>
            </w: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ind w:left="60"/>
              <w:spacing w:after="0"/>
              <w:rPr>
                <w:sz w:val="20"/>
                <w:szCs w:val="20"/>
                <w:color w:val="auto"/>
              </w:rPr>
            </w:pPr>
            <w:r>
              <w:rPr>
                <w:rFonts w:ascii="Arial" w:cs="Arial" w:eastAsia="Arial" w:hAnsi="Arial"/>
                <w:sz w:val="8"/>
                <w:szCs w:val="8"/>
                <w:b w:val="1"/>
                <w:bCs w:val="1"/>
                <w:color w:val="auto"/>
              </w:rPr>
              <w:t>Per Share</w:t>
            </w:r>
          </w:p>
        </w:tc>
      </w:tr>
      <w:tr>
        <w:trPr>
          <w:trHeight w:val="169"/>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earnings (loss) per common share</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2,790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1.90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5,767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3.93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center"/>
              <w:ind w:left="220"/>
              <w:spacing w:after="0"/>
              <w:rPr>
                <w:sz w:val="20"/>
                <w:szCs w:val="20"/>
                <w:color w:val="auto"/>
              </w:rPr>
            </w:pPr>
            <w:r>
              <w:rPr>
                <w:rFonts w:ascii="Arial" w:cs="Arial" w:eastAsia="Arial" w:hAnsi="Arial"/>
                <w:sz w:val="13"/>
                <w:szCs w:val="13"/>
                <w:color w:val="auto"/>
                <w:w w:val="99"/>
              </w:rPr>
              <w:t>(0.39)</w:t>
            </w:r>
          </w:p>
        </w:tc>
      </w:tr>
      <w:tr>
        <w:trPr>
          <w:trHeight w:val="168"/>
        </w:trPr>
        <w:tc>
          <w:tcPr>
            <w:tcW w:w="416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16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Arial" w:cs="Arial" w:eastAsia="Arial" w:hAnsi="Arial"/>
                <w:sz w:val="13"/>
                <w:szCs w:val="13"/>
                <w:color w:val="auto"/>
              </w:rPr>
              <w:t>0.07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3"/>
                <w:szCs w:val="13"/>
                <w:color w:val="auto"/>
              </w:rPr>
              <w:t>92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Arial" w:cs="Arial" w:eastAsia="Arial" w:hAnsi="Arial"/>
                <w:sz w:val="13"/>
                <w:szCs w:val="13"/>
                <w:color w:val="auto"/>
              </w:rPr>
              <w:t>0.06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380"/>
              <w:spacing w:after="0"/>
              <w:rPr>
                <w:sz w:val="20"/>
                <w:szCs w:val="20"/>
                <w:color w:val="auto"/>
              </w:rPr>
            </w:pPr>
            <w:r>
              <w:rPr>
                <w:rFonts w:ascii="Arial" w:cs="Arial" w:eastAsia="Arial" w:hAnsi="Arial"/>
                <w:sz w:val="13"/>
                <w:szCs w:val="13"/>
                <w:color w:val="auto"/>
              </w:rPr>
              <w:t>581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left="240"/>
              <w:spacing w:after="0"/>
              <w:rPr>
                <w:sz w:val="20"/>
                <w:szCs w:val="20"/>
                <w:color w:val="auto"/>
              </w:rPr>
            </w:pPr>
            <w:r>
              <w:rPr>
                <w:rFonts w:ascii="Arial" w:cs="Arial" w:eastAsia="Arial" w:hAnsi="Arial"/>
                <w:sz w:val="13"/>
                <w:szCs w:val="13"/>
                <w:color w:val="auto"/>
                <w:w w:val="94"/>
              </w:rPr>
              <w:t>0.41</w:t>
            </w:r>
          </w:p>
        </w:tc>
      </w:tr>
      <w:tr>
        <w:trPr>
          <w:trHeight w:val="172"/>
        </w:trPr>
        <w:tc>
          <w:tcPr>
            <w:tcW w:w="4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effect on adjustment(b)</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center"/>
              <w:ind w:left="220"/>
              <w:spacing w:after="0"/>
              <w:rPr>
                <w:sz w:val="20"/>
                <w:szCs w:val="20"/>
                <w:color w:val="auto"/>
              </w:rPr>
            </w:pPr>
            <w:r>
              <w:rPr>
                <w:rFonts w:ascii="Arial" w:cs="Arial" w:eastAsia="Arial" w:hAnsi="Arial"/>
                <w:sz w:val="13"/>
                <w:szCs w:val="13"/>
                <w:color w:val="auto"/>
                <w:w w:val="99"/>
              </w:rPr>
              <w:t>(0.05)</w:t>
            </w:r>
          </w:p>
        </w:tc>
      </w:tr>
      <w:tr>
        <w:trPr>
          <w:trHeight w:val="168"/>
        </w:trPr>
        <w:tc>
          <w:tcPr>
            <w:tcW w:w="4160" w:type="dxa"/>
            <w:vAlign w:val="bottom"/>
          </w:tcPr>
          <w:p>
            <w:pPr>
              <w:ind w:left="20"/>
              <w:spacing w:after="0"/>
              <w:rPr>
                <w:sz w:val="20"/>
                <w:szCs w:val="20"/>
                <w:color w:val="auto"/>
              </w:rPr>
            </w:pPr>
            <w:r>
              <w:rPr>
                <w:rFonts w:ascii="Arial" w:cs="Arial" w:eastAsia="Arial" w:hAnsi="Arial"/>
                <w:sz w:val="13"/>
                <w:szCs w:val="13"/>
                <w:color w:val="auto"/>
              </w:rPr>
              <w:t>Tax adjustment(c)</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Arial" w:cs="Arial" w:eastAsia="Arial" w:hAnsi="Arial"/>
                <w:sz w:val="13"/>
                <w:szCs w:val="13"/>
                <w:color w:val="auto"/>
              </w:rPr>
              <w:t>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380"/>
              <w:spacing w:after="0"/>
              <w:rPr>
                <w:sz w:val="20"/>
                <w:szCs w:val="20"/>
                <w:color w:val="auto"/>
              </w:rPr>
            </w:pPr>
            <w:r>
              <w:rPr>
                <w:rFonts w:ascii="Arial" w:cs="Arial" w:eastAsia="Arial" w:hAnsi="Arial"/>
                <w:sz w:val="13"/>
                <w:szCs w:val="13"/>
                <w:color w:val="auto"/>
              </w:rPr>
              <w:t>236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left="240"/>
              <w:spacing w:after="0"/>
              <w:rPr>
                <w:sz w:val="20"/>
                <w:szCs w:val="20"/>
                <w:color w:val="auto"/>
              </w:rPr>
            </w:pPr>
            <w:r>
              <w:rPr>
                <w:rFonts w:ascii="Arial" w:cs="Arial" w:eastAsia="Arial" w:hAnsi="Arial"/>
                <w:sz w:val="13"/>
                <w:szCs w:val="13"/>
                <w:color w:val="auto"/>
                <w:w w:val="94"/>
              </w:rPr>
              <w:t>0.16</w:t>
            </w:r>
          </w:p>
        </w:tc>
      </w:tr>
      <w:tr>
        <w:trPr>
          <w:trHeight w:val="18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EPS-diluted-adjusted</w:t>
            </w: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2,885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1.97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6,178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4.21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rPr>
              <w:t>190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center"/>
              <w:ind w:left="240"/>
              <w:spacing w:after="0"/>
              <w:rPr>
                <w:sz w:val="20"/>
                <w:szCs w:val="20"/>
                <w:color w:val="auto"/>
              </w:rPr>
            </w:pPr>
            <w:r>
              <w:rPr>
                <w:rFonts w:ascii="Arial" w:cs="Arial" w:eastAsia="Arial" w:hAnsi="Arial"/>
                <w:sz w:val="13"/>
                <w:szCs w:val="13"/>
                <w:color w:val="auto"/>
                <w:w w:val="94"/>
              </w:rPr>
              <w:t>0.13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Refer to the reconciliation of Net income attributable to stockholders under U.S. GAAP to segment profit (loss) for adjustment details.</w:t>
      </w: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tax effect of each adjustment is determined based on the tax laws and valuation allowance status of the jurisdiction to which the adjustment relates.</w:t>
      </w:r>
    </w:p>
    <w:p>
      <w:pPr>
        <w:ind w:left="260" w:hanging="255"/>
        <w:spacing w:after="0" w:line="260" w:lineRule="auto"/>
        <w:tabs>
          <w:tab w:leader="none" w:pos="254"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These adjustments consist of tax expense related to the establishment of a valuation allowance against deferred tax assets that are considered no longer realizable for Cruise in the six months ended June 30, 2021 and for GM in Australia and New Zealand for the six months ended June 30, 2020. These adjustments were excluded because significant impacts of valuation allowances are not considered part of our core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our effective tax rate under U.S. GAAP to ETR-adjusted (dollars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5"/>
          </w:tcPr>
          <w:p>
            <w:pPr>
              <w:ind w:left="360"/>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5"/>
          </w:tcPr>
          <w:p>
            <w:pPr>
              <w:ind w:left="440"/>
              <w:spacing w:after="0"/>
              <w:rPr>
                <w:sz w:val="20"/>
                <w:szCs w:val="20"/>
                <w:color w:val="auto"/>
              </w:rPr>
            </w:pPr>
            <w:r>
              <w:rPr>
                <w:rFonts w:ascii="Arial" w:cs="Arial" w:eastAsia="Arial" w:hAnsi="Arial"/>
                <w:sz w:val="10"/>
                <w:szCs w:val="10"/>
                <w:b w:val="1"/>
                <w:bCs w:val="1"/>
                <w:color w:val="auto"/>
              </w:rPr>
              <w:t>Six Months Ended</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32"/>
        </w:trPr>
        <w:tc>
          <w:tcPr>
            <w:tcW w:w="1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rPr>
              <w:t>June 30, 2021</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rPr>
              <w:t>June 30, 2020</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rPr>
              <w:t>June 30, 2021</w:t>
            </w: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rPr>
              <w:t>June 30, 2020</w:t>
            </w:r>
          </w:p>
        </w:tc>
        <w:tc>
          <w:tcPr>
            <w:tcW w:w="800" w:type="dxa"/>
            <w:vAlign w:val="bottom"/>
            <w:tcBorders>
              <w:bottom w:val="single" w:sz="8" w:color="auto"/>
            </w:tcBorders>
          </w:tcPr>
          <w:p>
            <w:pPr>
              <w:spacing w:after="0"/>
              <w:rPr>
                <w:sz w:val="11"/>
                <w:szCs w:val="11"/>
                <w:color w:val="auto"/>
              </w:rPr>
            </w:pPr>
          </w:p>
        </w:tc>
      </w:tr>
      <w:tr>
        <w:trPr>
          <w:trHeight w:val="90"/>
        </w:trPr>
        <w:tc>
          <w:tcPr>
            <w:tcW w:w="1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tcPr>
          <w:p>
            <w:pPr>
              <w:jc w:val="center"/>
              <w:ind w:right="220"/>
              <w:spacing w:after="0" w:line="91" w:lineRule="exact"/>
              <w:rPr>
                <w:sz w:val="20"/>
                <w:szCs w:val="20"/>
                <w:color w:val="auto"/>
              </w:rPr>
            </w:pPr>
            <w:r>
              <w:rPr>
                <w:rFonts w:ascii="Arial" w:cs="Arial" w:eastAsia="Arial" w:hAnsi="Arial"/>
                <w:sz w:val="10"/>
                <w:szCs w:val="10"/>
                <w:b w:val="1"/>
                <w:bCs w:val="1"/>
                <w:color w:val="auto"/>
                <w:w w:val="96"/>
              </w:rPr>
              <w:t>Income</w:t>
            </w: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tcPr>
          <w:p>
            <w:pPr>
              <w:jc w:val="center"/>
              <w:ind w:right="220"/>
              <w:spacing w:after="0" w:line="91" w:lineRule="exact"/>
              <w:rPr>
                <w:sz w:val="20"/>
                <w:szCs w:val="20"/>
                <w:color w:val="auto"/>
              </w:rPr>
            </w:pPr>
            <w:r>
              <w:rPr>
                <w:rFonts w:ascii="Arial" w:cs="Arial" w:eastAsia="Arial" w:hAnsi="Arial"/>
                <w:sz w:val="10"/>
                <w:szCs w:val="10"/>
                <w:b w:val="1"/>
                <w:bCs w:val="1"/>
                <w:color w:val="auto"/>
                <w:w w:val="96"/>
              </w:rPr>
              <w:t>Income</w:t>
            </w: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06"/>
        </w:trPr>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center"/>
              <w:ind w:right="220"/>
              <w:spacing w:after="0" w:line="106" w:lineRule="exact"/>
              <w:rPr>
                <w:sz w:val="20"/>
                <w:szCs w:val="20"/>
                <w:color w:val="auto"/>
              </w:rPr>
            </w:pPr>
            <w:r>
              <w:rPr>
                <w:rFonts w:ascii="Arial" w:cs="Arial" w:eastAsia="Arial" w:hAnsi="Arial"/>
                <w:sz w:val="10"/>
                <w:szCs w:val="10"/>
                <w:b w:val="1"/>
                <w:bCs w:val="1"/>
                <w:color w:val="auto"/>
                <w:w w:val="98"/>
              </w:rPr>
              <w:t>before</w:t>
            </w:r>
          </w:p>
        </w:tc>
        <w:tc>
          <w:tcPr>
            <w:tcW w:w="780" w:type="dxa"/>
            <w:vAlign w:val="bottom"/>
            <w:gridSpan w:val="3"/>
          </w:tcPr>
          <w:p>
            <w:pPr>
              <w:ind w:left="80"/>
              <w:spacing w:after="0" w:line="106" w:lineRule="exact"/>
              <w:rPr>
                <w:sz w:val="20"/>
                <w:szCs w:val="20"/>
                <w:color w:val="auto"/>
              </w:rPr>
            </w:pPr>
            <w:r>
              <w:rPr>
                <w:rFonts w:ascii="Arial" w:cs="Arial" w:eastAsia="Arial" w:hAnsi="Arial"/>
                <w:sz w:val="10"/>
                <w:szCs w:val="10"/>
                <w:b w:val="1"/>
                <w:bCs w:val="1"/>
                <w:color w:val="auto"/>
              </w:rPr>
              <w:t>Income tax</w:t>
            </w:r>
          </w:p>
        </w:tc>
        <w:tc>
          <w:tcPr>
            <w:tcW w:w="900" w:type="dxa"/>
            <w:vAlign w:val="bottom"/>
            <w:gridSpan w:val="2"/>
          </w:tcPr>
          <w:p>
            <w:pPr>
              <w:jc w:val="center"/>
              <w:ind w:right="100"/>
              <w:spacing w:after="0" w:line="106" w:lineRule="exact"/>
              <w:rPr>
                <w:sz w:val="20"/>
                <w:szCs w:val="20"/>
                <w:color w:val="auto"/>
              </w:rPr>
            </w:pPr>
            <w:r>
              <w:rPr>
                <w:rFonts w:ascii="Arial" w:cs="Arial" w:eastAsia="Arial" w:hAnsi="Arial"/>
                <w:sz w:val="10"/>
                <w:szCs w:val="10"/>
                <w:b w:val="1"/>
                <w:bCs w:val="1"/>
                <w:color w:val="auto"/>
              </w:rPr>
              <w:t>Effective tax</w:t>
            </w:r>
          </w:p>
        </w:tc>
        <w:tc>
          <w:tcPr>
            <w:tcW w:w="120" w:type="dxa"/>
            <w:vAlign w:val="bottom"/>
          </w:tcPr>
          <w:p>
            <w:pPr>
              <w:spacing w:after="0"/>
              <w:rPr>
                <w:sz w:val="9"/>
                <w:szCs w:val="9"/>
                <w:color w:val="auto"/>
              </w:rPr>
            </w:pPr>
          </w:p>
        </w:tc>
        <w:tc>
          <w:tcPr>
            <w:tcW w:w="640" w:type="dxa"/>
            <w:vAlign w:val="bottom"/>
            <w:gridSpan w:val="2"/>
          </w:tcPr>
          <w:p>
            <w:pPr>
              <w:jc w:val="center"/>
              <w:ind w:right="220"/>
              <w:spacing w:after="0" w:line="106" w:lineRule="exact"/>
              <w:rPr>
                <w:sz w:val="20"/>
                <w:szCs w:val="20"/>
                <w:color w:val="auto"/>
              </w:rPr>
            </w:pPr>
            <w:r>
              <w:rPr>
                <w:rFonts w:ascii="Arial" w:cs="Arial" w:eastAsia="Arial" w:hAnsi="Arial"/>
                <w:sz w:val="10"/>
                <w:szCs w:val="10"/>
                <w:b w:val="1"/>
                <w:bCs w:val="1"/>
                <w:color w:val="auto"/>
                <w:w w:val="98"/>
              </w:rPr>
              <w:t>before</w:t>
            </w:r>
          </w:p>
        </w:tc>
        <w:tc>
          <w:tcPr>
            <w:tcW w:w="780" w:type="dxa"/>
            <w:vAlign w:val="bottom"/>
            <w:gridSpan w:val="3"/>
          </w:tcPr>
          <w:p>
            <w:pPr>
              <w:ind w:left="80"/>
              <w:spacing w:after="0" w:line="106" w:lineRule="exact"/>
              <w:rPr>
                <w:sz w:val="20"/>
                <w:szCs w:val="20"/>
                <w:color w:val="auto"/>
              </w:rPr>
            </w:pPr>
            <w:r>
              <w:rPr>
                <w:rFonts w:ascii="Arial" w:cs="Arial" w:eastAsia="Arial" w:hAnsi="Arial"/>
                <w:sz w:val="10"/>
                <w:szCs w:val="10"/>
                <w:b w:val="1"/>
                <w:bCs w:val="1"/>
                <w:color w:val="auto"/>
              </w:rPr>
              <w:t>Income tax</w:t>
            </w:r>
          </w:p>
        </w:tc>
        <w:tc>
          <w:tcPr>
            <w:tcW w:w="900" w:type="dxa"/>
            <w:vAlign w:val="bottom"/>
            <w:gridSpan w:val="2"/>
          </w:tcPr>
          <w:p>
            <w:pPr>
              <w:jc w:val="center"/>
              <w:ind w:right="100"/>
              <w:spacing w:after="0" w:line="106" w:lineRule="exact"/>
              <w:rPr>
                <w:sz w:val="20"/>
                <w:szCs w:val="20"/>
                <w:color w:val="auto"/>
              </w:rPr>
            </w:pPr>
            <w:r>
              <w:rPr>
                <w:rFonts w:ascii="Arial" w:cs="Arial" w:eastAsia="Arial" w:hAnsi="Arial"/>
                <w:sz w:val="10"/>
                <w:szCs w:val="10"/>
                <w:b w:val="1"/>
                <w:bCs w:val="1"/>
                <w:color w:val="auto"/>
              </w:rPr>
              <w:t>Effective tax</w:t>
            </w:r>
          </w:p>
        </w:tc>
        <w:tc>
          <w:tcPr>
            <w:tcW w:w="780" w:type="dxa"/>
            <w:vAlign w:val="bottom"/>
            <w:gridSpan w:val="3"/>
          </w:tcPr>
          <w:p>
            <w:pPr>
              <w:jc w:val="center"/>
              <w:ind w:right="120"/>
              <w:spacing w:after="0"/>
              <w:rPr>
                <w:sz w:val="20"/>
                <w:szCs w:val="20"/>
                <w:color w:val="auto"/>
              </w:rPr>
            </w:pPr>
            <w:r>
              <w:rPr>
                <w:rFonts w:ascii="Arial" w:cs="Arial" w:eastAsia="Arial" w:hAnsi="Arial"/>
                <w:sz w:val="8"/>
                <w:szCs w:val="8"/>
                <w:b w:val="1"/>
                <w:bCs w:val="1"/>
                <w:color w:val="auto"/>
              </w:rPr>
              <w:t>Income before</w:t>
            </w:r>
          </w:p>
        </w:tc>
        <w:tc>
          <w:tcPr>
            <w:tcW w:w="100" w:type="dxa"/>
            <w:vAlign w:val="bottom"/>
          </w:tcPr>
          <w:p>
            <w:pPr>
              <w:spacing w:after="0"/>
              <w:rPr>
                <w:sz w:val="9"/>
                <w:szCs w:val="9"/>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rPr>
              <w:t>Income tax</w:t>
            </w:r>
          </w:p>
        </w:tc>
        <w:tc>
          <w:tcPr>
            <w:tcW w:w="900" w:type="dxa"/>
            <w:vAlign w:val="bottom"/>
            <w:gridSpan w:val="2"/>
          </w:tcPr>
          <w:p>
            <w:pPr>
              <w:jc w:val="center"/>
              <w:ind w:right="80"/>
              <w:spacing w:after="0" w:line="106" w:lineRule="exact"/>
              <w:rPr>
                <w:sz w:val="20"/>
                <w:szCs w:val="20"/>
                <w:color w:val="auto"/>
              </w:rPr>
            </w:pPr>
            <w:r>
              <w:rPr>
                <w:rFonts w:ascii="Arial" w:cs="Arial" w:eastAsia="Arial" w:hAnsi="Arial"/>
                <w:sz w:val="10"/>
                <w:szCs w:val="10"/>
                <w:b w:val="1"/>
                <w:bCs w:val="1"/>
                <w:color w:val="auto"/>
                <w:w w:val="98"/>
              </w:rPr>
              <w:t>Effective tax</w:t>
            </w:r>
          </w:p>
        </w:tc>
        <w:tc>
          <w:tcPr>
            <w:tcW w:w="800" w:type="dxa"/>
            <w:vAlign w:val="bottom"/>
            <w:gridSpan w:val="3"/>
          </w:tcPr>
          <w:p>
            <w:pPr>
              <w:jc w:val="center"/>
              <w:ind w:right="100"/>
              <w:spacing w:after="0"/>
              <w:rPr>
                <w:sz w:val="20"/>
                <w:szCs w:val="20"/>
                <w:color w:val="auto"/>
              </w:rPr>
            </w:pPr>
            <w:r>
              <w:rPr>
                <w:rFonts w:ascii="Arial" w:cs="Arial" w:eastAsia="Arial" w:hAnsi="Arial"/>
                <w:sz w:val="8"/>
                <w:szCs w:val="8"/>
                <w:b w:val="1"/>
                <w:bCs w:val="1"/>
                <w:color w:val="auto"/>
              </w:rPr>
              <w:t>Income before</w:t>
            </w:r>
          </w:p>
        </w:tc>
        <w:tc>
          <w:tcPr>
            <w:tcW w:w="100" w:type="dxa"/>
            <w:vAlign w:val="bottom"/>
          </w:tcPr>
          <w:p>
            <w:pPr>
              <w:spacing w:after="0"/>
              <w:rPr>
                <w:sz w:val="9"/>
                <w:szCs w:val="9"/>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rPr>
              <w:t>Income tax</w:t>
            </w:r>
          </w:p>
        </w:tc>
        <w:tc>
          <w:tcPr>
            <w:tcW w:w="800" w:type="dxa"/>
            <w:vAlign w:val="bottom"/>
          </w:tcPr>
          <w:p>
            <w:pPr>
              <w:jc w:val="right"/>
              <w:ind w:right="43"/>
              <w:spacing w:after="0" w:line="106" w:lineRule="exact"/>
              <w:rPr>
                <w:sz w:val="20"/>
                <w:szCs w:val="20"/>
                <w:color w:val="auto"/>
              </w:rPr>
            </w:pPr>
            <w:r>
              <w:rPr>
                <w:rFonts w:ascii="Arial" w:cs="Arial" w:eastAsia="Arial" w:hAnsi="Arial"/>
                <w:sz w:val="10"/>
                <w:szCs w:val="10"/>
                <w:b w:val="1"/>
                <w:bCs w:val="1"/>
                <w:color w:val="auto"/>
              </w:rPr>
              <w:t>Effective tax</w:t>
            </w:r>
          </w:p>
        </w:tc>
      </w:tr>
      <w:tr>
        <w:trPr>
          <w:trHeight w:val="127"/>
        </w:trPr>
        <w:tc>
          <w:tcPr>
            <w:tcW w:w="1560" w:type="dxa"/>
            <w:vAlign w:val="bottom"/>
          </w:tcPr>
          <w:p>
            <w:pPr>
              <w:spacing w:after="0"/>
              <w:rPr>
                <w:sz w:val="11"/>
                <w:szCs w:val="11"/>
                <w:color w:val="auto"/>
              </w:rPr>
            </w:pPr>
          </w:p>
        </w:tc>
        <w:tc>
          <w:tcPr>
            <w:tcW w:w="760" w:type="dxa"/>
            <w:vAlign w:val="bottom"/>
            <w:gridSpan w:val="3"/>
          </w:tcPr>
          <w:p>
            <w:pPr>
              <w:ind w:left="20"/>
              <w:spacing w:after="0"/>
              <w:rPr>
                <w:sz w:val="20"/>
                <w:szCs w:val="20"/>
                <w:color w:val="auto"/>
              </w:rPr>
            </w:pPr>
            <w:r>
              <w:rPr>
                <w:rFonts w:ascii="Arial" w:cs="Arial" w:eastAsia="Arial" w:hAnsi="Arial"/>
                <w:sz w:val="10"/>
                <w:szCs w:val="10"/>
                <w:b w:val="1"/>
                <w:bCs w:val="1"/>
                <w:color w:val="auto"/>
              </w:rPr>
              <w:t>income taxes</w:t>
            </w:r>
          </w:p>
        </w:tc>
        <w:tc>
          <w:tcPr>
            <w:tcW w:w="12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0"/>
                <w:szCs w:val="10"/>
                <w:b w:val="1"/>
                <w:bCs w:val="1"/>
                <w:color w:val="auto"/>
              </w:rPr>
              <w:t>expense</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rate</w:t>
            </w:r>
          </w:p>
        </w:tc>
        <w:tc>
          <w:tcPr>
            <w:tcW w:w="760" w:type="dxa"/>
            <w:vAlign w:val="bottom"/>
            <w:gridSpan w:val="3"/>
          </w:tcPr>
          <w:p>
            <w:pPr>
              <w:ind w:left="20"/>
              <w:spacing w:after="0"/>
              <w:rPr>
                <w:sz w:val="20"/>
                <w:szCs w:val="20"/>
                <w:color w:val="auto"/>
              </w:rPr>
            </w:pPr>
            <w:r>
              <w:rPr>
                <w:rFonts w:ascii="Arial" w:cs="Arial" w:eastAsia="Arial" w:hAnsi="Arial"/>
                <w:sz w:val="10"/>
                <w:szCs w:val="10"/>
                <w:b w:val="1"/>
                <w:bCs w:val="1"/>
                <w:color w:val="auto"/>
              </w:rPr>
              <w:t>income taxes</w:t>
            </w:r>
          </w:p>
        </w:tc>
        <w:tc>
          <w:tcPr>
            <w:tcW w:w="12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0"/>
                <w:szCs w:val="10"/>
                <w:b w:val="1"/>
                <w:bCs w:val="1"/>
                <w:color w:val="auto"/>
              </w:rPr>
              <w:t>expense</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rate</w:t>
            </w:r>
          </w:p>
        </w:tc>
        <w:tc>
          <w:tcPr>
            <w:tcW w:w="780" w:type="dxa"/>
            <w:vAlign w:val="bottom"/>
            <w:gridSpan w:val="3"/>
          </w:tcPr>
          <w:p>
            <w:pPr>
              <w:jc w:val="center"/>
              <w:ind w:right="100"/>
              <w:spacing w:after="0"/>
              <w:rPr>
                <w:sz w:val="20"/>
                <w:szCs w:val="20"/>
                <w:color w:val="auto"/>
              </w:rPr>
            </w:pPr>
            <w:r>
              <w:rPr>
                <w:rFonts w:ascii="Arial" w:cs="Arial" w:eastAsia="Arial" w:hAnsi="Arial"/>
                <w:sz w:val="8"/>
                <w:szCs w:val="8"/>
                <w:b w:val="1"/>
                <w:bCs w:val="1"/>
                <w:color w:val="auto"/>
              </w:rPr>
              <w:t>income taxes</w:t>
            </w:r>
          </w:p>
        </w:tc>
        <w:tc>
          <w:tcPr>
            <w:tcW w:w="10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rPr>
              <w:t>expense</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rate</w:t>
            </w:r>
          </w:p>
        </w:tc>
        <w:tc>
          <w:tcPr>
            <w:tcW w:w="800" w:type="dxa"/>
            <w:vAlign w:val="bottom"/>
            <w:gridSpan w:val="3"/>
          </w:tcPr>
          <w:p>
            <w:pPr>
              <w:jc w:val="center"/>
              <w:ind w:right="100"/>
              <w:spacing w:after="0"/>
              <w:rPr>
                <w:sz w:val="20"/>
                <w:szCs w:val="20"/>
                <w:color w:val="auto"/>
              </w:rPr>
            </w:pPr>
            <w:r>
              <w:rPr>
                <w:rFonts w:ascii="Arial" w:cs="Arial" w:eastAsia="Arial" w:hAnsi="Arial"/>
                <w:sz w:val="8"/>
                <w:szCs w:val="8"/>
                <w:b w:val="1"/>
                <w:bCs w:val="1"/>
                <w:color w:val="auto"/>
              </w:rPr>
              <w:t>income taxes</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expense</w:t>
            </w:r>
          </w:p>
        </w:tc>
        <w:tc>
          <w:tcPr>
            <w:tcW w:w="800" w:type="dxa"/>
            <w:vAlign w:val="bottom"/>
          </w:tcPr>
          <w:p>
            <w:pPr>
              <w:jc w:val="right"/>
              <w:ind w:right="243"/>
              <w:spacing w:after="0"/>
              <w:rPr>
                <w:sz w:val="20"/>
                <w:szCs w:val="20"/>
                <w:color w:val="auto"/>
              </w:rPr>
            </w:pPr>
            <w:r>
              <w:rPr>
                <w:rFonts w:ascii="Arial" w:cs="Arial" w:eastAsia="Arial" w:hAnsi="Arial"/>
                <w:sz w:val="10"/>
                <w:szCs w:val="10"/>
                <w:b w:val="1"/>
                <w:bCs w:val="1"/>
                <w:color w:val="auto"/>
              </w:rPr>
              <w:t>rate</w:t>
            </w:r>
          </w:p>
        </w:tc>
      </w:tr>
      <w:tr>
        <w:trPr>
          <w:trHeight w:val="160"/>
        </w:trPr>
        <w:tc>
          <w:tcPr>
            <w:tcW w:w="1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3,750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971</w:t>
            </w: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25.9 %</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(892)</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12.6 %</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2,148</w:t>
            </w: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27.0 %</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245</w:t>
            </w: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68"/>
        </w:trPr>
        <w:tc>
          <w:tcPr>
            <w:tcW w:w="156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Arial" w:cs="Arial" w:eastAsia="Arial" w:hAnsi="Arial"/>
                <w:sz w:val="13"/>
                <w:szCs w:val="13"/>
                <w:color w:val="auto"/>
              </w:rPr>
              <w:t>124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Arial" w:cs="Arial" w:eastAsia="Arial" w:hAnsi="Arial"/>
                <w:sz w:val="13"/>
                <w:szCs w:val="13"/>
                <w:color w:val="auto"/>
              </w:rPr>
              <w:t>92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1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adjustment(b)</w:t>
            </w: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3"/>
        </w:trPr>
        <w:tc>
          <w:tcPr>
            <w:tcW w:w="1560" w:type="dxa"/>
            <w:vAlign w:val="bottom"/>
          </w:tcPr>
          <w:p>
            <w:pPr>
              <w:ind w:left="20"/>
              <w:spacing w:after="0"/>
              <w:rPr>
                <w:sz w:val="20"/>
                <w:szCs w:val="20"/>
                <w:color w:val="auto"/>
              </w:rPr>
            </w:pPr>
            <w:r>
              <w:rPr>
                <w:rFonts w:ascii="Arial" w:cs="Arial" w:eastAsia="Arial" w:hAnsi="Arial"/>
                <w:sz w:val="13"/>
                <w:szCs w:val="13"/>
                <w:color w:val="auto"/>
              </w:rPr>
              <w:t>ETR-adjusted</w:t>
            </w: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3,874</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975</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25.2 %</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(800)</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14.6 %</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67"/>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8,065</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1,836</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22.8 %</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23.2 %</w:t>
            </w:r>
          </w:p>
        </w:tc>
      </w:tr>
      <w:tr>
        <w:trPr>
          <w:trHeight w:val="20"/>
        </w:trPr>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n.m. = not meaningful</w:t>
      </w:r>
    </w:p>
    <w:p>
      <w:pPr>
        <w:spacing w:after="0" w:line="192" w:lineRule="exact"/>
        <w:rPr>
          <w:sz w:val="20"/>
          <w:szCs w:val="20"/>
          <w:color w:val="auto"/>
        </w:rPr>
      </w:pPr>
    </w:p>
    <w:p>
      <w:pPr>
        <w:ind w:left="260" w:hanging="255"/>
        <w:spacing w:after="0" w:line="241" w:lineRule="auto"/>
        <w:tabs>
          <w:tab w:leader="none" w:pos="249"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Net income attributable to stockholders under U.S. GAAP to segment profit (loss) for adjustment details. These adjustments include Net income attributable to non controlling interests where applicable. The tax effect of each adjustment is determined based on the tax laws and valuation allowance status of the jurisdiction to which the adjustment relates.</w:t>
      </w: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diluted earnings per common share under U.S. GAAP to EPS-diluted-adjusted within the previous section for adjustment details.</w:t>
      </w:r>
    </w:p>
    <w:p>
      <w:pPr>
        <w:spacing w:after="0" w:line="190" w:lineRule="exact"/>
        <w:rPr>
          <w:sz w:val="20"/>
          <w:szCs w:val="20"/>
          <w:color w:val="auto"/>
        </w:rPr>
      </w:pPr>
    </w:p>
    <w:p>
      <w:pPr>
        <w:ind w:firstLine="127"/>
        <w:spacing w:after="0" w:line="244" w:lineRule="auto"/>
        <w:rPr>
          <w:sz w:val="20"/>
          <w:szCs w:val="20"/>
          <w:color w:val="auto"/>
        </w:rPr>
      </w:pPr>
      <w:r>
        <w:rPr>
          <w:rFonts w:ascii="Arial" w:cs="Arial" w:eastAsia="Arial" w:hAnsi="Arial"/>
          <w:sz w:val="13"/>
          <w:szCs w:val="13"/>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72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w w:val="99"/>
              </w:rPr>
              <w:t>Four Quarters Ended</w:t>
            </w:r>
          </w:p>
        </w:tc>
        <w:tc>
          <w:tcPr>
            <w:tcW w:w="1240" w:type="dxa"/>
            <w:vAlign w:val="bottom"/>
            <w:tcBorders>
              <w:bottom w:val="single" w:sz="8" w:color="auto"/>
            </w:tcBorders>
          </w:tcPr>
          <w:p>
            <w:pPr>
              <w:spacing w:after="0"/>
              <w:rPr>
                <w:sz w:val="11"/>
                <w:szCs w:val="11"/>
                <w:color w:val="auto"/>
              </w:rPr>
            </w:pPr>
          </w:p>
        </w:tc>
      </w:tr>
      <w:tr>
        <w:trPr>
          <w:trHeight w:val="132"/>
        </w:trPr>
        <w:tc>
          <w:tcPr>
            <w:tcW w:w="772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2021</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0"/>
                <w:szCs w:val="10"/>
                <w:b w:val="1"/>
                <w:bCs w:val="1"/>
                <w:color w:val="auto"/>
              </w:rPr>
              <w:t>June 30, 2020</w:t>
            </w:r>
          </w:p>
        </w:tc>
      </w:tr>
      <w:tr>
        <w:trPr>
          <w:trHeight w:val="165"/>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1240" w:type="dxa"/>
            <w:vAlign w:val="bottom"/>
            <w:shd w:val="clear" w:color="auto" w:fill="CCEEFF"/>
          </w:tcPr>
          <w:p>
            <w:pPr>
              <w:jc w:val="right"/>
              <w:ind w:right="1081"/>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12.7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1.7</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Average equity(a)</w:t>
            </w:r>
          </w:p>
        </w:tc>
        <w:tc>
          <w:tcPr>
            <w:tcW w:w="1240" w:type="dxa"/>
            <w:vAlign w:val="bottom"/>
          </w:tcPr>
          <w:p>
            <w:pPr>
              <w:jc w:val="right"/>
              <w:ind w:right="1081"/>
              <w:spacing w:after="0"/>
              <w:rPr>
                <w:sz w:val="20"/>
                <w:szCs w:val="20"/>
                <w:color w:val="auto"/>
              </w:rPr>
            </w:pPr>
            <w:r>
              <w:rPr>
                <w:rFonts w:ascii="Arial" w:cs="Arial" w:eastAsia="Arial" w:hAnsi="Arial"/>
                <w:sz w:val="13"/>
                <w:szCs w:val="13"/>
                <w:color w:val="auto"/>
              </w:rPr>
              <w:t>$</w:t>
            </w:r>
          </w:p>
        </w:tc>
        <w:tc>
          <w:tcPr>
            <w:tcW w:w="500" w:type="dxa"/>
            <w:vAlign w:val="bottom"/>
          </w:tcPr>
          <w:p>
            <w:pPr>
              <w:ind w:left="80"/>
              <w:spacing w:after="0"/>
              <w:rPr>
                <w:sz w:val="20"/>
                <w:szCs w:val="20"/>
                <w:color w:val="auto"/>
              </w:rPr>
            </w:pPr>
            <w:r>
              <w:rPr>
                <w:rFonts w:ascii="Arial" w:cs="Arial" w:eastAsia="Arial" w:hAnsi="Arial"/>
                <w:sz w:val="13"/>
                <w:szCs w:val="13"/>
                <w:color w:val="auto"/>
              </w:rPr>
              <w:t>49.2</w:t>
            </w: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100"/>
              <w:spacing w:after="0"/>
              <w:rPr>
                <w:sz w:val="20"/>
                <w:szCs w:val="20"/>
                <w:color w:val="auto"/>
              </w:rPr>
            </w:pPr>
            <w:r>
              <w:rPr>
                <w:rFonts w:ascii="Arial" w:cs="Arial" w:eastAsia="Arial" w:hAnsi="Arial"/>
                <w:sz w:val="13"/>
                <w:szCs w:val="13"/>
                <w:color w:val="auto"/>
              </w:rPr>
              <w:t>42.8</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ROE</w:t>
            </w:r>
          </w:p>
        </w:tc>
        <w:tc>
          <w:tcPr>
            <w:tcW w:w="1240" w:type="dxa"/>
            <w:vAlign w:val="bottom"/>
            <w:shd w:val="clear" w:color="auto" w:fill="CCEEFF"/>
          </w:tcPr>
          <w:p>
            <w:pPr>
              <w:spacing w:after="0"/>
              <w:rPr>
                <w:sz w:val="14"/>
                <w:szCs w:val="14"/>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25.9 %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4.0 %</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Includes equity of noncontrolling interests where the corresponding earnings (loss) are included in Net income (loss) attributable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698"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the calculation of ROIC-adjusted (dollars in billions):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72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w w:val="99"/>
              </w:rPr>
              <w:t>Four Quarters Ended</w:t>
            </w:r>
          </w:p>
        </w:tc>
        <w:tc>
          <w:tcPr>
            <w:tcW w:w="1240" w:type="dxa"/>
            <w:vAlign w:val="bottom"/>
            <w:tcBorders>
              <w:bottom w:val="single" w:sz="8" w:color="auto"/>
            </w:tcBorders>
          </w:tcPr>
          <w:p>
            <w:pPr>
              <w:spacing w:after="0"/>
              <w:rPr>
                <w:sz w:val="11"/>
                <w:szCs w:val="11"/>
                <w:color w:val="auto"/>
              </w:rPr>
            </w:pPr>
          </w:p>
        </w:tc>
      </w:tr>
      <w:tr>
        <w:trPr>
          <w:trHeight w:val="132"/>
        </w:trPr>
        <w:tc>
          <w:tcPr>
            <w:tcW w:w="772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2021</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478"/>
              <w:spacing w:after="0"/>
              <w:rPr>
                <w:sz w:val="20"/>
                <w:szCs w:val="20"/>
                <w:color w:val="auto"/>
              </w:rPr>
            </w:pPr>
            <w:r>
              <w:rPr>
                <w:rFonts w:ascii="Arial" w:cs="Arial" w:eastAsia="Arial" w:hAnsi="Arial"/>
                <w:sz w:val="10"/>
                <w:szCs w:val="10"/>
                <w:b w:val="1"/>
                <w:bCs w:val="1"/>
                <w:color w:val="auto"/>
              </w:rPr>
              <w:t>June 30, 2020</w:t>
            </w:r>
          </w:p>
        </w:tc>
      </w:tr>
      <w:tr>
        <w:trPr>
          <w:trHeight w:val="165"/>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 (loss)-adjusted(a)</w:t>
            </w:r>
          </w:p>
        </w:tc>
        <w:tc>
          <w:tcPr>
            <w:tcW w:w="1240" w:type="dxa"/>
            <w:vAlign w:val="bottom"/>
            <w:shd w:val="clear" w:color="auto" w:fill="CCEEFF"/>
          </w:tcPr>
          <w:p>
            <w:pPr>
              <w:jc w:val="right"/>
              <w:ind w:right="108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3.8</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Average equity(b)</w:t>
            </w:r>
          </w:p>
        </w:tc>
        <w:tc>
          <w:tcPr>
            <w:tcW w:w="1240" w:type="dxa"/>
            <w:vAlign w:val="bottom"/>
          </w:tcPr>
          <w:p>
            <w:pPr>
              <w:jc w:val="right"/>
              <w:ind w:right="1080"/>
              <w:spacing w:after="0"/>
              <w:rPr>
                <w:sz w:val="20"/>
                <w:szCs w:val="20"/>
                <w:color w:val="auto"/>
              </w:rPr>
            </w:pPr>
            <w:r>
              <w:rPr>
                <w:rFonts w:ascii="Arial" w:cs="Arial" w:eastAsia="Arial" w:hAnsi="Arial"/>
                <w:sz w:val="13"/>
                <w:szCs w:val="13"/>
                <w:color w:val="auto"/>
              </w:rPr>
              <w:t>$</w:t>
            </w:r>
          </w:p>
        </w:tc>
        <w:tc>
          <w:tcPr>
            <w:tcW w:w="500" w:type="dxa"/>
            <w:vAlign w:val="bottom"/>
          </w:tcPr>
          <w:p>
            <w:pPr>
              <w:ind w:left="80"/>
              <w:spacing w:after="0"/>
              <w:rPr>
                <w:sz w:val="20"/>
                <w:szCs w:val="20"/>
                <w:color w:val="auto"/>
              </w:rPr>
            </w:pPr>
            <w:r>
              <w:rPr>
                <w:rFonts w:ascii="Arial" w:cs="Arial" w:eastAsia="Arial" w:hAnsi="Arial"/>
                <w:sz w:val="13"/>
                <w:szCs w:val="13"/>
                <w:color w:val="auto"/>
              </w:rPr>
              <w:t>49.2</w:t>
            </w: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98"/>
              <w:spacing w:after="0"/>
              <w:rPr>
                <w:sz w:val="20"/>
                <w:szCs w:val="20"/>
                <w:color w:val="auto"/>
              </w:rPr>
            </w:pPr>
            <w:r>
              <w:rPr>
                <w:rFonts w:ascii="Arial" w:cs="Arial" w:eastAsia="Arial" w:hAnsi="Arial"/>
                <w:sz w:val="13"/>
                <w:szCs w:val="13"/>
                <w:color w:val="auto"/>
              </w:rPr>
              <w:t>42.8</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Average automotive debt and interest liabilities (excluding finance leases)</w:t>
            </w:r>
          </w:p>
        </w:tc>
        <w:tc>
          <w:tcPr>
            <w:tcW w:w="1240" w:type="dxa"/>
            <w:vAlign w:val="bottom"/>
            <w:shd w:val="clear" w:color="auto" w:fill="CCEEFF"/>
          </w:tcPr>
          <w:p>
            <w:pPr>
              <w:spacing w:after="0"/>
              <w:rPr>
                <w:sz w:val="14"/>
                <w:szCs w:val="14"/>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23.6</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Add: Average automotive net pension &amp; OPEB liability</w:t>
            </w:r>
          </w:p>
        </w:tc>
        <w:tc>
          <w:tcPr>
            <w:tcW w:w="124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98"/>
              <w:spacing w:after="0"/>
              <w:rPr>
                <w:sz w:val="20"/>
                <w:szCs w:val="20"/>
                <w:color w:val="auto"/>
              </w:rPr>
            </w:pPr>
            <w:r>
              <w:rPr>
                <w:rFonts w:ascii="Arial" w:cs="Arial" w:eastAsia="Arial" w:hAnsi="Arial"/>
                <w:sz w:val="13"/>
                <w:szCs w:val="13"/>
                <w:color w:val="auto"/>
              </w:rPr>
              <w:t>17.1</w:t>
            </w:r>
          </w:p>
        </w:tc>
      </w:tr>
      <w:tr>
        <w:trPr>
          <w:trHeight w:val="17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Average automotive and other net income tax asset</w:t>
            </w:r>
          </w:p>
        </w:tc>
        <w:tc>
          <w:tcPr>
            <w:tcW w:w="12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(23.9)</w:t>
            </w:r>
          </w:p>
        </w:tc>
      </w:tr>
      <w:tr>
        <w:trPr>
          <w:trHeight w:val="163"/>
        </w:trPr>
        <w:tc>
          <w:tcPr>
            <w:tcW w:w="7720" w:type="dxa"/>
            <w:vAlign w:val="bottom"/>
          </w:tcPr>
          <w:p>
            <w:pPr>
              <w:ind w:left="20"/>
              <w:spacing w:after="0"/>
              <w:rPr>
                <w:sz w:val="20"/>
                <w:szCs w:val="20"/>
                <w:color w:val="auto"/>
              </w:rPr>
            </w:pPr>
            <w:r>
              <w:rPr>
                <w:rFonts w:ascii="Arial" w:cs="Arial" w:eastAsia="Arial" w:hAnsi="Arial"/>
                <w:sz w:val="13"/>
                <w:szCs w:val="13"/>
                <w:color w:val="auto"/>
              </w:rPr>
              <w:t>ROIC-adjusted average net assets</w:t>
            </w:r>
          </w:p>
        </w:tc>
        <w:tc>
          <w:tcPr>
            <w:tcW w:w="1240" w:type="dxa"/>
            <w:vAlign w:val="bottom"/>
            <w:tcBorders>
              <w:bottom w:val="single" w:sz="8" w:color="auto"/>
            </w:tcBorders>
          </w:tcPr>
          <w:p>
            <w:pPr>
              <w:jc w:val="right"/>
              <w:ind w:right="108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64.1</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59.6</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5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ROIC-adjusted</w:t>
            </w:r>
          </w:p>
        </w:tc>
        <w:tc>
          <w:tcPr>
            <w:tcW w:w="1240" w:type="dxa"/>
            <w:vAlign w:val="bottom"/>
            <w:shd w:val="clear" w:color="auto" w:fill="CCEEFF"/>
          </w:tcPr>
          <w:p>
            <w:pPr>
              <w:spacing w:after="0"/>
              <w:rPr>
                <w:sz w:val="13"/>
                <w:szCs w:val="13"/>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27.3 %</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6.4 %</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EBIT (loss)-adjusted for adjustment details.</w:t>
      </w: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EBIT (loss)-adjusted.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698"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automotive cash provided by (used in) operating activities under U.S. GAAP to adjusted automotive free cash flow (dollars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20" w:type="dxa"/>
            <w:vAlign w:val="bottom"/>
            <w:gridSpan w:val="5"/>
          </w:tcPr>
          <w:p>
            <w:pPr>
              <w:ind w:left="760"/>
              <w:spacing w:after="0"/>
              <w:rPr>
                <w:sz w:val="20"/>
                <w:szCs w:val="20"/>
                <w:color w:val="auto"/>
              </w:rPr>
            </w:pPr>
            <w:r>
              <w:rPr>
                <w:rFonts w:ascii="Arial" w:cs="Arial" w:eastAsia="Arial" w:hAnsi="Arial"/>
                <w:sz w:val="10"/>
                <w:szCs w:val="10"/>
                <w:b w:val="1"/>
                <w:bCs w:val="1"/>
                <w:color w:val="auto"/>
              </w:rPr>
              <w:t>Three Months Ended</w:t>
            </w:r>
          </w:p>
        </w:tc>
        <w:tc>
          <w:tcPr>
            <w:tcW w:w="240" w:type="dxa"/>
            <w:vAlign w:val="bottom"/>
          </w:tcPr>
          <w:p>
            <w:pPr>
              <w:spacing w:after="0"/>
              <w:rPr>
                <w:sz w:val="11"/>
                <w:szCs w:val="11"/>
                <w:color w:val="auto"/>
              </w:rPr>
            </w:pPr>
          </w:p>
        </w:tc>
        <w:tc>
          <w:tcPr>
            <w:tcW w:w="1680" w:type="dxa"/>
            <w:vAlign w:val="bottom"/>
            <w:gridSpan w:val="3"/>
          </w:tcPr>
          <w:p>
            <w:pPr>
              <w:jc w:val="right"/>
              <w:spacing w:after="0"/>
              <w:rPr>
                <w:sz w:val="20"/>
                <w:szCs w:val="20"/>
                <w:color w:val="auto"/>
              </w:rPr>
            </w:pPr>
            <w:r>
              <w:rPr>
                <w:rFonts w:ascii="Arial" w:cs="Arial" w:eastAsia="Arial" w:hAnsi="Arial"/>
                <w:sz w:val="10"/>
                <w:szCs w:val="10"/>
                <w:b w:val="1"/>
                <w:bCs w:val="1"/>
                <w:color w:val="auto"/>
              </w:rPr>
              <w:t>Six Months Ended</w:t>
            </w:r>
          </w:p>
        </w:tc>
        <w:tc>
          <w:tcPr>
            <w:tcW w:w="1040" w:type="dxa"/>
            <w:vAlign w:val="bottom"/>
          </w:tcPr>
          <w:p>
            <w:pPr>
              <w:spacing w:after="0"/>
              <w:rPr>
                <w:sz w:val="11"/>
                <w:szCs w:val="11"/>
                <w:color w:val="auto"/>
              </w:rPr>
            </w:pPr>
          </w:p>
        </w:tc>
      </w:tr>
      <w:tr>
        <w:trPr>
          <w:trHeight w:val="132"/>
        </w:trPr>
        <w:tc>
          <w:tcPr>
            <w:tcW w:w="5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June 30, 2021</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June 30, 2020</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June 30, 2021</w:t>
            </w:r>
          </w:p>
        </w:tc>
        <w:tc>
          <w:tcPr>
            <w:tcW w:w="3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38"/>
              <w:spacing w:after="0"/>
              <w:rPr>
                <w:sz w:val="20"/>
                <w:szCs w:val="20"/>
                <w:color w:val="auto"/>
              </w:rPr>
            </w:pPr>
            <w:r>
              <w:rPr>
                <w:rFonts w:ascii="Arial" w:cs="Arial" w:eastAsia="Arial" w:hAnsi="Arial"/>
                <w:sz w:val="10"/>
                <w:szCs w:val="10"/>
                <w:b w:val="1"/>
                <w:bCs w:val="1"/>
                <w:color w:val="auto"/>
                <w:w w:val="95"/>
              </w:rPr>
              <w:t>June 30, 2020</w:t>
            </w:r>
          </w:p>
        </w:tc>
      </w:tr>
      <w:tr>
        <w:trPr>
          <w:trHeight w:val="165"/>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automotive cash provided by (used in) operating activities</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(7,996)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2,911</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(7,659)</w:t>
            </w:r>
          </w:p>
        </w:tc>
      </w:tr>
      <w:tr>
        <w:trPr>
          <w:trHeight w:val="168"/>
        </w:trPr>
        <w:tc>
          <w:tcPr>
            <w:tcW w:w="5260" w:type="dxa"/>
            <w:vAlign w:val="bottom"/>
          </w:tcPr>
          <w:p>
            <w:pPr>
              <w:ind w:left="20"/>
              <w:spacing w:after="0"/>
              <w:rPr>
                <w:sz w:val="20"/>
                <w:szCs w:val="20"/>
                <w:color w:val="auto"/>
              </w:rPr>
            </w:pPr>
            <w:r>
              <w:rPr>
                <w:rFonts w:ascii="Arial" w:cs="Arial" w:eastAsia="Arial" w:hAnsi="Arial"/>
                <w:sz w:val="13"/>
                <w:szCs w:val="13"/>
                <w:color w:val="auto"/>
              </w:rPr>
              <w:t>Less: Capital expenditures</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(1,546)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(1,107)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(2,406)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(2,312)</w:t>
            </w:r>
          </w:p>
        </w:tc>
      </w:tr>
      <w:tr>
        <w:trPr>
          <w:trHeight w:val="172"/>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GMI restructuring</w:t>
            </w: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r>
      <w:tr>
        <w:trPr>
          <w:trHeight w:val="168"/>
        </w:trPr>
        <w:tc>
          <w:tcPr>
            <w:tcW w:w="5260" w:type="dxa"/>
            <w:vAlign w:val="bottom"/>
          </w:tcPr>
          <w:p>
            <w:pPr>
              <w:ind w:left="20"/>
              <w:spacing w:after="0"/>
              <w:rPr>
                <w:sz w:val="20"/>
                <w:szCs w:val="20"/>
                <w:color w:val="auto"/>
              </w:rPr>
            </w:pPr>
            <w:r>
              <w:rPr>
                <w:rFonts w:ascii="Arial" w:cs="Arial" w:eastAsia="Arial" w:hAnsi="Arial"/>
                <w:sz w:val="13"/>
                <w:szCs w:val="13"/>
                <w:color w:val="auto"/>
              </w:rPr>
              <w:t>Add: Cadillac dealer strategy</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GM Brazil indirect tax recoveries</w:t>
            </w: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r>
      <w:tr>
        <w:trPr>
          <w:trHeight w:val="163"/>
        </w:trPr>
        <w:tc>
          <w:tcPr>
            <w:tcW w:w="5260" w:type="dxa"/>
            <w:vAlign w:val="bottom"/>
          </w:tcPr>
          <w:p>
            <w:pPr>
              <w:ind w:left="20"/>
              <w:spacing w:after="0"/>
              <w:rPr>
                <w:sz w:val="20"/>
                <w:szCs w:val="20"/>
                <w:color w:val="auto"/>
              </w:rPr>
            </w:pPr>
            <w:r>
              <w:rPr>
                <w:rFonts w:ascii="Arial" w:cs="Arial" w:eastAsia="Arial" w:hAnsi="Arial"/>
                <w:sz w:val="13"/>
                <w:szCs w:val="13"/>
                <w:color w:val="auto"/>
              </w:rPr>
              <w:t>Adjusted automotive free cash flow</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2,478</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(9,042)</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546</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(9,945)</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tables summarize key financial information by segment (dollars in millions):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92"/>
        </w:trPr>
        <w:tc>
          <w:tcPr>
            <w:tcW w:w="2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7"/>
                <w:szCs w:val="7"/>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7"/>
                <w:szCs w:val="7"/>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7"/>
                <w:szCs w:val="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7"/>
                <w:szCs w:val="7"/>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7"/>
                <w:szCs w:val="7"/>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7"/>
                <w:szCs w:val="7"/>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80" w:type="dxa"/>
            <w:vAlign w:val="bottom"/>
          </w:tcPr>
          <w:p>
            <w:pPr>
              <w:spacing w:after="0"/>
              <w:rPr>
                <w:sz w:val="20"/>
                <w:szCs w:val="20"/>
                <w:color w:val="auto"/>
              </w:rPr>
            </w:pPr>
            <w:r>
              <w:rPr>
                <w:rFonts w:ascii="Arial" w:cs="Arial" w:eastAsia="Arial" w:hAnsi="Arial"/>
                <w:sz w:val="8"/>
                <w:szCs w:val="8"/>
                <w:b w:val="1"/>
                <w:bCs w:val="1"/>
                <w:color w:val="auto"/>
              </w:rPr>
              <w:t>Three Months Ended June 30, 2021</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27,932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2,792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30,745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3,426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center"/>
              <w:ind w:left="431"/>
              <w:spacing w:after="0"/>
              <w:rPr>
                <w:sz w:val="20"/>
                <w:szCs w:val="20"/>
                <w:color w:val="auto"/>
              </w:rPr>
            </w:pPr>
            <w:r>
              <w:rPr>
                <w:rFonts w:ascii="Arial" w:cs="Arial" w:eastAsia="Arial" w:hAnsi="Arial"/>
                <w:sz w:val="10"/>
                <w:szCs w:val="10"/>
                <w:color w:val="auto"/>
              </w:rPr>
              <w:t>(29)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34,167</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1,412</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126</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8</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1,546</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19</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8</w:t>
            </w:r>
          </w:p>
        </w:tc>
        <w:tc>
          <w:tcPr>
            <w:tcW w:w="8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1,573</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1,281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1,422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1,579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3,014</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Equity income(a)</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277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50</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327</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24"/>
                <w:szCs w:val="24"/>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24"/>
                <w:szCs w:val="2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24"/>
                <w:szCs w:val="2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80" w:type="dxa"/>
            <w:vAlign w:val="bottom"/>
          </w:tcPr>
          <w:p>
            <w:pPr>
              <w:spacing w:after="0"/>
              <w:rPr>
                <w:sz w:val="20"/>
                <w:szCs w:val="20"/>
                <w:color w:val="auto"/>
              </w:rPr>
            </w:pPr>
            <w:r>
              <w:rPr>
                <w:rFonts w:ascii="Arial" w:cs="Arial" w:eastAsia="Arial" w:hAnsi="Arial"/>
                <w:sz w:val="8"/>
                <w:szCs w:val="8"/>
                <w:b w:val="1"/>
                <w:bCs w:val="1"/>
                <w:color w:val="auto"/>
              </w:rPr>
              <w:t>Three Months Ended June 30, 2020</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11,604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1,677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13,361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3,423</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center"/>
              <w:ind w:left="431"/>
              <w:spacing w:after="0"/>
              <w:rPr>
                <w:sz w:val="20"/>
                <w:szCs w:val="20"/>
                <w:color w:val="auto"/>
              </w:rPr>
            </w:pPr>
            <w:r>
              <w:rPr>
                <w:rFonts w:ascii="Arial" w:cs="Arial" w:eastAsia="Arial" w:hAnsi="Arial"/>
                <w:sz w:val="10"/>
                <w:szCs w:val="10"/>
                <w:color w:val="auto"/>
              </w:rPr>
              <w:t>(34)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16,778</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916</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181</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1,107</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1,112</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1,127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1,282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1,965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3,258</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Equity income (a)</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170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42</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212</w:t>
            </w:r>
          </w:p>
        </w:tc>
        <w:tc>
          <w:tcPr>
            <w:tcW w:w="0" w:type="dxa"/>
            <w:vAlign w:val="bottom"/>
          </w:tcPr>
          <w:p>
            <w:pPr>
              <w:spacing w:after="0"/>
              <w:rPr>
                <w:sz w:val="1"/>
                <w:szCs w:val="1"/>
                <w:color w:val="auto"/>
              </w:rPr>
            </w:pPr>
          </w:p>
        </w:tc>
      </w:tr>
      <w:tr>
        <w:trPr>
          <w:trHeight w:val="286"/>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24"/>
                <w:szCs w:val="24"/>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24"/>
                <w:szCs w:val="2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24"/>
                <w:szCs w:val="2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80" w:type="dxa"/>
            <w:vAlign w:val="bottom"/>
          </w:tcPr>
          <w:p>
            <w:pPr>
              <w:spacing w:after="0"/>
              <w:rPr>
                <w:sz w:val="20"/>
                <w:szCs w:val="20"/>
                <w:color w:val="auto"/>
              </w:rPr>
            </w:pPr>
            <w:r>
              <w:rPr>
                <w:rFonts w:ascii="Arial" w:cs="Arial" w:eastAsia="Arial" w:hAnsi="Arial"/>
                <w:sz w:val="8"/>
                <w:szCs w:val="8"/>
                <w:b w:val="1"/>
                <w:bCs w:val="1"/>
                <w:color w:val="auto"/>
              </w:rPr>
              <w:t>Six Months Ended June 30, 2021</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53,889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5,878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59,807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6,833</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center"/>
              <w:ind w:left="431"/>
              <w:spacing w:after="0"/>
              <w:rPr>
                <w:sz w:val="20"/>
                <w:szCs w:val="20"/>
                <w:color w:val="auto"/>
              </w:rPr>
            </w:pPr>
            <w:r>
              <w:rPr>
                <w:rFonts w:ascii="Arial" w:cs="Arial" w:eastAsia="Arial" w:hAnsi="Arial"/>
                <w:sz w:val="10"/>
                <w:szCs w:val="10"/>
                <w:color w:val="auto"/>
              </w:rPr>
              <w:t>(54)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66,641</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2,176</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220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2,406</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32</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2,451</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2,479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2,758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3,247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6,029</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Equity income(a)</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581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588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104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692</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24"/>
                <w:szCs w:val="24"/>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24"/>
                <w:szCs w:val="2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24"/>
                <w:szCs w:val="2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80" w:type="dxa"/>
            <w:vAlign w:val="bottom"/>
          </w:tcPr>
          <w:p>
            <w:pPr>
              <w:spacing w:after="0"/>
              <w:rPr>
                <w:sz w:val="20"/>
                <w:szCs w:val="20"/>
                <w:color w:val="auto"/>
              </w:rPr>
            </w:pPr>
            <w:r>
              <w:rPr>
                <w:rFonts w:ascii="Arial" w:cs="Arial" w:eastAsia="Arial" w:hAnsi="Arial"/>
                <w:sz w:val="8"/>
                <w:szCs w:val="8"/>
                <w:b w:val="1"/>
                <w:bCs w:val="1"/>
                <w:color w:val="auto"/>
              </w:rPr>
              <w:t>Six Months Ended June 30, 2020</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37,435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4,957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42,510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6,984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center"/>
              <w:ind w:left="431"/>
              <w:spacing w:after="0"/>
              <w:rPr>
                <w:sz w:val="20"/>
                <w:szCs w:val="20"/>
                <w:color w:val="auto"/>
              </w:rPr>
            </w:pPr>
            <w:r>
              <w:rPr>
                <w:rFonts w:ascii="Arial" w:cs="Arial" w:eastAsia="Arial" w:hAnsi="Arial"/>
                <w:sz w:val="10"/>
                <w:szCs w:val="10"/>
                <w:color w:val="auto"/>
              </w:rPr>
              <w:t>(60)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49,487</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1,862</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436</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14</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2,312</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6</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18</w:t>
            </w:r>
          </w:p>
        </w:tc>
        <w:tc>
          <w:tcPr>
            <w:tcW w:w="8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2,336</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2,354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2,684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3,753</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6,456</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97</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117</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117</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Equity income (a)</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67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80</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ind w:left="260" w:hanging="255"/>
        <w:spacing w:after="0"/>
        <w:tabs>
          <w:tab w:leader="none" w:pos="260" w:val="left"/>
        </w:tabs>
        <w:numPr>
          <w:ilvl w:val="0"/>
          <w:numId w:val="7"/>
        </w:numPr>
        <w:rPr>
          <w:rFonts w:ascii="Arial" w:cs="Arial" w:eastAsia="Arial" w:hAnsi="Arial"/>
          <w:sz w:val="10"/>
          <w:szCs w:val="10"/>
          <w:color w:val="auto"/>
        </w:rPr>
      </w:pPr>
      <w:r>
        <w:rPr>
          <w:rFonts w:ascii="Arial" w:cs="Arial" w:eastAsia="Arial" w:hAnsi="Arial"/>
          <w:sz w:val="10"/>
          <w:szCs w:val="10"/>
          <w:color w:val="auto"/>
        </w:rPr>
        <w:t>Includes Automotive China equity income of $276 million and $169 million in the three months ended June 30, 2021 and 2020 and $584 million and $2 million in the six months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698"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Vehicle Sales</w:t>
      </w:r>
    </w:p>
    <w:p>
      <w:pPr>
        <w:spacing w:after="0" w:line="206" w:lineRule="exact"/>
        <w:rPr>
          <w:sz w:val="20"/>
          <w:szCs w:val="20"/>
          <w:color w:val="auto"/>
        </w:rPr>
      </w:pPr>
    </w:p>
    <w:p>
      <w:pPr>
        <w:jc w:val="both"/>
        <w:ind w:firstLine="127"/>
        <w:spacing w:after="0" w:line="244" w:lineRule="auto"/>
        <w:rPr>
          <w:sz w:val="20"/>
          <w:szCs w:val="20"/>
          <w:color w:val="auto"/>
        </w:rPr>
      </w:pPr>
      <w:r>
        <w:rPr>
          <w:rFonts w:ascii="Arial" w:cs="Arial" w:eastAsia="Arial" w:hAnsi="Arial"/>
          <w:sz w:val="13"/>
          <w:szCs w:val="13"/>
          <w:color w:val="auto"/>
        </w:rPr>
        <w:t>GM presents both wholesale and total vehicle sales data to assist in the analysis of our revenue and our market share. Cuba, Iran, North Korea, Sudan and Syria are subject to broad economic sanctions. Accordingly, these countries are excluded from industry sales data and the corresponding calculation of GM's market share.</w:t>
      </w:r>
    </w:p>
    <w:p>
      <w:pPr>
        <w:spacing w:after="0" w:line="184" w:lineRule="exact"/>
        <w:rPr>
          <w:sz w:val="20"/>
          <w:szCs w:val="20"/>
          <w:color w:val="auto"/>
        </w:rPr>
      </w:pPr>
    </w:p>
    <w:p>
      <w:pPr>
        <w:jc w:val="both"/>
        <w:ind w:firstLine="127"/>
        <w:spacing w:after="0" w:line="241" w:lineRule="auto"/>
        <w:rPr>
          <w:sz w:val="20"/>
          <w:szCs w:val="20"/>
          <w:color w:val="auto"/>
        </w:rPr>
      </w:pPr>
      <w:r>
        <w:rPr>
          <w:rFonts w:ascii="Arial" w:cs="Arial" w:eastAsia="Arial" w:hAnsi="Arial"/>
          <w:sz w:val="13"/>
          <w:szCs w:val="13"/>
          <w:color w:val="auto"/>
        </w:rPr>
        <w:t>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six months ended June 30, 2021, 28.1% of our wholesale vehicle sales volume was generated outside the U.S. The following table summarizes wholesale vehicle sales by automotive segment (vehicles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42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99"/>
              </w:rPr>
              <w:t>Three Months Ended</w:t>
            </w: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tcBorders>
              <w:bottom w:val="single" w:sz="8" w:color="auto"/>
            </w:tcBorders>
            <w:gridSpan w:val="3"/>
          </w:tcPr>
          <w:p>
            <w:pPr>
              <w:ind w:left="1260"/>
              <w:spacing w:after="0"/>
              <w:rPr>
                <w:sz w:val="20"/>
                <w:szCs w:val="20"/>
                <w:color w:val="auto"/>
              </w:rPr>
            </w:pPr>
            <w:r>
              <w:rPr>
                <w:rFonts w:ascii="Arial" w:cs="Arial" w:eastAsia="Arial" w:hAnsi="Arial"/>
                <w:sz w:val="10"/>
                <w:szCs w:val="10"/>
                <w:b w:val="1"/>
                <w:bCs w:val="1"/>
                <w:color w:val="auto"/>
              </w:rPr>
              <w:t>Six Months Ended</w:t>
            </w:r>
          </w:p>
        </w:tc>
        <w:tc>
          <w:tcPr>
            <w:tcW w:w="1200" w:type="dxa"/>
            <w:vAlign w:val="bottom"/>
            <w:tcBorders>
              <w:bottom w:val="single" w:sz="8" w:color="auto"/>
            </w:tcBorders>
          </w:tcPr>
          <w:p>
            <w:pPr>
              <w:spacing w:after="0"/>
              <w:rPr>
                <w:sz w:val="11"/>
                <w:szCs w:val="11"/>
                <w:color w:val="auto"/>
              </w:rPr>
            </w:pPr>
          </w:p>
        </w:tc>
      </w:tr>
      <w:tr>
        <w:trPr>
          <w:trHeight w:val="132"/>
        </w:trPr>
        <w:tc>
          <w:tcPr>
            <w:tcW w:w="442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June 30, 2021</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June 30, 2020</w:t>
            </w:r>
          </w:p>
        </w:tc>
        <w:tc>
          <w:tcPr>
            <w:tcW w:w="10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June 30, 2021</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June 30, 2020</w:t>
            </w:r>
          </w:p>
        </w:tc>
      </w:tr>
      <w:tr>
        <w:trPr>
          <w:trHeight w:val="165"/>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GMNA</w:t>
            </w:r>
          </w:p>
        </w:tc>
        <w:tc>
          <w:tcPr>
            <w:tcW w:w="460" w:type="dxa"/>
            <w:vAlign w:val="bottom"/>
            <w:shd w:val="clear" w:color="auto" w:fill="CCEEFF"/>
          </w:tcPr>
          <w:p>
            <w:pPr>
              <w:jc w:val="center"/>
              <w:ind w:left="79"/>
              <w:spacing w:after="0"/>
              <w:rPr>
                <w:sz w:val="20"/>
                <w:szCs w:val="20"/>
                <w:color w:val="auto"/>
              </w:rPr>
            </w:pPr>
            <w:r>
              <w:rPr>
                <w:rFonts w:ascii="Arial" w:cs="Arial" w:eastAsia="Arial" w:hAnsi="Arial"/>
                <w:sz w:val="13"/>
                <w:szCs w:val="13"/>
                <w:color w:val="auto"/>
                <w:w w:val="92"/>
              </w:rPr>
              <w:t>642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1,306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w:t>
            </w:r>
          </w:p>
        </w:tc>
      </w:tr>
      <w:tr>
        <w:trPr>
          <w:trHeight w:val="16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GMI</w:t>
            </w: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left="79"/>
              <w:spacing w:after="0"/>
              <w:rPr>
                <w:sz w:val="20"/>
                <w:szCs w:val="20"/>
                <w:color w:val="auto"/>
              </w:rPr>
            </w:pPr>
            <w:r>
              <w:rPr>
                <w:rFonts w:ascii="Arial" w:cs="Arial" w:eastAsia="Arial" w:hAnsi="Arial"/>
                <w:sz w:val="13"/>
                <w:szCs w:val="13"/>
                <w:color w:val="auto"/>
                <w:w w:val="92"/>
              </w:rPr>
              <w:t>118</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275</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w:t>
            </w:r>
          </w:p>
        </w:tc>
      </w:tr>
      <w:tr>
        <w:trPr>
          <w:trHeight w:val="18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60" w:type="dxa"/>
            <w:vAlign w:val="bottom"/>
            <w:shd w:val="clear" w:color="auto" w:fill="CCEEFF"/>
          </w:tcPr>
          <w:p>
            <w:pPr>
              <w:jc w:val="center"/>
              <w:ind w:left="79"/>
              <w:spacing w:after="0"/>
              <w:rPr>
                <w:sz w:val="20"/>
                <w:szCs w:val="20"/>
                <w:color w:val="auto"/>
              </w:rPr>
            </w:pPr>
            <w:r>
              <w:rPr>
                <w:rFonts w:ascii="Arial" w:cs="Arial" w:eastAsia="Arial" w:hAnsi="Arial"/>
                <w:sz w:val="13"/>
                <w:szCs w:val="13"/>
                <w:color w:val="auto"/>
                <w:w w:val="92"/>
              </w:rPr>
              <w:t>760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1,581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839"/>
        </w:trPr>
        <w:tc>
          <w:tcPr>
            <w:tcW w:w="4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jc w:val="center"/>
              <w:ind w:left="79"/>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Total vehicle sales data represents: (1) retail sales (i.e., sales to consumers who purchase new vehicles from dealers or distributors); (2) fleet sales (i.e.,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total vehicle sales by geographic region (vehicles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42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99"/>
              </w:rPr>
              <w:t>Three Months Ended</w:t>
            </w: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tcBorders>
              <w:bottom w:val="single" w:sz="8" w:color="auto"/>
            </w:tcBorders>
            <w:gridSpan w:val="3"/>
          </w:tcPr>
          <w:p>
            <w:pPr>
              <w:ind w:left="1260"/>
              <w:spacing w:after="0"/>
              <w:rPr>
                <w:sz w:val="20"/>
                <w:szCs w:val="20"/>
                <w:color w:val="auto"/>
              </w:rPr>
            </w:pPr>
            <w:r>
              <w:rPr>
                <w:rFonts w:ascii="Arial" w:cs="Arial" w:eastAsia="Arial" w:hAnsi="Arial"/>
                <w:sz w:val="10"/>
                <w:szCs w:val="10"/>
                <w:b w:val="1"/>
                <w:bCs w:val="1"/>
                <w:color w:val="auto"/>
              </w:rPr>
              <w:t>Six Months Ended</w:t>
            </w:r>
          </w:p>
        </w:tc>
        <w:tc>
          <w:tcPr>
            <w:tcW w:w="1200" w:type="dxa"/>
            <w:vAlign w:val="bottom"/>
            <w:tcBorders>
              <w:bottom w:val="single" w:sz="8" w:color="auto"/>
            </w:tcBorders>
          </w:tcPr>
          <w:p>
            <w:pPr>
              <w:spacing w:after="0"/>
              <w:rPr>
                <w:sz w:val="11"/>
                <w:szCs w:val="11"/>
                <w:color w:val="auto"/>
              </w:rPr>
            </w:pPr>
          </w:p>
        </w:tc>
      </w:tr>
      <w:tr>
        <w:trPr>
          <w:trHeight w:val="132"/>
        </w:trPr>
        <w:tc>
          <w:tcPr>
            <w:tcW w:w="4420" w:type="dxa"/>
            <w:vAlign w:val="bottom"/>
          </w:tcPr>
          <w:p>
            <w:pPr>
              <w:spacing w:after="0"/>
              <w:rPr>
                <w:sz w:val="11"/>
                <w:szCs w:val="11"/>
                <w:color w:val="auto"/>
              </w:rPr>
            </w:pPr>
          </w:p>
        </w:tc>
        <w:tc>
          <w:tcPr>
            <w:tcW w:w="118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June 30, 2021</w:t>
            </w: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0"/>
                <w:szCs w:val="10"/>
                <w:b w:val="1"/>
                <w:bCs w:val="1"/>
                <w:color w:val="auto"/>
              </w:rPr>
              <w:t>June 30, 2020</w:t>
            </w:r>
          </w:p>
        </w:tc>
        <w:tc>
          <w:tcPr>
            <w:tcW w:w="100" w:type="dxa"/>
            <w:vAlign w:val="bottom"/>
          </w:tcPr>
          <w:p>
            <w:pPr>
              <w:spacing w:after="0"/>
              <w:rPr>
                <w:sz w:val="11"/>
                <w:szCs w:val="11"/>
                <w:color w:val="auto"/>
              </w:rPr>
            </w:pPr>
          </w:p>
        </w:tc>
        <w:tc>
          <w:tcPr>
            <w:tcW w:w="1640" w:type="dxa"/>
            <w:vAlign w:val="bottom"/>
            <w:tcBorders>
              <w:bottom w:val="single" w:sz="8" w:color="auto"/>
            </w:tcBorders>
          </w:tcPr>
          <w:p>
            <w:pPr>
              <w:jc w:val="right"/>
              <w:ind w:right="438"/>
              <w:spacing w:after="0"/>
              <w:rPr>
                <w:sz w:val="20"/>
                <w:szCs w:val="20"/>
                <w:color w:val="auto"/>
              </w:rPr>
            </w:pPr>
            <w:r>
              <w:rPr>
                <w:rFonts w:ascii="Arial" w:cs="Arial" w:eastAsia="Arial" w:hAnsi="Arial"/>
                <w:sz w:val="10"/>
                <w:szCs w:val="10"/>
                <w:b w:val="1"/>
                <w:bCs w:val="1"/>
                <w:color w:val="auto"/>
              </w:rPr>
              <w:t>June 30, 2021</w:t>
            </w:r>
          </w:p>
        </w:tc>
        <w:tc>
          <w:tcPr>
            <w:tcW w:w="1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0"/>
                <w:szCs w:val="10"/>
                <w:b w:val="1"/>
                <w:bCs w:val="1"/>
                <w:color w:val="auto"/>
              </w:rPr>
              <w:t>June 30, 2020</w:t>
            </w:r>
          </w:p>
        </w:tc>
      </w:tr>
      <w:tr>
        <w:trPr>
          <w:trHeight w:val="152"/>
        </w:trPr>
        <w:tc>
          <w:tcPr>
            <w:tcW w:w="5600" w:type="dxa"/>
            <w:vAlign w:val="bottom"/>
            <w:gridSpan w:val="2"/>
          </w:tcPr>
          <w:p>
            <w:pPr>
              <w:ind w:left="20"/>
              <w:spacing w:after="0"/>
              <w:rPr>
                <w:sz w:val="20"/>
                <w:szCs w:val="20"/>
                <w:color w:val="auto"/>
              </w:rPr>
            </w:pPr>
            <w:r>
              <w:rPr>
                <w:rFonts w:ascii="Arial" w:cs="Arial" w:eastAsia="Arial" w:hAnsi="Arial"/>
                <w:sz w:val="13"/>
                <w:szCs w:val="13"/>
                <w:color w:val="auto"/>
              </w:rPr>
              <w:t>United States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2"/>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Chevrolet – Cars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r>
      <w:tr>
        <w:trPr>
          <w:trHeight w:val="168"/>
        </w:trPr>
        <w:tc>
          <w:tcPr>
            <w:tcW w:w="5600" w:type="dxa"/>
            <w:vAlign w:val="bottom"/>
            <w:gridSpan w:val="2"/>
          </w:tcPr>
          <w:p>
            <w:pPr>
              <w:ind w:left="180"/>
              <w:spacing w:after="0"/>
              <w:rPr>
                <w:sz w:val="20"/>
                <w:szCs w:val="20"/>
                <w:color w:val="auto"/>
              </w:rPr>
            </w:pPr>
            <w:r>
              <w:rPr>
                <w:rFonts w:ascii="Arial" w:cs="Arial" w:eastAsia="Arial" w:hAnsi="Arial"/>
                <w:sz w:val="13"/>
                <w:szCs w:val="13"/>
                <w:color w:val="auto"/>
              </w:rPr>
              <w:t>Chevrolet – Trucks</w:t>
            </w:r>
          </w:p>
        </w:tc>
        <w:tc>
          <w:tcPr>
            <w:tcW w:w="460" w:type="dxa"/>
            <w:vAlign w:val="bottom"/>
          </w:tcPr>
          <w:p>
            <w:pPr>
              <w:jc w:val="right"/>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386</w:t>
            </w:r>
          </w:p>
        </w:tc>
      </w:tr>
      <w:tr>
        <w:trPr>
          <w:trHeight w:val="172"/>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Chevrolet – Crossovers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r>
      <w:tr>
        <w:trPr>
          <w:trHeight w:val="168"/>
        </w:trPr>
        <w:tc>
          <w:tcPr>
            <w:tcW w:w="5600" w:type="dxa"/>
            <w:vAlign w:val="bottom"/>
            <w:gridSpan w:val="2"/>
          </w:tcPr>
          <w:p>
            <w:pPr>
              <w:ind w:left="180"/>
              <w:spacing w:after="0"/>
              <w:rPr>
                <w:sz w:val="20"/>
                <w:szCs w:val="20"/>
                <w:color w:val="auto"/>
              </w:rPr>
            </w:pPr>
            <w:r>
              <w:rPr>
                <w:rFonts w:ascii="Arial" w:cs="Arial" w:eastAsia="Arial" w:hAnsi="Arial"/>
                <w:sz w:val="13"/>
                <w:szCs w:val="13"/>
                <w:color w:val="auto"/>
              </w:rPr>
              <w:t>Cadillac</w:t>
            </w:r>
          </w:p>
        </w:tc>
        <w:tc>
          <w:tcPr>
            <w:tcW w:w="46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72"/>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Buick</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r>
      <w:tr>
        <w:trPr>
          <w:trHeight w:val="168"/>
        </w:trPr>
        <w:tc>
          <w:tcPr>
            <w:tcW w:w="4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GMC</w:t>
            </w: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w:t>
            </w:r>
          </w:p>
        </w:tc>
      </w:tr>
      <w:tr>
        <w:trPr>
          <w:trHeight w:val="163"/>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United States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1,111</w:t>
            </w:r>
          </w:p>
        </w:tc>
      </w:tr>
      <w:tr>
        <w:trPr>
          <w:trHeight w:val="16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Canada, Mexico and Other</w:t>
            </w: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w:t>
            </w:r>
          </w:p>
        </w:tc>
      </w:tr>
      <w:tr>
        <w:trPr>
          <w:trHeight w:val="160"/>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North America</w:t>
            </w:r>
          </w:p>
        </w:tc>
        <w:tc>
          <w:tcPr>
            <w:tcW w:w="11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565</w:t>
            </w:r>
          </w:p>
        </w:tc>
        <w:tc>
          <w:tcPr>
            <w:tcW w:w="100" w:type="dxa"/>
            <w:vAlign w:val="bottom"/>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1,540</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1,284</w:t>
            </w:r>
          </w:p>
        </w:tc>
      </w:tr>
      <w:tr>
        <w:trPr>
          <w:trHeight w:val="150"/>
        </w:trPr>
        <w:tc>
          <w:tcPr>
            <w:tcW w:w="5600" w:type="dxa"/>
            <w:vAlign w:val="bottom"/>
            <w:gridSpan w:val="2"/>
          </w:tcPr>
          <w:p>
            <w:pPr>
              <w:ind w:left="20"/>
              <w:spacing w:after="0"/>
              <w:rPr>
                <w:sz w:val="20"/>
                <w:szCs w:val="20"/>
                <w:color w:val="auto"/>
              </w:rPr>
            </w:pPr>
            <w:r>
              <w:rPr>
                <w:rFonts w:ascii="Arial" w:cs="Arial" w:eastAsia="Arial" w:hAnsi="Arial"/>
                <w:sz w:val="13"/>
                <w:szCs w:val="13"/>
                <w:color w:val="auto"/>
              </w:rPr>
              <w:t>Asia/Pacific, Middle East and Africa</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2"/>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Chevrolet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w:t>
            </w:r>
          </w:p>
        </w:tc>
      </w:tr>
      <w:tr>
        <w:trPr>
          <w:trHeight w:val="168"/>
        </w:trPr>
        <w:tc>
          <w:tcPr>
            <w:tcW w:w="5600" w:type="dxa"/>
            <w:vAlign w:val="bottom"/>
            <w:gridSpan w:val="2"/>
          </w:tcPr>
          <w:p>
            <w:pPr>
              <w:ind w:left="180"/>
              <w:spacing w:after="0"/>
              <w:rPr>
                <w:sz w:val="20"/>
                <w:szCs w:val="20"/>
                <w:color w:val="auto"/>
              </w:rPr>
            </w:pPr>
            <w:r>
              <w:rPr>
                <w:rFonts w:ascii="Arial" w:cs="Arial" w:eastAsia="Arial" w:hAnsi="Arial"/>
                <w:sz w:val="13"/>
                <w:szCs w:val="13"/>
                <w:color w:val="auto"/>
              </w:rPr>
              <w:t>Wuling</w:t>
            </w:r>
          </w:p>
        </w:tc>
        <w:tc>
          <w:tcPr>
            <w:tcW w:w="460" w:type="dxa"/>
            <w:vAlign w:val="bottom"/>
          </w:tcPr>
          <w:p>
            <w:pPr>
              <w:jc w:val="right"/>
              <w:spacing w:after="0"/>
              <w:rPr>
                <w:sz w:val="20"/>
                <w:szCs w:val="20"/>
                <w:color w:val="auto"/>
              </w:rPr>
            </w:pPr>
            <w:r>
              <w:rPr>
                <w:rFonts w:ascii="Arial" w:cs="Arial" w:eastAsia="Arial" w:hAnsi="Arial"/>
                <w:sz w:val="13"/>
                <w:szCs w:val="13"/>
                <w:color w:val="auto"/>
              </w:rPr>
              <w:t>353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704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447</w:t>
            </w:r>
          </w:p>
        </w:tc>
      </w:tr>
      <w:tr>
        <w:trPr>
          <w:trHeight w:val="172"/>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Buick</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w:t>
            </w:r>
          </w:p>
        </w:tc>
      </w:tr>
      <w:tr>
        <w:trPr>
          <w:trHeight w:val="168"/>
        </w:trPr>
        <w:tc>
          <w:tcPr>
            <w:tcW w:w="5600" w:type="dxa"/>
            <w:vAlign w:val="bottom"/>
            <w:gridSpan w:val="2"/>
          </w:tcPr>
          <w:p>
            <w:pPr>
              <w:ind w:left="180"/>
              <w:spacing w:after="0"/>
              <w:rPr>
                <w:sz w:val="20"/>
                <w:szCs w:val="20"/>
                <w:color w:val="auto"/>
              </w:rPr>
            </w:pPr>
            <w:r>
              <w:rPr>
                <w:rFonts w:ascii="Arial" w:cs="Arial" w:eastAsia="Arial" w:hAnsi="Arial"/>
                <w:sz w:val="13"/>
                <w:szCs w:val="13"/>
                <w:color w:val="auto"/>
              </w:rPr>
              <w:t>Baojun</w:t>
            </w:r>
          </w:p>
        </w:tc>
        <w:tc>
          <w:tcPr>
            <w:tcW w:w="46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176</w:t>
            </w:r>
          </w:p>
        </w:tc>
      </w:tr>
      <w:tr>
        <w:trPr>
          <w:trHeight w:val="172"/>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Cadillac</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r>
      <w:tr>
        <w:trPr>
          <w:trHeight w:val="168"/>
        </w:trPr>
        <w:tc>
          <w:tcPr>
            <w:tcW w:w="4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w:t>
            </w: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r>
      <w:tr>
        <w:trPr>
          <w:trHeight w:val="163"/>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Asia/Pacific, Middle East and Africa</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1,450</w:t>
            </w:r>
          </w:p>
        </w:tc>
      </w:tr>
      <w:tr>
        <w:trPr>
          <w:trHeight w:val="16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South America(a)</w:t>
            </w: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w:t>
            </w:r>
          </w:p>
        </w:tc>
      </w:tr>
      <w:tr>
        <w:trPr>
          <w:trHeight w:val="16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in GM markets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1,467</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2,923</w:t>
            </w:r>
          </w:p>
        </w:tc>
      </w:tr>
      <w:tr>
        <w:trPr>
          <w:trHeight w:val="16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Europe</w:t>
            </w: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1,467</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2,923</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w:t>
      </w:r>
    </w:p>
    <w:p>
      <w:pPr>
        <w:spacing w:after="0" w:line="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Primarily Chevrolet.</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vehicle sales at GM's China joint ventures presented in the following table are included in the preceding vehicle sales table (vehicles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42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99"/>
              </w:rPr>
              <w:t>Three Months Ended</w:t>
            </w: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tcBorders>
              <w:bottom w:val="single" w:sz="8" w:color="auto"/>
            </w:tcBorders>
            <w:gridSpan w:val="3"/>
          </w:tcPr>
          <w:p>
            <w:pPr>
              <w:ind w:left="1260"/>
              <w:spacing w:after="0"/>
              <w:rPr>
                <w:sz w:val="20"/>
                <w:szCs w:val="20"/>
                <w:color w:val="auto"/>
              </w:rPr>
            </w:pPr>
            <w:r>
              <w:rPr>
                <w:rFonts w:ascii="Arial" w:cs="Arial" w:eastAsia="Arial" w:hAnsi="Arial"/>
                <w:sz w:val="10"/>
                <w:szCs w:val="10"/>
                <w:b w:val="1"/>
                <w:bCs w:val="1"/>
                <w:color w:val="auto"/>
              </w:rPr>
              <w:t>Six Months Ended</w:t>
            </w:r>
          </w:p>
        </w:tc>
        <w:tc>
          <w:tcPr>
            <w:tcW w:w="1200" w:type="dxa"/>
            <w:vAlign w:val="bottom"/>
            <w:tcBorders>
              <w:bottom w:val="single" w:sz="8" w:color="auto"/>
            </w:tcBorders>
          </w:tcPr>
          <w:p>
            <w:pPr>
              <w:spacing w:after="0"/>
              <w:rPr>
                <w:sz w:val="11"/>
                <w:szCs w:val="11"/>
                <w:color w:val="auto"/>
              </w:rPr>
            </w:pPr>
          </w:p>
        </w:tc>
      </w:tr>
      <w:tr>
        <w:trPr>
          <w:trHeight w:val="132"/>
        </w:trPr>
        <w:tc>
          <w:tcPr>
            <w:tcW w:w="442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June 30, 2021</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June 30, 2020</w:t>
            </w:r>
          </w:p>
        </w:tc>
        <w:tc>
          <w:tcPr>
            <w:tcW w:w="10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June 30, 2021</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June 30, 2020</w:t>
            </w:r>
          </w:p>
        </w:tc>
      </w:tr>
      <w:tr>
        <w:trPr>
          <w:trHeight w:val="165"/>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SAIC General Motors Sales Co., Ltd.</w:t>
            </w:r>
          </w:p>
        </w:tc>
        <w:tc>
          <w:tcPr>
            <w:tcW w:w="460" w:type="dxa"/>
            <w:vAlign w:val="bottom"/>
            <w:shd w:val="clear" w:color="auto" w:fill="CCEEFF"/>
          </w:tcPr>
          <w:p>
            <w:pPr>
              <w:jc w:val="center"/>
              <w:ind w:left="80"/>
              <w:spacing w:after="0"/>
              <w:rPr>
                <w:sz w:val="20"/>
                <w:szCs w:val="20"/>
                <w:color w:val="auto"/>
              </w:rPr>
            </w:pPr>
            <w:r>
              <w:rPr>
                <w:rFonts w:ascii="Arial" w:cs="Arial" w:eastAsia="Arial" w:hAnsi="Arial"/>
                <w:sz w:val="13"/>
                <w:szCs w:val="13"/>
                <w:color w:val="auto"/>
                <w:w w:val="92"/>
              </w:rPr>
              <w:t>353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700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557</w:t>
            </w:r>
          </w:p>
        </w:tc>
      </w:tr>
      <w:tr>
        <w:trPr>
          <w:trHeight w:val="165"/>
        </w:trPr>
        <w:tc>
          <w:tcPr>
            <w:tcW w:w="5600" w:type="dxa"/>
            <w:vAlign w:val="bottom"/>
            <w:gridSpan w:val="2"/>
          </w:tcPr>
          <w:p>
            <w:pPr>
              <w:ind w:left="20"/>
              <w:spacing w:after="0"/>
              <w:rPr>
                <w:sz w:val="20"/>
                <w:szCs w:val="20"/>
                <w:color w:val="auto"/>
              </w:rPr>
            </w:pPr>
            <w:r>
              <w:rPr>
                <w:rFonts w:ascii="Arial" w:cs="Arial" w:eastAsia="Arial" w:hAnsi="Arial"/>
                <w:sz w:val="13"/>
                <w:szCs w:val="13"/>
                <w:color w:val="auto"/>
              </w:rPr>
              <w:t>SAIC GM Wuling Automobile Co., Ltd.</w:t>
            </w:r>
          </w:p>
        </w:tc>
        <w:tc>
          <w:tcPr>
            <w:tcW w:w="460" w:type="dxa"/>
            <w:vAlign w:val="bottom"/>
          </w:tcPr>
          <w:p>
            <w:pPr>
              <w:jc w:val="center"/>
              <w:ind w:left="80"/>
              <w:spacing w:after="0"/>
              <w:rPr>
                <w:sz w:val="20"/>
                <w:szCs w:val="20"/>
                <w:color w:val="auto"/>
              </w:rPr>
            </w:pPr>
            <w:r>
              <w:rPr>
                <w:rFonts w:ascii="Arial" w:cs="Arial" w:eastAsia="Arial" w:hAnsi="Arial"/>
                <w:sz w:val="13"/>
                <w:szCs w:val="13"/>
                <w:color w:val="auto"/>
                <w:w w:val="92"/>
              </w:rPr>
              <w:t>398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ind w:right="1"/>
              <w:spacing w:after="0"/>
              <w:rPr>
                <w:sz w:val="20"/>
                <w:szCs w:val="20"/>
                <w:color w:val="auto"/>
              </w:rPr>
            </w:pPr>
            <w:r>
              <w:rPr>
                <w:rFonts w:ascii="Arial" w:cs="Arial" w:eastAsia="Arial" w:hAnsi="Arial"/>
                <w:sz w:val="13"/>
                <w:szCs w:val="13"/>
                <w:color w:val="auto"/>
              </w:rPr>
              <w:t>364</w:t>
            </w:r>
          </w:p>
        </w:tc>
        <w:tc>
          <w:tcPr>
            <w:tcW w:w="100" w:type="dxa"/>
            <w:vAlign w:val="bottom"/>
          </w:tcPr>
          <w:p>
            <w:pPr>
              <w:spacing w:after="0"/>
              <w:rPr>
                <w:sz w:val="14"/>
                <w:szCs w:val="14"/>
                <w:color w:val="auto"/>
              </w:rPr>
            </w:pPr>
          </w:p>
        </w:tc>
        <w:tc>
          <w:tcPr>
            <w:tcW w:w="1640" w:type="dxa"/>
            <w:vAlign w:val="bottom"/>
          </w:tcPr>
          <w:p>
            <w:pPr>
              <w:jc w:val="right"/>
              <w:ind w:right="3"/>
              <w:spacing w:after="0"/>
              <w:rPr>
                <w:sz w:val="20"/>
                <w:szCs w:val="20"/>
                <w:color w:val="auto"/>
              </w:rPr>
            </w:pPr>
            <w:r>
              <w:rPr>
                <w:rFonts w:ascii="Arial" w:cs="Arial" w:eastAsia="Arial" w:hAnsi="Arial"/>
                <w:sz w:val="13"/>
                <w:szCs w:val="13"/>
                <w:color w:val="auto"/>
              </w:rPr>
              <w:t>831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ind w:right="1"/>
              <w:spacing w:after="0"/>
              <w:rPr>
                <w:sz w:val="20"/>
                <w:szCs w:val="20"/>
                <w:color w:val="auto"/>
              </w:rPr>
            </w:pPr>
            <w:r>
              <w:rPr>
                <w:rFonts w:ascii="Arial" w:cs="Arial" w:eastAsia="Arial" w:hAnsi="Arial"/>
                <w:sz w:val="13"/>
                <w:szCs w:val="13"/>
                <w:color w:val="auto"/>
              </w:rPr>
              <w:t>618</w:t>
            </w:r>
          </w:p>
        </w:tc>
      </w:tr>
      <w:tr>
        <w:trPr>
          <w:trHeight w:val="721"/>
        </w:trPr>
        <w:tc>
          <w:tcPr>
            <w:tcW w:w="4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jc w:val="center"/>
              <w:ind w:left="80"/>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24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Three Months Ended</w:t>
            </w:r>
          </w:p>
        </w:tc>
        <w:tc>
          <w:tcPr>
            <w:tcW w:w="1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Borders>
              <w:bottom w:val="single" w:sz="8" w:color="auto"/>
            </w:tcBorders>
            <w:gridSpan w:val="3"/>
          </w:tcPr>
          <w:p>
            <w:pPr>
              <w:ind w:left="1320"/>
              <w:spacing w:after="0"/>
              <w:rPr>
                <w:sz w:val="20"/>
                <w:szCs w:val="20"/>
                <w:color w:val="auto"/>
              </w:rPr>
            </w:pPr>
            <w:r>
              <w:rPr>
                <w:rFonts w:ascii="Arial" w:cs="Arial" w:eastAsia="Arial" w:hAnsi="Arial"/>
                <w:sz w:val="10"/>
                <w:szCs w:val="10"/>
                <w:b w:val="1"/>
                <w:bCs w:val="1"/>
                <w:color w:val="auto"/>
              </w:rPr>
              <w:t>Six Months Ended</w:t>
            </w:r>
          </w:p>
        </w:tc>
        <w:tc>
          <w:tcPr>
            <w:tcW w:w="1240" w:type="dxa"/>
            <w:vAlign w:val="bottom"/>
            <w:tcBorders>
              <w:bottom w:val="single" w:sz="8" w:color="auto"/>
            </w:tcBorders>
          </w:tcPr>
          <w:p>
            <w:pPr>
              <w:spacing w:after="0"/>
              <w:rPr>
                <w:sz w:val="11"/>
                <w:szCs w:val="11"/>
                <w:color w:val="auto"/>
              </w:rPr>
            </w:pPr>
          </w:p>
        </w:tc>
      </w:tr>
      <w:tr>
        <w:trPr>
          <w:trHeight w:val="132"/>
        </w:trPr>
        <w:tc>
          <w:tcPr>
            <w:tcW w:w="4240" w:type="dxa"/>
            <w:vAlign w:val="bottom"/>
          </w:tcPr>
          <w:p>
            <w:pPr>
              <w:spacing w:after="0"/>
              <w:rPr>
                <w:sz w:val="11"/>
                <w:szCs w:val="11"/>
                <w:color w:val="auto"/>
              </w:rPr>
            </w:pPr>
          </w:p>
        </w:tc>
        <w:tc>
          <w:tcPr>
            <w:tcW w:w="1200" w:type="dxa"/>
            <w:vAlign w:val="bottom"/>
            <w:tcBorders>
              <w:bottom w:val="single" w:sz="8" w:color="auto"/>
            </w:tcBorders>
          </w:tcPr>
          <w:p>
            <w:pPr>
              <w:ind w:left="520"/>
              <w:spacing w:after="0"/>
              <w:rPr>
                <w:sz w:val="20"/>
                <w:szCs w:val="20"/>
                <w:color w:val="auto"/>
              </w:rPr>
            </w:pPr>
            <w:r>
              <w:rPr>
                <w:rFonts w:ascii="Arial" w:cs="Arial" w:eastAsia="Arial" w:hAnsi="Arial"/>
                <w:sz w:val="10"/>
                <w:szCs w:val="10"/>
                <w:b w:val="1"/>
                <w:bCs w:val="1"/>
                <w:color w:val="auto"/>
              </w:rPr>
              <w:t>June 30, 2021</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58"/>
              <w:spacing w:after="0"/>
              <w:rPr>
                <w:sz w:val="20"/>
                <w:szCs w:val="20"/>
                <w:color w:val="auto"/>
              </w:rPr>
            </w:pPr>
            <w:r>
              <w:rPr>
                <w:rFonts w:ascii="Arial" w:cs="Arial" w:eastAsia="Arial" w:hAnsi="Arial"/>
                <w:sz w:val="10"/>
                <w:szCs w:val="10"/>
                <w:b w:val="1"/>
                <w:bCs w:val="1"/>
                <w:color w:val="auto"/>
              </w:rPr>
              <w:t>June 30, 2020</w:t>
            </w:r>
          </w:p>
        </w:tc>
        <w:tc>
          <w:tcPr>
            <w:tcW w:w="100" w:type="dxa"/>
            <w:vAlign w:val="bottom"/>
          </w:tcPr>
          <w:p>
            <w:pPr>
              <w:spacing w:after="0"/>
              <w:rPr>
                <w:sz w:val="11"/>
                <w:szCs w:val="11"/>
                <w:color w:val="auto"/>
              </w:rPr>
            </w:pPr>
          </w:p>
        </w:tc>
        <w:tc>
          <w:tcPr>
            <w:tcW w:w="1700" w:type="dxa"/>
            <w:vAlign w:val="bottom"/>
            <w:tcBorders>
              <w:bottom w:val="single" w:sz="8" w:color="auto"/>
            </w:tcBorders>
          </w:tcPr>
          <w:p>
            <w:pPr>
              <w:jc w:val="right"/>
              <w:ind w:right="479"/>
              <w:spacing w:after="0"/>
              <w:rPr>
                <w:sz w:val="20"/>
                <w:szCs w:val="20"/>
                <w:color w:val="auto"/>
              </w:rPr>
            </w:pPr>
            <w:r>
              <w:rPr>
                <w:rFonts w:ascii="Arial" w:cs="Arial" w:eastAsia="Arial" w:hAnsi="Arial"/>
                <w:sz w:val="10"/>
                <w:szCs w:val="10"/>
                <w:b w:val="1"/>
                <w:bCs w:val="1"/>
                <w:color w:val="auto"/>
              </w:rPr>
              <w:t>June 30, 2021</w:t>
            </w: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458"/>
              <w:spacing w:after="0"/>
              <w:rPr>
                <w:sz w:val="20"/>
                <w:szCs w:val="20"/>
                <w:color w:val="auto"/>
              </w:rPr>
            </w:pPr>
            <w:r>
              <w:rPr>
                <w:rFonts w:ascii="Arial" w:cs="Arial" w:eastAsia="Arial" w:hAnsi="Arial"/>
                <w:sz w:val="10"/>
                <w:szCs w:val="10"/>
                <w:b w:val="1"/>
                <w:bCs w:val="1"/>
                <w:color w:val="auto"/>
              </w:rPr>
              <w:t>June 30, 2020</w:t>
            </w:r>
          </w:p>
        </w:tc>
      </w:tr>
      <w:tr>
        <w:trPr>
          <w:trHeight w:val="152"/>
        </w:trPr>
        <w:tc>
          <w:tcPr>
            <w:tcW w:w="5440" w:type="dxa"/>
            <w:vAlign w:val="bottom"/>
            <w:gridSpan w:val="2"/>
          </w:tcPr>
          <w:p>
            <w:pPr>
              <w:ind w:left="20"/>
              <w:spacing w:after="0"/>
              <w:rPr>
                <w:sz w:val="20"/>
                <w:szCs w:val="20"/>
                <w:color w:val="auto"/>
              </w:rPr>
            </w:pPr>
            <w:r>
              <w:rPr>
                <w:rFonts w:ascii="Arial" w:cs="Arial" w:eastAsia="Arial" w:hAnsi="Arial"/>
                <w:sz w:val="13"/>
                <w:szCs w:val="13"/>
                <w:color w:val="auto"/>
              </w:rPr>
              <w:t>Market Share</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72"/>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United States – Cars</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7.0 %</w:t>
            </w:r>
          </w:p>
        </w:tc>
      </w:tr>
      <w:tr>
        <w:trPr>
          <w:trHeight w:val="168"/>
        </w:trPr>
        <w:tc>
          <w:tcPr>
            <w:tcW w:w="5440" w:type="dxa"/>
            <w:vAlign w:val="bottom"/>
            <w:gridSpan w:val="2"/>
          </w:tcPr>
          <w:p>
            <w:pPr>
              <w:ind w:left="140"/>
              <w:spacing w:after="0"/>
              <w:rPr>
                <w:sz w:val="20"/>
                <w:szCs w:val="20"/>
                <w:color w:val="auto"/>
              </w:rPr>
            </w:pPr>
            <w:r>
              <w:rPr>
                <w:rFonts w:ascii="Arial" w:cs="Arial" w:eastAsia="Arial" w:hAnsi="Arial"/>
                <w:sz w:val="13"/>
                <w:szCs w:val="13"/>
                <w:color w:val="auto"/>
              </w:rPr>
              <w:t>United States – Trucks</w:t>
            </w:r>
          </w:p>
        </w:tc>
        <w:tc>
          <w:tcPr>
            <w:tcW w:w="480" w:type="dxa"/>
            <w:vAlign w:val="bottom"/>
          </w:tcPr>
          <w:p>
            <w:pPr>
              <w:jc w:val="right"/>
              <w:spacing w:after="0"/>
              <w:rPr>
                <w:sz w:val="20"/>
                <w:szCs w:val="20"/>
                <w:color w:val="auto"/>
              </w:rPr>
            </w:pPr>
            <w:r>
              <w:rPr>
                <w:rFonts w:ascii="Arial" w:cs="Arial" w:eastAsia="Arial" w:hAnsi="Arial"/>
                <w:sz w:val="13"/>
                <w:szCs w:val="13"/>
                <w:color w:val="auto"/>
              </w:rPr>
              <w:t>31.2 %</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30.0 %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30.1 %</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30.4 %</w:t>
            </w:r>
          </w:p>
        </w:tc>
      </w:tr>
      <w:tr>
        <w:trPr>
          <w:trHeight w:val="172"/>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United States – Crossovers</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14.0 %</w:t>
            </w:r>
          </w:p>
        </w:tc>
      </w:tr>
      <w:tr>
        <w:trPr>
          <w:trHeight w:val="168"/>
        </w:trPr>
        <w:tc>
          <w:tcPr>
            <w:tcW w:w="5440" w:type="dxa"/>
            <w:vAlign w:val="bottom"/>
            <w:gridSpan w:val="2"/>
          </w:tcPr>
          <w:p>
            <w:pPr>
              <w:ind w:left="140"/>
              <w:spacing w:after="0"/>
              <w:rPr>
                <w:sz w:val="20"/>
                <w:szCs w:val="20"/>
                <w:color w:val="auto"/>
              </w:rPr>
            </w:pPr>
            <w:r>
              <w:rPr>
                <w:rFonts w:ascii="Arial" w:cs="Arial" w:eastAsia="Arial" w:hAnsi="Arial"/>
                <w:sz w:val="13"/>
                <w:szCs w:val="13"/>
                <w:color w:val="auto"/>
              </w:rPr>
              <w:t>Total United States</w:t>
            </w:r>
          </w:p>
        </w:tc>
        <w:tc>
          <w:tcPr>
            <w:tcW w:w="480" w:type="dxa"/>
            <w:vAlign w:val="bottom"/>
          </w:tcPr>
          <w:p>
            <w:pPr>
              <w:jc w:val="right"/>
              <w:spacing w:after="0"/>
              <w:rPr>
                <w:sz w:val="20"/>
                <w:szCs w:val="20"/>
                <w:color w:val="auto"/>
              </w:rPr>
            </w:pPr>
            <w:r>
              <w:rPr>
                <w:rFonts w:ascii="Arial" w:cs="Arial" w:eastAsia="Arial" w:hAnsi="Arial"/>
                <w:sz w:val="13"/>
                <w:szCs w:val="13"/>
                <w:color w:val="auto"/>
              </w:rPr>
              <w:t>15.2 %</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16.3 %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15.6 %</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16.8 %</w:t>
            </w:r>
          </w:p>
        </w:tc>
      </w:tr>
      <w:tr>
        <w:trPr>
          <w:trHeight w:val="172"/>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North America</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16.4 %</w:t>
            </w:r>
          </w:p>
        </w:tc>
      </w:tr>
      <w:tr>
        <w:trPr>
          <w:trHeight w:val="168"/>
        </w:trPr>
        <w:tc>
          <w:tcPr>
            <w:tcW w:w="5440" w:type="dxa"/>
            <w:vAlign w:val="bottom"/>
            <w:gridSpan w:val="2"/>
          </w:tcPr>
          <w:p>
            <w:pPr>
              <w:ind w:left="140"/>
              <w:spacing w:after="0"/>
              <w:rPr>
                <w:sz w:val="20"/>
                <w:szCs w:val="20"/>
                <w:color w:val="auto"/>
              </w:rPr>
            </w:pPr>
            <w:r>
              <w:rPr>
                <w:rFonts w:ascii="Arial" w:cs="Arial" w:eastAsia="Arial" w:hAnsi="Arial"/>
                <w:sz w:val="13"/>
                <w:szCs w:val="13"/>
                <w:color w:val="auto"/>
              </w:rPr>
              <w:t>Total Asia/Pacific, Middle East and Africa</w:t>
            </w:r>
          </w:p>
        </w:tc>
        <w:tc>
          <w:tcPr>
            <w:tcW w:w="480" w:type="dxa"/>
            <w:vAlign w:val="bottom"/>
          </w:tcPr>
          <w:p>
            <w:pPr>
              <w:jc w:val="right"/>
              <w:spacing w:after="0"/>
              <w:rPr>
                <w:sz w:val="20"/>
                <w:szCs w:val="20"/>
                <w:color w:val="auto"/>
              </w:rPr>
            </w:pPr>
            <w:r>
              <w:rPr>
                <w:rFonts w:ascii="Arial" w:cs="Arial" w:eastAsia="Arial" w:hAnsi="Arial"/>
                <w:sz w:val="13"/>
                <w:szCs w:val="13"/>
                <w:color w:val="auto"/>
              </w:rPr>
              <w:t>7.7 %</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8.8 %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7.5 %</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7.9 %</w:t>
            </w:r>
          </w:p>
        </w:tc>
      </w:tr>
      <w:tr>
        <w:trPr>
          <w:trHeight w:val="172"/>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South America</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15.0 %</w:t>
            </w:r>
          </w:p>
        </w:tc>
      </w:tr>
      <w:tr>
        <w:trPr>
          <w:trHeight w:val="168"/>
        </w:trPr>
        <w:tc>
          <w:tcPr>
            <w:tcW w:w="5440" w:type="dxa"/>
            <w:vAlign w:val="bottom"/>
            <w:gridSpan w:val="2"/>
          </w:tcPr>
          <w:p>
            <w:pPr>
              <w:ind w:left="20"/>
              <w:spacing w:after="0"/>
              <w:rPr>
                <w:sz w:val="20"/>
                <w:szCs w:val="20"/>
                <w:color w:val="auto"/>
              </w:rPr>
            </w:pPr>
            <w:r>
              <w:rPr>
                <w:rFonts w:ascii="Arial" w:cs="Arial" w:eastAsia="Arial" w:hAnsi="Arial"/>
                <w:sz w:val="13"/>
                <w:szCs w:val="13"/>
                <w:color w:val="auto"/>
              </w:rPr>
              <w:t>Total GM Market</w:t>
            </w:r>
          </w:p>
        </w:tc>
        <w:tc>
          <w:tcPr>
            <w:tcW w:w="480" w:type="dxa"/>
            <w:vAlign w:val="bottom"/>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10.9 %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9.9 %</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10.6 %</w:t>
            </w:r>
          </w:p>
        </w:tc>
      </w:tr>
      <w:tr>
        <w:trPr>
          <w:trHeight w:val="172"/>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8.6 %</w:t>
            </w:r>
          </w:p>
        </w:tc>
      </w:tr>
      <w:tr>
        <w:trPr>
          <w:trHeight w:val="85"/>
        </w:trPr>
        <w:tc>
          <w:tcPr>
            <w:tcW w:w="4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17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United States fleet sales as a percentage of retail vehicle sales</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20.7 %</w:t>
            </w:r>
          </w:p>
        </w:tc>
      </w:tr>
      <w:tr>
        <w:trPr>
          <w:trHeight w:val="85"/>
        </w:trPr>
        <w:tc>
          <w:tcPr>
            <w:tcW w:w="4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17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North America capacity two-shift utilization</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71.8 %</w:t>
            </w:r>
          </w:p>
        </w:tc>
      </w:tr>
      <w:tr>
        <w:trPr>
          <w:trHeight w:val="717"/>
        </w:trPr>
        <w:tc>
          <w:tcPr>
            <w:tcW w:w="4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9</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9" w:name="page20"/>
    <w:bookmarkEnd w:id="19"/>
    <w:p>
      <w:pPr>
        <w:ind w:left="442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Combining Income Statement Information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3"/>
          <w:szCs w:val="13"/>
          <w:i w:val="1"/>
          <w:iCs w:val="1"/>
          <w:color w:val="auto"/>
        </w:rPr>
        <w:t>(In millions) (Unaudited)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5"/>
          </w:tcPr>
          <w:p>
            <w:pPr>
              <w:ind w:left="20"/>
              <w:spacing w:after="0"/>
              <w:rPr>
                <w:sz w:val="20"/>
                <w:szCs w:val="20"/>
                <w:color w:val="auto"/>
              </w:rPr>
            </w:pPr>
            <w:r>
              <w:rPr>
                <w:rFonts w:ascii="Arial" w:cs="Arial" w:eastAsia="Arial" w:hAnsi="Arial"/>
                <w:sz w:val="8"/>
                <w:szCs w:val="8"/>
                <w:b w:val="1"/>
                <w:bCs w:val="1"/>
                <w:color w:val="auto"/>
              </w:rPr>
              <w:t>Three Months Ended June 30, 2021</w:t>
            </w: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6"/>
          </w:tcPr>
          <w:p>
            <w:pPr>
              <w:ind w:left="40"/>
              <w:spacing w:after="0"/>
              <w:rPr>
                <w:sz w:val="20"/>
                <w:szCs w:val="20"/>
                <w:color w:val="auto"/>
              </w:rPr>
            </w:pPr>
            <w:r>
              <w:rPr>
                <w:rFonts w:ascii="Arial" w:cs="Arial" w:eastAsia="Arial" w:hAnsi="Arial"/>
                <w:sz w:val="8"/>
                <w:szCs w:val="8"/>
                <w:b w:val="1"/>
                <w:bCs w:val="1"/>
                <w:color w:val="auto"/>
              </w:rPr>
              <w:t>Three Months Ended June 30, 2020</w:t>
            </w: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85"/>
              <w:spacing w:after="0"/>
              <w:rPr>
                <w:sz w:val="20"/>
                <w:szCs w:val="20"/>
                <w:color w:val="auto"/>
              </w:rPr>
            </w:pPr>
            <w:r>
              <w:rPr>
                <w:rFonts w:ascii="Arial" w:cs="Arial" w:eastAsia="Arial" w:hAnsi="Arial"/>
                <w:sz w:val="8"/>
                <w:szCs w:val="8"/>
                <w:b w:val="1"/>
                <w:bCs w:val="1"/>
                <w:color w:val="auto"/>
              </w:rPr>
              <w:t>Automotive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124"/>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8"/>
                <w:szCs w:val="8"/>
                <w:b w:val="1"/>
                <w:bCs w:val="1"/>
                <w:color w:val="auto"/>
              </w:rPr>
              <w:t>GM Financial</w:t>
            </w:r>
          </w:p>
        </w:tc>
        <w:tc>
          <w:tcPr>
            <w:tcW w:w="160" w:type="dxa"/>
            <w:vAlign w:val="bottom"/>
          </w:tcPr>
          <w:p>
            <w:pPr>
              <w:spacing w:after="0"/>
              <w:rPr>
                <w:sz w:val="10"/>
                <w:szCs w:val="10"/>
                <w:color w:val="auto"/>
              </w:rPr>
            </w:pPr>
          </w:p>
        </w:tc>
        <w:tc>
          <w:tcPr>
            <w:tcW w:w="1340" w:type="dxa"/>
            <w:vAlign w:val="bottom"/>
            <w:gridSpan w:val="4"/>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40" w:type="dxa"/>
            <w:vAlign w:val="bottom"/>
          </w:tcPr>
          <w:p>
            <w:pPr>
              <w:spacing w:after="0"/>
              <w:rPr>
                <w:sz w:val="10"/>
                <w:szCs w:val="10"/>
                <w:color w:val="auto"/>
              </w:rPr>
            </w:pPr>
          </w:p>
        </w:tc>
        <w:tc>
          <w:tcPr>
            <w:tcW w:w="540" w:type="dxa"/>
            <w:vAlign w:val="bottom"/>
          </w:tcPr>
          <w:p>
            <w:pPr>
              <w:jc w:val="right"/>
              <w:ind w:right="24"/>
              <w:spacing w:after="0"/>
              <w:rPr>
                <w:sz w:val="20"/>
                <w:szCs w:val="20"/>
                <w:color w:val="auto"/>
              </w:rPr>
            </w:pPr>
            <w:r>
              <w:rPr>
                <w:rFonts w:ascii="Arial" w:cs="Arial" w:eastAsia="Arial" w:hAnsi="Arial"/>
                <w:sz w:val="8"/>
                <w:szCs w:val="8"/>
                <w:b w:val="1"/>
                <w:bCs w:val="1"/>
                <w:color w:val="auto"/>
              </w:rPr>
              <w:t>Combined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480" w:type="dxa"/>
            <w:vAlign w:val="bottom"/>
            <w:gridSpan w:val="2"/>
          </w:tcPr>
          <w:p>
            <w:pPr>
              <w:jc w:val="right"/>
              <w:ind w:right="138"/>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4"/>
          </w:tcPr>
          <w:p>
            <w:pPr>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10"/>
                <w:szCs w:val="1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20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Net sales and revenue</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30,745</w:t>
            </w:r>
          </w:p>
        </w:tc>
        <w:tc>
          <w:tcPr>
            <w:tcW w:w="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25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CCEEFF"/>
            </w:tcBorders>
            <w:gridSpan w:val="2"/>
            <w:shd w:val="clear" w:color="auto" w:fill="CCEEFF"/>
          </w:tcPr>
          <w:p>
            <w:pPr>
              <w:jc w:val="right"/>
              <w:ind w:right="127"/>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5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30,744</w:t>
            </w: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ind w:right="44"/>
              <w:spacing w:after="0"/>
              <w:rPr>
                <w:sz w:val="20"/>
                <w:szCs w:val="20"/>
                <w:color w:val="auto"/>
              </w:rPr>
            </w:pPr>
            <w:r>
              <w:rPr>
                <w:rFonts w:ascii="Arial" w:cs="Arial" w:eastAsia="Arial" w:hAnsi="Arial"/>
                <w:sz w:val="11"/>
                <w:szCs w:val="11"/>
                <w:color w:val="auto"/>
              </w:rPr>
              <w:t>13,361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1"/>
                <w:szCs w:val="11"/>
                <w:color w:val="auto"/>
              </w:rPr>
              <w:t>28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13,363</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000" w:type="dxa"/>
            <w:vAlign w:val="bottom"/>
          </w:tcPr>
          <w:p>
            <w:pPr>
              <w:ind w:left="120"/>
              <w:spacing w:after="0"/>
              <w:rPr>
                <w:sz w:val="20"/>
                <w:szCs w:val="20"/>
                <w:color w:val="auto"/>
              </w:rPr>
            </w:pPr>
            <w:r>
              <w:rPr>
                <w:rFonts w:ascii="Arial" w:cs="Arial" w:eastAsia="Arial" w:hAnsi="Arial"/>
                <w:sz w:val="10"/>
                <w:szCs w:val="10"/>
                <w:color w:val="auto"/>
              </w:rPr>
              <w:t>GM Financial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7"/>
              <w:spacing w:after="0"/>
              <w:rPr>
                <w:sz w:val="20"/>
                <w:szCs w:val="20"/>
                <w:color w:val="auto"/>
              </w:rPr>
            </w:pPr>
            <w:r>
              <w:rPr>
                <w:rFonts w:ascii="Arial" w:cs="Arial" w:eastAsia="Arial" w:hAnsi="Arial"/>
                <w:sz w:val="11"/>
                <w:szCs w:val="11"/>
                <w:color w:val="auto"/>
              </w:rPr>
              <w:t>3,426</w:t>
            </w:r>
          </w:p>
        </w:tc>
        <w:tc>
          <w:tcPr>
            <w:tcW w:w="7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
              <w:spacing w:after="0"/>
              <w:rPr>
                <w:sz w:val="20"/>
                <w:szCs w:val="20"/>
                <w:color w:val="auto"/>
              </w:rPr>
            </w:pPr>
            <w:r>
              <w:rPr>
                <w:rFonts w:ascii="Arial" w:cs="Arial" w:eastAsia="Arial" w:hAnsi="Arial"/>
                <w:sz w:val="11"/>
                <w:szCs w:val="11"/>
                <w:color w:val="auto"/>
              </w:rPr>
              <w:t>3,423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3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7"/>
              <w:spacing w:after="0"/>
              <w:rPr>
                <w:sz w:val="20"/>
                <w:szCs w:val="20"/>
                <w:color w:val="auto"/>
              </w:rPr>
            </w:pPr>
            <w:r>
              <w:rPr>
                <w:rFonts w:ascii="Arial" w:cs="Arial" w:eastAsia="Arial" w:hAnsi="Arial"/>
                <w:sz w:val="11"/>
                <w:szCs w:val="11"/>
                <w:color w:val="auto"/>
              </w:rPr>
              <w:t>3,423</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w w:val="88"/>
              </w:rPr>
              <w:t>(8)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3,415</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Total net sales and revenue</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30,745</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right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25</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right w:val="single" w:sz="8" w:color="CCEEFF"/>
            </w:tcBorders>
            <w:gridSpan w:val="2"/>
            <w:shd w:val="clear" w:color="auto" w:fill="CCEEFF"/>
          </w:tcPr>
          <w:p>
            <w:pPr>
              <w:jc w:val="right"/>
              <w:ind w:right="127"/>
              <w:spacing w:after="0"/>
              <w:rPr>
                <w:sz w:val="20"/>
                <w:szCs w:val="20"/>
                <w:color w:val="auto"/>
              </w:rPr>
            </w:pPr>
            <w:r>
              <w:rPr>
                <w:rFonts w:ascii="Arial" w:cs="Arial" w:eastAsia="Arial" w:hAnsi="Arial"/>
                <w:sz w:val="11"/>
                <w:szCs w:val="11"/>
                <w:color w:val="auto"/>
              </w:rPr>
              <w:t>3,426</w:t>
            </w:r>
          </w:p>
        </w:tc>
        <w:tc>
          <w:tcPr>
            <w:tcW w:w="7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(29)</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ind w:right="3"/>
              <w:spacing w:after="0"/>
              <w:rPr>
                <w:sz w:val="20"/>
                <w:szCs w:val="20"/>
                <w:color w:val="auto"/>
              </w:rPr>
            </w:pPr>
            <w:r>
              <w:rPr>
                <w:rFonts w:ascii="Arial" w:cs="Arial" w:eastAsia="Arial" w:hAnsi="Arial"/>
                <w:sz w:val="11"/>
                <w:szCs w:val="11"/>
                <w:color w:val="auto"/>
              </w:rPr>
              <w:t>34,167</w:t>
            </w: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right w:val="single" w:sz="8" w:color="CCEEFF"/>
            </w:tcBorders>
            <w:shd w:val="clear" w:color="auto" w:fill="CCEEFF"/>
          </w:tcPr>
          <w:p>
            <w:pPr>
              <w:jc w:val="right"/>
              <w:ind w:right="44"/>
              <w:spacing w:after="0"/>
              <w:rPr>
                <w:sz w:val="20"/>
                <w:szCs w:val="20"/>
                <w:color w:val="auto"/>
              </w:rPr>
            </w:pPr>
            <w:r>
              <w:rPr>
                <w:rFonts w:ascii="Arial" w:cs="Arial" w:eastAsia="Arial" w:hAnsi="Arial"/>
                <w:sz w:val="11"/>
                <w:szCs w:val="11"/>
                <w:color w:val="auto"/>
              </w:rPr>
              <w:t>13,361</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right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1"/>
                <w:szCs w:val="11"/>
                <w:color w:val="auto"/>
              </w:rPr>
              <w:t>28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1"/>
                <w:szCs w:val="11"/>
                <w:color w:val="auto"/>
              </w:rPr>
              <w:t>3,423</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16,778</w:t>
            </w: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000" w:type="dxa"/>
            <w:vAlign w:val="bottom"/>
          </w:tcPr>
          <w:p>
            <w:pPr>
              <w:ind w:left="20"/>
              <w:spacing w:after="0"/>
              <w:rPr>
                <w:sz w:val="20"/>
                <w:szCs w:val="20"/>
                <w:color w:val="auto"/>
              </w:rPr>
            </w:pPr>
            <w:r>
              <w:rPr>
                <w:rFonts w:ascii="Arial" w:cs="Arial" w:eastAsia="Arial" w:hAnsi="Arial"/>
                <w:sz w:val="10"/>
                <w:szCs w:val="10"/>
                <w:b w:val="1"/>
                <w:bCs w:val="1"/>
                <w:color w:val="auto"/>
              </w:rPr>
              <w:t>Costs and expenses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2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 and other cost of sales</w:t>
            </w: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26,953</w:t>
            </w:r>
          </w:p>
        </w:tc>
        <w:tc>
          <w:tcPr>
            <w:tcW w:w="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313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7"/>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27,266</w:t>
            </w: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44"/>
              <w:spacing w:after="0"/>
              <w:rPr>
                <w:sz w:val="20"/>
                <w:szCs w:val="20"/>
                <w:color w:val="auto"/>
              </w:rPr>
            </w:pPr>
            <w:r>
              <w:rPr>
                <w:rFonts w:ascii="Arial" w:cs="Arial" w:eastAsia="Arial" w:hAnsi="Arial"/>
                <w:sz w:val="11"/>
                <w:szCs w:val="11"/>
                <w:color w:val="auto"/>
              </w:rPr>
              <w:t>13,256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tcBorders>
              <w:right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1"/>
                <w:szCs w:val="11"/>
                <w:color w:val="auto"/>
              </w:rPr>
              <w:t>188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13,444</w:t>
            </w: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000" w:type="dxa"/>
            <w:vAlign w:val="bottom"/>
          </w:tcPr>
          <w:p>
            <w:pPr>
              <w:ind w:left="120"/>
              <w:spacing w:after="0" w:line="102" w:lineRule="exact"/>
              <w:rPr>
                <w:sz w:val="20"/>
                <w:szCs w:val="20"/>
                <w:color w:val="auto"/>
              </w:rPr>
            </w:pPr>
            <w:r>
              <w:rPr>
                <w:rFonts w:ascii="Arial" w:cs="Arial" w:eastAsia="Arial" w:hAnsi="Arial"/>
                <w:sz w:val="10"/>
                <w:szCs w:val="10"/>
                <w:color w:val="auto"/>
                <w:w w:val="99"/>
              </w:rPr>
              <w:t>GM Financial interest, operating and other</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500" w:type="dxa"/>
            <w:vAlign w:val="bottom"/>
            <w:vMerge w:val="restart"/>
          </w:tcPr>
          <w:p>
            <w:pPr>
              <w:jc w:val="right"/>
              <w:ind w:right="2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restart"/>
          </w:tcPr>
          <w:p>
            <w:pPr>
              <w:jc w:val="right"/>
              <w:ind w:right="127"/>
              <w:spacing w:after="0"/>
              <w:rPr>
                <w:sz w:val="20"/>
                <w:szCs w:val="20"/>
                <w:color w:val="auto"/>
              </w:rPr>
            </w:pPr>
            <w:r>
              <w:rPr>
                <w:rFonts w:ascii="Arial" w:cs="Arial" w:eastAsia="Arial" w:hAnsi="Arial"/>
                <w:sz w:val="11"/>
                <w:szCs w:val="11"/>
                <w:color w:val="auto"/>
              </w:rPr>
              <w:t>1,895</w:t>
            </w:r>
          </w:p>
        </w:tc>
        <w:tc>
          <w:tcPr>
            <w:tcW w:w="740" w:type="dxa"/>
            <w:vAlign w:val="bottom"/>
          </w:tcPr>
          <w:p>
            <w:pPr>
              <w:spacing w:after="0"/>
              <w:rPr>
                <w:sz w:val="8"/>
                <w:szCs w:val="8"/>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1,894</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480" w:type="dxa"/>
            <w:vAlign w:val="bottom"/>
            <w:gridSpan w:val="2"/>
            <w:vMerge w:val="restart"/>
          </w:tcPr>
          <w:p>
            <w:pPr>
              <w:jc w:val="right"/>
              <w:ind w:right="3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restart"/>
          </w:tcPr>
          <w:p>
            <w:pPr>
              <w:jc w:val="right"/>
              <w:ind w:right="27"/>
              <w:spacing w:after="0"/>
              <w:rPr>
                <w:sz w:val="20"/>
                <w:szCs w:val="20"/>
                <w:color w:val="auto"/>
              </w:rPr>
            </w:pPr>
            <w:r>
              <w:rPr>
                <w:rFonts w:ascii="Arial" w:cs="Arial" w:eastAsia="Arial" w:hAnsi="Arial"/>
                <w:sz w:val="11"/>
                <w:szCs w:val="11"/>
                <w:color w:val="auto"/>
              </w:rPr>
              <w:t>3,239</w:t>
            </w: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w w:val="88"/>
              </w:rPr>
              <w:t>(1)</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3,238</w:t>
            </w: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000" w:type="dxa"/>
            <w:vAlign w:val="bottom"/>
          </w:tcPr>
          <w:p>
            <w:pPr>
              <w:ind w:left="240"/>
              <w:spacing w:after="0"/>
              <w:rPr>
                <w:sz w:val="20"/>
                <w:szCs w:val="20"/>
                <w:color w:val="auto"/>
              </w:rPr>
            </w:pPr>
            <w:r>
              <w:rPr>
                <w:rFonts w:ascii="Arial" w:cs="Arial" w:eastAsia="Arial" w:hAnsi="Arial"/>
                <w:sz w:val="10"/>
                <w:szCs w:val="10"/>
                <w:color w:val="auto"/>
              </w:rPr>
              <w:t>expenses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000" w:type="dxa"/>
            <w:vAlign w:val="bottom"/>
            <w:shd w:val="clear" w:color="auto" w:fill="CCEEFF"/>
          </w:tcPr>
          <w:p>
            <w:pPr>
              <w:ind w:left="120"/>
              <w:spacing w:after="0" w:line="102" w:lineRule="exact"/>
              <w:rPr>
                <w:sz w:val="20"/>
                <w:szCs w:val="20"/>
                <w:color w:val="auto"/>
              </w:rPr>
            </w:pPr>
            <w:r>
              <w:rPr>
                <w:rFonts w:ascii="Arial" w:cs="Arial" w:eastAsia="Arial" w:hAnsi="Arial"/>
                <w:sz w:val="10"/>
                <w:szCs w:val="10"/>
                <w:color w:val="auto"/>
              </w:rPr>
              <w:t>Automotive and other selling, general and</w:t>
            </w:r>
          </w:p>
        </w:tc>
        <w:tc>
          <w:tcPr>
            <w:tcW w:w="16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2,050</w:t>
            </w:r>
          </w:p>
        </w:tc>
        <w:tc>
          <w:tcPr>
            <w:tcW w:w="4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Borders>
              <w:right w:val="single" w:sz="8" w:color="CCEEFF"/>
            </w:tcBorders>
            <w:vMerge w:val="restart"/>
            <w:shd w:val="clear" w:color="auto" w:fill="CCEEFF"/>
          </w:tcPr>
          <w:p>
            <w:pPr>
              <w:jc w:val="right"/>
              <w:ind w:right="24"/>
              <w:spacing w:after="0"/>
              <w:rPr>
                <w:sz w:val="20"/>
                <w:szCs w:val="20"/>
                <w:color w:val="auto"/>
              </w:rPr>
            </w:pPr>
            <w:r>
              <w:rPr>
                <w:rFonts w:ascii="Arial" w:cs="Arial" w:eastAsia="Arial" w:hAnsi="Arial"/>
                <w:sz w:val="11"/>
                <w:szCs w:val="11"/>
                <w:color w:val="auto"/>
              </w:rPr>
              <w:t>75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tcBorders>
              <w:right w:val="single" w:sz="8" w:color="CCEEFF"/>
            </w:tcBorders>
            <w:gridSpan w:val="2"/>
            <w:vMerge w:val="restart"/>
            <w:shd w:val="clear" w:color="auto" w:fill="CCEEFF"/>
          </w:tcPr>
          <w:p>
            <w:pPr>
              <w:jc w:val="right"/>
              <w:ind w:right="127"/>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8"/>
                <w:szCs w:val="8"/>
                <w:color w:val="auto"/>
              </w:rPr>
            </w:pPr>
          </w:p>
        </w:tc>
        <w:tc>
          <w:tcPr>
            <w:tcW w:w="6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2,125</w:t>
            </w:r>
          </w:p>
        </w:tc>
        <w:tc>
          <w:tcPr>
            <w:tcW w:w="10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tcBorders>
              <w:right w:val="single" w:sz="8" w:color="CCEEFF"/>
            </w:tcBorders>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1,251</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tcBorders>
              <w:right w:val="single" w:sz="8" w:color="CCEEFF"/>
            </w:tcBorders>
            <w:gridSpan w:val="2"/>
            <w:vMerge w:val="restart"/>
            <w:shd w:val="clear" w:color="auto" w:fill="CCEEFF"/>
          </w:tcPr>
          <w:p>
            <w:pPr>
              <w:jc w:val="right"/>
              <w:ind w:right="38"/>
              <w:spacing w:after="0"/>
              <w:rPr>
                <w:sz w:val="20"/>
                <w:szCs w:val="20"/>
                <w:color w:val="auto"/>
              </w:rPr>
            </w:pPr>
            <w:r>
              <w:rPr>
                <w:rFonts w:ascii="Arial" w:cs="Arial" w:eastAsia="Arial" w:hAnsi="Arial"/>
                <w:sz w:val="11"/>
                <w:szCs w:val="11"/>
                <w:color w:val="auto"/>
              </w:rPr>
              <w:t>59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8"/>
                <w:szCs w:val="8"/>
                <w:color w:val="auto"/>
              </w:rPr>
            </w:pPr>
          </w:p>
        </w:tc>
        <w:tc>
          <w:tcPr>
            <w:tcW w:w="360" w:type="dxa"/>
            <w:vAlign w:val="bottom"/>
            <w:tcBorders>
              <w:right w:val="single" w:sz="8" w:color="CCEEFF"/>
            </w:tcBorders>
            <w:shd w:val="clear" w:color="auto" w:fill="CCEEFF"/>
          </w:tcPr>
          <w:p>
            <w:pPr>
              <w:spacing w:after="0"/>
              <w:rPr>
                <w:sz w:val="8"/>
                <w:szCs w:val="8"/>
                <w:color w:val="auto"/>
              </w:rPr>
            </w:pPr>
          </w:p>
        </w:tc>
        <w:tc>
          <w:tcPr>
            <w:tcW w:w="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1,310</w:t>
            </w: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0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administrative expense</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gridSpan w:val="3"/>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vMerge w:val="continue"/>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costs and expenses</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29,003</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rPr>
              <w:t>388</w:t>
            </w:r>
          </w:p>
        </w:tc>
        <w:tc>
          <w:tcPr>
            <w:tcW w:w="8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27"/>
              <w:spacing w:after="0"/>
              <w:rPr>
                <w:sz w:val="20"/>
                <w:szCs w:val="20"/>
                <w:color w:val="auto"/>
              </w:rPr>
            </w:pPr>
            <w:r>
              <w:rPr>
                <w:rFonts w:ascii="Arial" w:cs="Arial" w:eastAsia="Arial" w:hAnsi="Arial"/>
                <w:sz w:val="11"/>
                <w:szCs w:val="11"/>
                <w:color w:val="auto"/>
              </w:rPr>
              <w:t>1,895</w:t>
            </w:r>
          </w:p>
        </w:tc>
        <w:tc>
          <w:tcPr>
            <w:tcW w:w="7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3"/>
              <w:spacing w:after="0"/>
              <w:rPr>
                <w:sz w:val="20"/>
                <w:szCs w:val="20"/>
                <w:color w:val="auto"/>
              </w:rPr>
            </w:pPr>
            <w:r>
              <w:rPr>
                <w:rFonts w:ascii="Arial" w:cs="Arial" w:eastAsia="Arial" w:hAnsi="Arial"/>
                <w:sz w:val="11"/>
                <w:szCs w:val="11"/>
                <w:color w:val="auto"/>
              </w:rPr>
              <w:t>31,285</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1"/>
                <w:szCs w:val="11"/>
                <w:color w:val="auto"/>
              </w:rPr>
              <w:t>14,507</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38"/>
              <w:spacing w:after="0"/>
              <w:rPr>
                <w:sz w:val="20"/>
                <w:szCs w:val="20"/>
                <w:color w:val="auto"/>
              </w:rPr>
            </w:pPr>
            <w:r>
              <w:rPr>
                <w:rFonts w:ascii="Arial" w:cs="Arial" w:eastAsia="Arial" w:hAnsi="Arial"/>
                <w:sz w:val="11"/>
                <w:szCs w:val="11"/>
                <w:color w:val="auto"/>
              </w:rPr>
              <w:t>247</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1"/>
                <w:szCs w:val="11"/>
                <w:color w:val="auto"/>
              </w:rPr>
              <w:t>3,239</w:t>
            </w:r>
          </w:p>
        </w:tc>
        <w:tc>
          <w:tcPr>
            <w:tcW w:w="1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88"/>
              </w:rPr>
              <w:t>(1)</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17,992</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Operating income (loss)</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1,742</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27"/>
              <w:spacing w:after="0"/>
              <w:rPr>
                <w:sz w:val="20"/>
                <w:szCs w:val="20"/>
                <w:color w:val="auto"/>
              </w:rPr>
            </w:pPr>
            <w:r>
              <w:rPr>
                <w:rFonts w:ascii="Arial" w:cs="Arial" w:eastAsia="Arial" w:hAnsi="Arial"/>
                <w:sz w:val="11"/>
                <w:szCs w:val="11"/>
                <w:color w:val="auto"/>
              </w:rPr>
              <w:t>1,531</w:t>
            </w:r>
          </w:p>
        </w:tc>
        <w:tc>
          <w:tcPr>
            <w:tcW w:w="740" w:type="dxa"/>
            <w:vAlign w:val="bottom"/>
            <w:shd w:val="clear" w:color="auto" w:fill="CCEEFF"/>
          </w:tcPr>
          <w:p>
            <w:pPr>
              <w:spacing w:after="0"/>
              <w:rPr>
                <w:sz w:val="12"/>
                <w:szCs w:val="12"/>
                <w:color w:val="auto"/>
              </w:rPr>
            </w:pPr>
          </w:p>
        </w:tc>
        <w:tc>
          <w:tcPr>
            <w:tcW w:w="5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2,882</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(1,146)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7"/>
              <w:spacing w:after="0"/>
              <w:rPr>
                <w:sz w:val="20"/>
                <w:szCs w:val="20"/>
                <w:color w:val="auto"/>
              </w:rPr>
            </w:pPr>
            <w:r>
              <w:rPr>
                <w:rFonts w:ascii="Arial" w:cs="Arial" w:eastAsia="Arial" w:hAnsi="Arial"/>
                <w:sz w:val="11"/>
                <w:szCs w:val="11"/>
                <w:color w:val="auto"/>
              </w:rPr>
              <w:t>184</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(1,214)</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000" w:type="dxa"/>
            <w:vAlign w:val="bottom"/>
          </w:tcPr>
          <w:p>
            <w:pPr>
              <w:ind w:left="20"/>
              <w:spacing w:after="0"/>
              <w:rPr>
                <w:sz w:val="20"/>
                <w:szCs w:val="20"/>
                <w:color w:val="auto"/>
              </w:rPr>
            </w:pPr>
            <w:r>
              <w:rPr>
                <w:rFonts w:ascii="Arial" w:cs="Arial" w:eastAsia="Arial" w:hAnsi="Arial"/>
                <w:sz w:val="10"/>
                <w:szCs w:val="10"/>
                <w:color w:val="auto"/>
              </w:rPr>
              <w:t>Automotive interest expense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7"/>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
              <w:spacing w:after="0"/>
              <w:rPr>
                <w:sz w:val="20"/>
                <w:szCs w:val="20"/>
                <w:color w:val="auto"/>
              </w:rPr>
            </w:pPr>
            <w:r>
              <w:rPr>
                <w:rFonts w:ascii="Arial" w:cs="Arial" w:eastAsia="Arial" w:hAnsi="Arial"/>
                <w:sz w:val="11"/>
                <w:szCs w:val="11"/>
                <w:color w:val="auto"/>
              </w:rPr>
              <w:t>243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44"/>
              <w:spacing w:after="0"/>
              <w:rPr>
                <w:sz w:val="20"/>
                <w:szCs w:val="20"/>
                <w:color w:val="auto"/>
              </w:rPr>
            </w:pPr>
            <w:r>
              <w:rPr>
                <w:rFonts w:ascii="Arial" w:cs="Arial" w:eastAsia="Arial" w:hAnsi="Arial"/>
                <w:sz w:val="11"/>
                <w:szCs w:val="11"/>
                <w:color w:val="auto"/>
              </w:rPr>
              <w:t>312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3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w w:val="88"/>
              </w:rPr>
              <w:t>(9)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303</w:t>
            </w: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000" w:type="dxa"/>
            <w:vAlign w:val="bottom"/>
            <w:shd w:val="clear" w:color="auto" w:fill="CCEEFF"/>
          </w:tcPr>
          <w:p>
            <w:pPr>
              <w:ind w:left="20"/>
              <w:spacing w:after="0" w:line="102" w:lineRule="exact"/>
              <w:rPr>
                <w:sz w:val="20"/>
                <w:szCs w:val="20"/>
                <w:color w:val="auto"/>
              </w:rPr>
            </w:pPr>
            <w:r>
              <w:rPr>
                <w:rFonts w:ascii="Arial" w:cs="Arial" w:eastAsia="Arial" w:hAnsi="Arial"/>
                <w:sz w:val="10"/>
                <w:szCs w:val="10"/>
                <w:color w:val="auto"/>
              </w:rPr>
              <w:t>Interest income and other non-operating</w:t>
            </w:r>
          </w:p>
        </w:tc>
        <w:tc>
          <w:tcPr>
            <w:tcW w:w="16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757</w:t>
            </w:r>
          </w:p>
        </w:tc>
        <w:tc>
          <w:tcPr>
            <w:tcW w:w="4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Borders>
              <w:right w:val="single" w:sz="8" w:color="CCEEFF"/>
            </w:tcBorders>
            <w:vMerge w:val="restart"/>
            <w:shd w:val="clear" w:color="auto" w:fill="CCEEFF"/>
          </w:tcPr>
          <w:p>
            <w:pPr>
              <w:jc w:val="right"/>
              <w:ind w:right="24"/>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tcBorders>
              <w:right w:val="single" w:sz="8" w:color="CCEEFF"/>
            </w:tcBorders>
            <w:gridSpan w:val="2"/>
            <w:vMerge w:val="restart"/>
            <w:shd w:val="clear" w:color="auto" w:fill="CCEEFF"/>
          </w:tcPr>
          <w:p>
            <w:pPr>
              <w:jc w:val="right"/>
              <w:ind w:right="127"/>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8"/>
                <w:szCs w:val="8"/>
                <w:color w:val="auto"/>
              </w:rPr>
            </w:pPr>
          </w:p>
        </w:tc>
        <w:tc>
          <w:tcPr>
            <w:tcW w:w="52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784</w:t>
            </w:r>
          </w:p>
        </w:tc>
        <w:tc>
          <w:tcPr>
            <w:tcW w:w="10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tcBorders>
              <w:right w:val="single" w:sz="8" w:color="CCEEFF"/>
            </w:tcBorders>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382</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tcBorders>
              <w:right w:val="single" w:sz="8" w:color="CCEEFF"/>
            </w:tcBorders>
            <w:gridSpan w:val="2"/>
            <w:vMerge w:val="restart"/>
            <w:shd w:val="clear" w:color="auto" w:fill="CCEEFF"/>
          </w:tcPr>
          <w:p>
            <w:pPr>
              <w:jc w:val="right"/>
              <w:ind w:right="38"/>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8"/>
                <w:szCs w:val="8"/>
                <w:color w:val="auto"/>
              </w:rPr>
            </w:pPr>
          </w:p>
        </w:tc>
        <w:tc>
          <w:tcPr>
            <w:tcW w:w="360" w:type="dxa"/>
            <w:vAlign w:val="bottom"/>
            <w:tcBorders>
              <w:right w:val="single" w:sz="8" w:color="CCEEFF"/>
            </w:tcBorders>
            <w:shd w:val="clear" w:color="auto" w:fill="CCEEFF"/>
          </w:tcPr>
          <w:p>
            <w:pPr>
              <w:spacing w:after="0"/>
              <w:rPr>
                <w:sz w:val="8"/>
                <w:szCs w:val="8"/>
                <w:color w:val="auto"/>
              </w:rPr>
            </w:pPr>
          </w:p>
        </w:tc>
        <w:tc>
          <w:tcPr>
            <w:tcW w:w="180" w:type="dxa"/>
            <w:vAlign w:val="bottom"/>
            <w:tcBorders>
              <w:right w:val="single" w:sz="8" w:color="CCEEFF"/>
            </w:tcBorders>
            <w:vMerge w:val="restart"/>
            <w:shd w:val="clear" w:color="auto" w:fill="CCEEFF"/>
          </w:tcPr>
          <w:p>
            <w:pPr>
              <w:jc w:val="right"/>
              <w:ind w:right="24"/>
              <w:spacing w:after="0"/>
              <w:rPr>
                <w:sz w:val="20"/>
                <w:szCs w:val="20"/>
                <w:color w:val="auto"/>
              </w:rPr>
            </w:pPr>
            <w:r>
              <w:rPr>
                <w:rFonts w:ascii="Arial" w:cs="Arial" w:eastAsia="Arial" w:hAnsi="Arial"/>
                <w:sz w:val="10"/>
                <w:szCs w:val="10"/>
                <w:color w:val="auto"/>
                <w:w w:val="71"/>
              </w:rPr>
              <w:t>19</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413</w:t>
            </w: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income, net</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vMerge w:val="continue"/>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Equity income</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277</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1"/>
                <w:szCs w:val="11"/>
                <w:color w:val="auto"/>
              </w:rPr>
              <w:t>50</w:t>
            </w:r>
          </w:p>
        </w:tc>
        <w:tc>
          <w:tcPr>
            <w:tcW w:w="7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1"/>
                <w:szCs w:val="11"/>
                <w:color w:val="auto"/>
              </w:rPr>
              <w:t>327</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170</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1"/>
                <w:szCs w:val="11"/>
                <w:color w:val="auto"/>
              </w:rPr>
              <w:t>42</w:t>
            </w: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212</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Income (loss) before income taxes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2,530</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CCEEFF"/>
            </w:tcBorders>
            <w:gridSpan w:val="2"/>
            <w:shd w:val="clear" w:color="auto" w:fill="CCEEFF"/>
          </w:tcPr>
          <w:p>
            <w:pPr>
              <w:jc w:val="right"/>
              <w:ind w:right="127"/>
              <w:spacing w:after="0"/>
              <w:rPr>
                <w:sz w:val="20"/>
                <w:szCs w:val="20"/>
                <w:color w:val="auto"/>
              </w:rPr>
            </w:pPr>
            <w:r>
              <w:rPr>
                <w:rFonts w:ascii="Arial" w:cs="Arial" w:eastAsia="Arial" w:hAnsi="Arial"/>
                <w:sz w:val="11"/>
                <w:szCs w:val="11"/>
                <w:color w:val="auto"/>
              </w:rPr>
              <w:t>1,581</w:t>
            </w:r>
          </w:p>
        </w:tc>
        <w:tc>
          <w:tcPr>
            <w:tcW w:w="74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3,750</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(906)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27"/>
              <w:spacing w:after="0"/>
              <w:rPr>
                <w:sz w:val="20"/>
                <w:szCs w:val="20"/>
                <w:color w:val="auto"/>
              </w:rPr>
            </w:pPr>
            <w:r>
              <w:rPr>
                <w:rFonts w:ascii="Arial" w:cs="Arial" w:eastAsia="Arial" w:hAnsi="Arial"/>
                <w:sz w:val="11"/>
                <w:szCs w:val="11"/>
                <w:color w:val="auto"/>
              </w:rPr>
              <w:t>226</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(892)</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Income tax expense (benefit)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1"/>
                <w:szCs w:val="11"/>
                <w:color w:val="auto"/>
              </w:rPr>
              <w:t>971</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(112)</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income (loss)</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2,779</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(780)</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240" w:type="dxa"/>
            <w:vAlign w:val="bottom"/>
            <w:tcBorders>
              <w:bottom w:val="single" w:sz="8" w:color="CCEEFF"/>
            </w:tcBorders>
            <w:gridSpan w:val="3"/>
          </w:tcPr>
          <w:p>
            <w:pPr>
              <w:ind w:left="20"/>
              <w:spacing w:after="0"/>
              <w:rPr>
                <w:sz w:val="20"/>
                <w:szCs w:val="20"/>
                <w:color w:val="auto"/>
              </w:rPr>
            </w:pPr>
            <w:r>
              <w:rPr>
                <w:rFonts w:ascii="Arial" w:cs="Arial" w:eastAsia="Arial" w:hAnsi="Arial"/>
                <w:sz w:val="10"/>
                <w:szCs w:val="10"/>
                <w:color w:val="auto"/>
              </w:rPr>
              <w:t>Net loss attributable to noncontrolling interests</w:t>
            </w:r>
          </w:p>
        </w:tc>
        <w:tc>
          <w:tcPr>
            <w:tcW w:w="7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1"/>
                <w:szCs w:val="11"/>
                <w:color w:val="auto"/>
              </w:rPr>
              <w:t>57</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2000" w:type="dxa"/>
            <w:vAlign w:val="bottom"/>
            <w:shd w:val="clear" w:color="auto" w:fill="CCEEFF"/>
          </w:tcPr>
          <w:p>
            <w:pPr>
              <w:ind w:left="20"/>
              <w:spacing w:after="0" w:line="76" w:lineRule="exact"/>
              <w:rPr>
                <w:sz w:val="20"/>
                <w:szCs w:val="20"/>
                <w:color w:val="auto"/>
              </w:rPr>
            </w:pPr>
            <w:r>
              <w:rPr>
                <w:rFonts w:ascii="Arial" w:cs="Arial" w:eastAsia="Arial" w:hAnsi="Arial"/>
                <w:sz w:val="7"/>
                <w:szCs w:val="7"/>
                <w:b w:val="1"/>
                <w:bCs w:val="1"/>
                <w:color w:val="auto"/>
              </w:rPr>
              <w:t>Net income (loss) attributable to</w:t>
            </w:r>
          </w:p>
        </w:tc>
        <w:tc>
          <w:tcPr>
            <w:tcW w:w="16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tcBorders>
              <w:right w:val="single" w:sz="8" w:color="CCEEFF"/>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tcBorders>
              <w:right w:val="single" w:sz="8" w:color="CCEEFF"/>
            </w:tcBorders>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2,836</w:t>
            </w:r>
          </w:p>
        </w:tc>
        <w:tc>
          <w:tcPr>
            <w:tcW w:w="100" w:type="dxa"/>
            <w:vAlign w:val="bottom"/>
            <w:tcBorders>
              <w:right w:val="single" w:sz="8" w:color="CCEEFF"/>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tcBorders>
              <w:right w:val="single" w:sz="8" w:color="CCEEFF"/>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4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360" w:type="dxa"/>
            <w:vAlign w:val="bottom"/>
            <w:tcBorders>
              <w:right w:val="single" w:sz="8" w:color="CCEEFF"/>
            </w:tcBorders>
            <w:shd w:val="clear" w:color="auto" w:fill="CCEEFF"/>
          </w:tcPr>
          <w:p>
            <w:pPr>
              <w:spacing w:after="0"/>
              <w:rPr>
                <w:sz w:val="6"/>
                <w:szCs w:val="6"/>
                <w:color w:val="auto"/>
              </w:rPr>
            </w:pPr>
          </w:p>
        </w:tc>
        <w:tc>
          <w:tcPr>
            <w:tcW w:w="18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1"/>
                <w:szCs w:val="11"/>
                <w:color w:val="auto"/>
              </w:rPr>
              <w:t>(758)</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2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right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right w:val="single" w:sz="8" w:color="CCEEFF"/>
            </w:tcBorders>
            <w:shd w:val="clear" w:color="auto" w:fill="CCEEFF"/>
          </w:tcPr>
          <w:p>
            <w:pPr>
              <w:spacing w:after="0"/>
              <w:rPr>
                <w:sz w:val="11"/>
                <w:szCs w:val="11"/>
                <w:color w:val="auto"/>
              </w:rPr>
            </w:pP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vMerge w:val="continue"/>
            <w:shd w:val="clear" w:color="auto" w:fill="CCEEFF"/>
          </w:tcPr>
          <w:p>
            <w:pPr>
              <w:spacing w:after="0"/>
              <w:rPr>
                <w:sz w:val="11"/>
                <w:szCs w:val="11"/>
                <w:color w:val="auto"/>
              </w:rPr>
            </w:pPr>
          </w:p>
        </w:tc>
        <w:tc>
          <w:tcPr>
            <w:tcW w:w="640" w:type="dxa"/>
            <w:vAlign w:val="bottom"/>
            <w:tcBorders>
              <w:bottom w:val="single" w:sz="8" w:color="auto"/>
            </w:tcBorders>
            <w:gridSpan w:val="2"/>
            <w:vMerge w:val="continue"/>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right w:val="single" w:sz="8" w:color="CCEEFF"/>
            </w:tcBorders>
            <w:shd w:val="clear" w:color="auto" w:fill="CCEEFF"/>
          </w:tcPr>
          <w:p>
            <w:pPr>
              <w:spacing w:after="0"/>
              <w:rPr>
                <w:sz w:val="11"/>
                <w:szCs w:val="11"/>
                <w:color w:val="auto"/>
              </w:rPr>
            </w:pPr>
          </w:p>
        </w:tc>
        <w:tc>
          <w:tcPr>
            <w:tcW w:w="18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vMerge w:val="continue"/>
            <w:shd w:val="clear" w:color="auto" w:fill="CCEEFF"/>
          </w:tcPr>
          <w:p>
            <w:pPr>
              <w:spacing w:after="0"/>
              <w:rPr>
                <w:sz w:val="11"/>
                <w:szCs w:val="11"/>
                <w:color w:val="auto"/>
              </w:rPr>
            </w:pPr>
          </w:p>
        </w:tc>
        <w:tc>
          <w:tcPr>
            <w:tcW w:w="660" w:type="dxa"/>
            <w:vAlign w:val="bottom"/>
            <w:tcBorders>
              <w:bottom w:val="single" w:sz="8" w:color="auto"/>
            </w:tcBorders>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80" w:type="dxa"/>
            <w:vAlign w:val="bottom"/>
          </w:tcPr>
          <w:p>
            <w:pPr>
              <w:spacing w:after="0"/>
              <w:rPr>
                <w:sz w:val="6"/>
                <w:szCs w:val="6"/>
                <w:color w:val="auto"/>
              </w:rPr>
            </w:pPr>
          </w:p>
        </w:tc>
        <w:tc>
          <w:tcPr>
            <w:tcW w:w="2000" w:type="dxa"/>
            <w:vAlign w:val="bottom"/>
            <w:shd w:val="clear" w:color="auto" w:fill="CCEEFF"/>
          </w:tcPr>
          <w:p>
            <w:pPr>
              <w:ind w:left="20"/>
              <w:spacing w:after="0" w:line="79" w:lineRule="exact"/>
              <w:rPr>
                <w:sz w:val="20"/>
                <w:szCs w:val="20"/>
                <w:color w:val="auto"/>
              </w:rPr>
            </w:pPr>
            <w:r>
              <w:rPr>
                <w:rFonts w:ascii="Arial" w:cs="Arial" w:eastAsia="Arial" w:hAnsi="Arial"/>
                <w:sz w:val="9"/>
                <w:szCs w:val="9"/>
                <w:b w:val="1"/>
                <w:bCs w:val="1"/>
                <w:color w:val="auto"/>
              </w:rPr>
              <w:t>Net income (loss) attributable to common</w:t>
            </w:r>
          </w:p>
        </w:tc>
        <w:tc>
          <w:tcPr>
            <w:tcW w:w="16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tcBorders>
              <w:right w:val="single" w:sz="8" w:color="CCEEFF"/>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tcBorders>
              <w:right w:val="single" w:sz="8" w:color="CCEEFF"/>
            </w:tcBorders>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2,790</w:t>
            </w:r>
          </w:p>
        </w:tc>
        <w:tc>
          <w:tcPr>
            <w:tcW w:w="100" w:type="dxa"/>
            <w:vAlign w:val="bottom"/>
            <w:tcBorders>
              <w:right w:val="single" w:sz="8" w:color="CCEEFF"/>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tcBorders>
              <w:right w:val="single" w:sz="8" w:color="CCEEFF"/>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4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360" w:type="dxa"/>
            <w:vAlign w:val="bottom"/>
            <w:tcBorders>
              <w:right w:val="single" w:sz="8" w:color="CCEEFF"/>
            </w:tcBorders>
            <w:shd w:val="clear" w:color="auto" w:fill="CCEEFF"/>
          </w:tcPr>
          <w:p>
            <w:pPr>
              <w:spacing w:after="0"/>
              <w:rPr>
                <w:sz w:val="6"/>
                <w:szCs w:val="6"/>
                <w:color w:val="auto"/>
              </w:rPr>
            </w:pPr>
          </w:p>
        </w:tc>
        <w:tc>
          <w:tcPr>
            <w:tcW w:w="18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1"/>
                <w:szCs w:val="11"/>
                <w:color w:val="auto"/>
              </w:rPr>
              <w:t>(806)</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5"/>
          </w:tcPr>
          <w:p>
            <w:pPr>
              <w:spacing w:after="0"/>
              <w:rPr>
                <w:sz w:val="20"/>
                <w:szCs w:val="20"/>
                <w:color w:val="auto"/>
              </w:rPr>
            </w:pPr>
            <w:r>
              <w:rPr>
                <w:rFonts w:ascii="Arial" w:cs="Arial" w:eastAsia="Arial" w:hAnsi="Arial"/>
                <w:sz w:val="8"/>
                <w:szCs w:val="8"/>
                <w:b w:val="1"/>
                <w:bCs w:val="1"/>
                <w:color w:val="auto"/>
              </w:rPr>
              <w:t>Six Months Ended June 30, 2021</w:t>
            </w:r>
          </w:p>
        </w:tc>
        <w:tc>
          <w:tcPr>
            <w:tcW w:w="3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7"/>
          </w:tcPr>
          <w:p>
            <w:pPr>
              <w:ind w:left="40"/>
              <w:spacing w:after="0"/>
              <w:rPr>
                <w:sz w:val="20"/>
                <w:szCs w:val="20"/>
                <w:color w:val="auto"/>
              </w:rPr>
            </w:pPr>
            <w:r>
              <w:rPr>
                <w:rFonts w:ascii="Arial" w:cs="Arial" w:eastAsia="Arial" w:hAnsi="Arial"/>
                <w:sz w:val="8"/>
                <w:szCs w:val="8"/>
                <w:b w:val="1"/>
                <w:bCs w:val="1"/>
                <w:color w:val="auto"/>
              </w:rPr>
              <w:t>Six Months Ended June 30, 2020</w:t>
            </w:r>
          </w:p>
        </w:tc>
        <w:tc>
          <w:tcPr>
            <w:tcW w:w="3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185"/>
              <w:spacing w:after="0"/>
              <w:rPr>
                <w:sz w:val="20"/>
                <w:szCs w:val="20"/>
                <w:color w:val="auto"/>
              </w:rPr>
            </w:pPr>
            <w:r>
              <w:rPr>
                <w:rFonts w:ascii="Arial" w:cs="Arial" w:eastAsia="Arial" w:hAnsi="Arial"/>
                <w:sz w:val="8"/>
                <w:szCs w:val="8"/>
                <w:b w:val="1"/>
                <w:bCs w:val="1"/>
                <w:color w:val="auto"/>
                <w:w w:val="99"/>
              </w:rPr>
              <w:t>Automotive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244"/>
              <w:spacing w:after="0"/>
              <w:rPr>
                <w:sz w:val="20"/>
                <w:szCs w:val="20"/>
                <w:color w:val="auto"/>
              </w:rPr>
            </w:pPr>
            <w:r>
              <w:rPr>
                <w:rFonts w:ascii="Arial" w:cs="Arial" w:eastAsia="Arial" w:hAnsi="Arial"/>
                <w:sz w:val="8"/>
                <w:szCs w:val="8"/>
                <w:b w:val="1"/>
                <w:bCs w:val="1"/>
                <w:color w:val="auto"/>
              </w:rPr>
              <w:t>Cruise</w:t>
            </w:r>
          </w:p>
        </w:tc>
        <w:tc>
          <w:tcPr>
            <w:tcW w:w="700" w:type="dxa"/>
            <w:vAlign w:val="bottom"/>
            <w:gridSpan w:val="3"/>
          </w:tcPr>
          <w:p>
            <w:pPr>
              <w:ind w:left="20"/>
              <w:spacing w:after="0"/>
              <w:rPr>
                <w:sz w:val="20"/>
                <w:szCs w:val="20"/>
                <w:color w:val="auto"/>
              </w:rPr>
            </w:pPr>
            <w:r>
              <w:rPr>
                <w:rFonts w:ascii="Arial" w:cs="Arial" w:eastAsia="Arial" w:hAnsi="Arial"/>
                <w:sz w:val="8"/>
                <w:szCs w:val="8"/>
                <w:b w:val="1"/>
                <w:bCs w:val="1"/>
                <w:color w:val="auto"/>
              </w:rPr>
              <w:t>GM Financial</w:t>
            </w:r>
          </w:p>
        </w:tc>
        <w:tc>
          <w:tcPr>
            <w:tcW w:w="1500" w:type="dxa"/>
            <w:vAlign w:val="bottom"/>
            <w:gridSpan w:val="5"/>
          </w:tcPr>
          <w:p>
            <w:pPr>
              <w:spacing w:after="0"/>
              <w:rPr>
                <w:sz w:val="20"/>
                <w:szCs w:val="20"/>
                <w:color w:val="auto"/>
              </w:rPr>
            </w:pPr>
            <w:r>
              <w:rPr>
                <w:rFonts w:ascii="Arial" w:cs="Arial" w:eastAsia="Arial" w:hAnsi="Arial"/>
                <w:sz w:val="8"/>
                <w:szCs w:val="8"/>
                <w:b w:val="1"/>
                <w:bCs w:val="1"/>
                <w:color w:val="auto"/>
              </w:rPr>
              <w:t>Reclassifications/Eliminations</w:t>
            </w:r>
          </w:p>
        </w:tc>
        <w:tc>
          <w:tcPr>
            <w:tcW w:w="680" w:type="dxa"/>
            <w:vAlign w:val="bottom"/>
            <w:gridSpan w:val="2"/>
          </w:tcPr>
          <w:p>
            <w:pPr>
              <w:ind w:left="20"/>
              <w:spacing w:after="0"/>
              <w:rPr>
                <w:sz w:val="20"/>
                <w:szCs w:val="20"/>
                <w:color w:val="auto"/>
              </w:rPr>
            </w:pPr>
            <w:r>
              <w:rPr>
                <w:rFonts w:ascii="Arial" w:cs="Arial" w:eastAsia="Arial" w:hAnsi="Arial"/>
                <w:sz w:val="8"/>
                <w:szCs w:val="8"/>
                <w:b w:val="1"/>
                <w:bCs w:val="1"/>
                <w:color w:val="auto"/>
              </w:rPr>
              <w:t>Combined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ind w:left="60"/>
              <w:spacing w:after="0"/>
              <w:rPr>
                <w:sz w:val="20"/>
                <w:szCs w:val="20"/>
                <w:color w:val="auto"/>
              </w:rPr>
            </w:pPr>
            <w:r>
              <w:rPr>
                <w:rFonts w:ascii="Arial" w:cs="Arial" w:eastAsia="Arial" w:hAnsi="Arial"/>
                <w:sz w:val="8"/>
                <w:szCs w:val="8"/>
                <w:b w:val="1"/>
                <w:bCs w:val="1"/>
                <w:color w:val="auto"/>
              </w:rPr>
              <w:t>Automotive</w:t>
            </w:r>
          </w:p>
        </w:tc>
        <w:tc>
          <w:tcPr>
            <w:tcW w:w="600" w:type="dxa"/>
            <w:vAlign w:val="bottom"/>
            <w:gridSpan w:val="3"/>
          </w:tcPr>
          <w:p>
            <w:pPr>
              <w:ind w:left="20"/>
              <w:spacing w:after="0"/>
              <w:rPr>
                <w:sz w:val="20"/>
                <w:szCs w:val="20"/>
                <w:color w:val="auto"/>
              </w:rPr>
            </w:pPr>
            <w:r>
              <w:rPr>
                <w:rFonts w:ascii="Arial" w:cs="Arial" w:eastAsia="Arial" w:hAnsi="Arial"/>
                <w:sz w:val="8"/>
                <w:szCs w:val="8"/>
                <w:b w:val="1"/>
                <w:bCs w:val="1"/>
                <w:color w:val="auto"/>
              </w:rPr>
              <w:t>Cruise</w:t>
            </w:r>
          </w:p>
        </w:tc>
        <w:tc>
          <w:tcPr>
            <w:tcW w:w="700" w:type="dxa"/>
            <w:vAlign w:val="bottom"/>
            <w:gridSpan w:val="3"/>
          </w:tcPr>
          <w:p>
            <w:pPr>
              <w:jc w:val="right"/>
              <w:ind w:right="104"/>
              <w:spacing w:after="0"/>
              <w:rPr>
                <w:sz w:val="20"/>
                <w:szCs w:val="20"/>
                <w:color w:val="auto"/>
              </w:rPr>
            </w:pPr>
            <w:r>
              <w:rPr>
                <w:rFonts w:ascii="Arial" w:cs="Arial" w:eastAsia="Arial" w:hAnsi="Arial"/>
                <w:sz w:val="8"/>
                <w:szCs w:val="8"/>
                <w:b w:val="1"/>
                <w:bCs w:val="1"/>
                <w:color w:val="auto"/>
              </w:rPr>
              <w:t>GM Financial</w:t>
            </w:r>
          </w:p>
        </w:tc>
        <w:tc>
          <w:tcPr>
            <w:tcW w:w="1260" w:type="dxa"/>
            <w:vAlign w:val="bottom"/>
            <w:gridSpan w:val="4"/>
          </w:tcPr>
          <w:p>
            <w:pPr>
              <w:jc w:val="right"/>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8"/>
                <w:szCs w:val="8"/>
                <w:b w:val="1"/>
                <w:bCs w:val="1"/>
                <w:color w:val="auto"/>
              </w:rPr>
              <w:t>Combined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8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Net sales and revenue</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0"/>
                <w:szCs w:val="10"/>
                <w:color w:val="auto"/>
              </w:rPr>
              <w:t>Automotive</w:t>
            </w:r>
          </w:p>
        </w:tc>
        <w:tc>
          <w:tcPr>
            <w:tcW w:w="1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59,807</w:t>
            </w:r>
          </w:p>
        </w:tc>
        <w:tc>
          <w:tcPr>
            <w:tcW w:w="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5"/>
                <w:szCs w:val="5"/>
                <w:color w:val="auto"/>
                <w:w w:val="70"/>
              </w:rPr>
              <w:t>$</w:t>
            </w:r>
          </w:p>
        </w:tc>
        <w:tc>
          <w:tcPr>
            <w:tcW w:w="10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55 $</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87"/>
              <w:spacing w:after="0"/>
              <w:rPr>
                <w:sz w:val="20"/>
                <w:szCs w:val="20"/>
                <w:color w:val="auto"/>
              </w:rPr>
            </w:pPr>
            <w:r>
              <w:rPr>
                <w:rFonts w:ascii="Arial" w:cs="Arial" w:eastAsia="Arial" w:hAnsi="Arial"/>
                <w:sz w:val="11"/>
                <w:szCs w:val="11"/>
                <w:color w:val="auto"/>
              </w:rPr>
              <w:t>— $</w:t>
            </w:r>
          </w:p>
        </w:tc>
        <w:tc>
          <w:tcPr>
            <w:tcW w:w="740" w:type="dxa"/>
            <w:vAlign w:val="bottom"/>
            <w:shd w:val="clear" w:color="auto" w:fill="CCEEFF"/>
          </w:tcPr>
          <w:p>
            <w:pPr>
              <w:spacing w:after="0"/>
              <w:rPr>
                <w:sz w:val="13"/>
                <w:szCs w:val="13"/>
                <w:color w:val="auto"/>
              </w:rPr>
            </w:pPr>
          </w:p>
        </w:tc>
        <w:tc>
          <w:tcPr>
            <w:tcW w:w="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(51) $</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59,811</w:t>
            </w:r>
          </w:p>
        </w:tc>
        <w:tc>
          <w:tcPr>
            <w:tcW w:w="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42,510 $</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53 $</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 $</w:t>
            </w:r>
          </w:p>
        </w:tc>
        <w:tc>
          <w:tcPr>
            <w:tcW w:w="72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8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42,513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ind w:left="60"/>
              <w:spacing w:after="0"/>
              <w:rPr>
                <w:sz w:val="20"/>
                <w:szCs w:val="20"/>
                <w:color w:val="auto"/>
              </w:rPr>
            </w:pPr>
            <w:r>
              <w:rPr>
                <w:rFonts w:ascii="Arial" w:cs="Arial" w:eastAsia="Arial" w:hAnsi="Arial"/>
                <w:sz w:val="10"/>
                <w:szCs w:val="10"/>
                <w:color w:val="auto"/>
              </w:rPr>
              <w:t>GM Financial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4"/>
              <w:spacing w:after="0"/>
              <w:rPr>
                <w:sz w:val="20"/>
                <w:szCs w:val="20"/>
                <w:color w:val="auto"/>
              </w:rPr>
            </w:pPr>
            <w:r>
              <w:rPr>
                <w:rFonts w:ascii="Arial" w:cs="Arial" w:eastAsia="Arial" w:hAnsi="Arial"/>
                <w:sz w:val="11"/>
                <w:szCs w:val="11"/>
                <w:color w:val="auto"/>
              </w:rPr>
              <w:t>6,833</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6,830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9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6,984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6,974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color w:val="auto"/>
              </w:rPr>
              <w:t>Total net sales and revenue</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59,807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right w:val="single" w:sz="8" w:color="CCEEFF"/>
            </w:tcBorders>
            <w:shd w:val="clear" w:color="auto" w:fill="CCEEFF"/>
          </w:tcPr>
          <w:p>
            <w:pPr>
              <w:jc w:val="right"/>
              <w:ind w:right="84"/>
              <w:spacing w:after="0"/>
              <w:rPr>
                <w:sz w:val="20"/>
                <w:szCs w:val="20"/>
                <w:color w:val="auto"/>
              </w:rPr>
            </w:pPr>
            <w:r>
              <w:rPr>
                <w:rFonts w:ascii="Arial" w:cs="Arial" w:eastAsia="Arial" w:hAnsi="Arial"/>
                <w:sz w:val="11"/>
                <w:szCs w:val="11"/>
                <w:color w:val="auto"/>
              </w:rPr>
              <w:t>55</w:t>
            </w: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6,833</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66,641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right w:val="single" w:sz="8" w:color="CCEEFF"/>
            </w:tcBorders>
            <w:shd w:val="clear" w:color="auto" w:fill="CCEEFF"/>
          </w:tcPr>
          <w:p>
            <w:pPr>
              <w:jc w:val="right"/>
              <w:ind w:right="104"/>
              <w:spacing w:after="0"/>
              <w:rPr>
                <w:sz w:val="20"/>
                <w:szCs w:val="20"/>
                <w:color w:val="auto"/>
              </w:rPr>
            </w:pPr>
            <w:r>
              <w:rPr>
                <w:rFonts w:ascii="Arial" w:cs="Arial" w:eastAsia="Arial" w:hAnsi="Arial"/>
                <w:sz w:val="11"/>
                <w:szCs w:val="11"/>
                <w:color w:val="auto"/>
              </w:rPr>
              <w:t>42,510</w:t>
            </w: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6,984</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49,487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80" w:type="dxa"/>
            <w:vAlign w:val="bottom"/>
            <w:gridSpan w:val="2"/>
          </w:tcPr>
          <w:p>
            <w:pPr>
              <w:spacing w:after="0"/>
              <w:rPr>
                <w:sz w:val="20"/>
                <w:szCs w:val="20"/>
                <w:color w:val="auto"/>
              </w:rPr>
            </w:pPr>
            <w:r>
              <w:rPr>
                <w:rFonts w:ascii="Arial" w:cs="Arial" w:eastAsia="Arial" w:hAnsi="Arial"/>
                <w:sz w:val="10"/>
                <w:szCs w:val="10"/>
                <w:b w:val="1"/>
                <w:bCs w:val="1"/>
                <w:color w:val="auto"/>
              </w:rPr>
              <w:t>Costs and expenses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 and other cost of sales</w:t>
            </w: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51,841</w:t>
            </w:r>
          </w:p>
        </w:tc>
        <w:tc>
          <w:tcPr>
            <w:tcW w:w="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jc w:val="right"/>
              <w:ind w:right="84"/>
              <w:spacing w:after="0"/>
              <w:rPr>
                <w:sz w:val="20"/>
                <w:szCs w:val="20"/>
                <w:color w:val="auto"/>
              </w:rPr>
            </w:pPr>
            <w:r>
              <w:rPr>
                <w:rFonts w:ascii="Arial" w:cs="Arial" w:eastAsia="Arial" w:hAnsi="Arial"/>
                <w:sz w:val="11"/>
                <w:szCs w:val="11"/>
                <w:color w:val="auto"/>
              </w:rPr>
              <w:t>540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52,381</w:t>
            </w: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ind w:right="104"/>
              <w:spacing w:after="0"/>
              <w:rPr>
                <w:sz w:val="20"/>
                <w:szCs w:val="20"/>
                <w:color w:val="auto"/>
              </w:rPr>
            </w:pPr>
            <w:r>
              <w:rPr>
                <w:rFonts w:ascii="Arial" w:cs="Arial" w:eastAsia="Arial" w:hAnsi="Arial"/>
                <w:sz w:val="11"/>
                <w:szCs w:val="11"/>
                <w:color w:val="auto"/>
              </w:rPr>
              <w:t>39,799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371</w:t>
            </w: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40,170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000" w:type="dxa"/>
            <w:vAlign w:val="bottom"/>
          </w:tcPr>
          <w:p>
            <w:pPr>
              <w:ind w:left="120"/>
              <w:spacing w:after="0" w:line="102" w:lineRule="exact"/>
              <w:rPr>
                <w:sz w:val="20"/>
                <w:szCs w:val="20"/>
                <w:color w:val="auto"/>
              </w:rPr>
            </w:pPr>
            <w:r>
              <w:rPr>
                <w:rFonts w:ascii="Arial" w:cs="Arial" w:eastAsia="Arial" w:hAnsi="Arial"/>
                <w:sz w:val="10"/>
                <w:szCs w:val="10"/>
                <w:color w:val="auto"/>
                <w:w w:val="99"/>
              </w:rPr>
              <w:t>GM Financial interest, operating and other</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ind w:right="8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right"/>
              <w:ind w:right="4"/>
              <w:spacing w:after="0"/>
              <w:rPr>
                <w:sz w:val="20"/>
                <w:szCs w:val="20"/>
                <w:color w:val="auto"/>
              </w:rPr>
            </w:pPr>
            <w:r>
              <w:rPr>
                <w:rFonts w:ascii="Arial" w:cs="Arial" w:eastAsia="Arial" w:hAnsi="Arial"/>
                <w:sz w:val="11"/>
                <w:szCs w:val="11"/>
                <w:color w:val="auto"/>
              </w:rPr>
              <w:t>4,174</w:t>
            </w: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ind w:right="4"/>
              <w:spacing w:after="0"/>
              <w:rPr>
                <w:sz w:val="20"/>
                <w:szCs w:val="20"/>
                <w:color w:val="auto"/>
              </w:rPr>
            </w:pPr>
            <w:r>
              <w:rPr>
                <w:rFonts w:ascii="Arial" w:cs="Arial" w:eastAsia="Arial" w:hAnsi="Arial"/>
                <w:sz w:val="11"/>
                <w:szCs w:val="11"/>
                <w:color w:val="auto"/>
              </w:rPr>
              <w:t>4,173</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480" w:type="dxa"/>
            <w:vAlign w:val="bottom"/>
            <w:gridSpan w:val="2"/>
            <w:vMerge w:val="restart"/>
          </w:tcPr>
          <w:p>
            <w:pPr>
              <w:jc w:val="right"/>
              <w:ind w:right="9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4"/>
              <w:spacing w:after="0"/>
              <w:rPr>
                <w:sz w:val="20"/>
                <w:szCs w:val="20"/>
                <w:color w:val="auto"/>
              </w:rPr>
            </w:pPr>
            <w:r>
              <w:rPr>
                <w:rFonts w:ascii="Arial" w:cs="Arial" w:eastAsia="Arial" w:hAnsi="Arial"/>
                <w:sz w:val="11"/>
                <w:szCs w:val="11"/>
                <w:color w:val="auto"/>
              </w:rPr>
              <w:t>6,595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4"/>
              <w:spacing w:after="0"/>
              <w:rPr>
                <w:sz w:val="20"/>
                <w:szCs w:val="20"/>
                <w:color w:val="auto"/>
              </w:rPr>
            </w:pPr>
            <w:r>
              <w:rPr>
                <w:rFonts w:ascii="Arial" w:cs="Arial" w:eastAsia="Arial" w:hAnsi="Arial"/>
                <w:sz w:val="11"/>
                <w:szCs w:val="11"/>
                <w:color w:val="auto"/>
              </w:rPr>
              <w:t>6,594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000" w:type="dxa"/>
            <w:vAlign w:val="bottom"/>
          </w:tcPr>
          <w:p>
            <w:pPr>
              <w:ind w:left="240"/>
              <w:spacing w:after="0"/>
              <w:rPr>
                <w:sz w:val="20"/>
                <w:szCs w:val="20"/>
                <w:color w:val="auto"/>
              </w:rPr>
            </w:pPr>
            <w:r>
              <w:rPr>
                <w:rFonts w:ascii="Arial" w:cs="Arial" w:eastAsia="Arial" w:hAnsi="Arial"/>
                <w:sz w:val="10"/>
                <w:szCs w:val="10"/>
                <w:color w:val="auto"/>
              </w:rPr>
              <w:t>expenses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000" w:type="dxa"/>
            <w:vAlign w:val="bottom"/>
            <w:shd w:val="clear" w:color="auto" w:fill="CCEEFF"/>
          </w:tcPr>
          <w:p>
            <w:pPr>
              <w:ind w:left="120"/>
              <w:spacing w:after="0" w:line="102" w:lineRule="exact"/>
              <w:rPr>
                <w:sz w:val="20"/>
                <w:szCs w:val="20"/>
                <w:color w:val="auto"/>
              </w:rPr>
            </w:pPr>
            <w:r>
              <w:rPr>
                <w:rFonts w:ascii="Arial" w:cs="Arial" w:eastAsia="Arial" w:hAnsi="Arial"/>
                <w:sz w:val="10"/>
                <w:szCs w:val="10"/>
                <w:color w:val="auto"/>
              </w:rPr>
              <w:t>Automotive and other selling, general and</w:t>
            </w:r>
          </w:p>
        </w:tc>
        <w:tc>
          <w:tcPr>
            <w:tcW w:w="16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tcBorders>
              <w:right w:val="single" w:sz="8" w:color="CCEEFF"/>
            </w:tcBorders>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3,791</w:t>
            </w:r>
          </w:p>
        </w:tc>
        <w:tc>
          <w:tcPr>
            <w:tcW w:w="4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Borders>
              <w:right w:val="single" w:sz="8" w:color="CCEEFF"/>
            </w:tcBorders>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137</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tcBorders>
              <w:right w:val="single" w:sz="8" w:color="CCEEFF"/>
            </w:tcBorders>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3,928</w:t>
            </w:r>
          </w:p>
        </w:tc>
        <w:tc>
          <w:tcPr>
            <w:tcW w:w="1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tcBorders>
              <w:right w:val="single" w:sz="8" w:color="CCEEFF"/>
            </w:tcBorders>
            <w:vMerge w:val="restart"/>
            <w:shd w:val="clear" w:color="auto" w:fill="CCEEFF"/>
          </w:tcPr>
          <w:p>
            <w:pPr>
              <w:jc w:val="right"/>
              <w:ind w:right="104"/>
              <w:spacing w:after="0"/>
              <w:rPr>
                <w:sz w:val="20"/>
                <w:szCs w:val="20"/>
                <w:color w:val="auto"/>
              </w:rPr>
            </w:pPr>
            <w:r>
              <w:rPr>
                <w:rFonts w:ascii="Arial" w:cs="Arial" w:eastAsia="Arial" w:hAnsi="Arial"/>
                <w:sz w:val="11"/>
                <w:szCs w:val="11"/>
                <w:color w:val="auto"/>
              </w:rPr>
              <w:t>3,153</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10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CCEEFF"/>
            </w:tcBorders>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3,280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0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administrative expense</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gridSpan w:val="3"/>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tcBorders>
              <w:right w:val="single" w:sz="8" w:color="CCEEFF"/>
            </w:tcBorders>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costs and expenses</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55,632</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677</w:t>
            </w: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4,174</w:t>
            </w:r>
          </w:p>
        </w:tc>
        <w:tc>
          <w:tcPr>
            <w:tcW w:w="1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60,482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1"/>
                <w:szCs w:val="11"/>
                <w:color w:val="auto"/>
              </w:rPr>
              <w:t>42,952</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498</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6,595</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50,044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Operating income (loss)</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4,175</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(622)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2,659</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6,159</w:t>
            </w: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(442)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(445)</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389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spacing w:after="0"/>
              <w:rPr>
                <w:sz w:val="20"/>
                <w:szCs w:val="20"/>
                <w:color w:val="auto"/>
              </w:rPr>
            </w:pPr>
            <w:r>
              <w:rPr>
                <w:rFonts w:ascii="Arial" w:cs="Arial" w:eastAsia="Arial" w:hAnsi="Arial"/>
                <w:sz w:val="10"/>
                <w:szCs w:val="10"/>
                <w:color w:val="auto"/>
              </w:rPr>
              <w:t>Automotive interest expense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496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493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04"/>
              <w:spacing w:after="0"/>
              <w:rPr>
                <w:sz w:val="20"/>
                <w:szCs w:val="20"/>
                <w:color w:val="auto"/>
              </w:rPr>
            </w:pPr>
            <w:r>
              <w:rPr>
                <w:rFonts w:ascii="Arial" w:cs="Arial" w:eastAsia="Arial" w:hAnsi="Arial"/>
                <w:sz w:val="11"/>
                <w:szCs w:val="11"/>
                <w:color w:val="auto"/>
              </w:rPr>
              <w:t>505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9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496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000" w:type="dxa"/>
            <w:vAlign w:val="bottom"/>
            <w:shd w:val="clear" w:color="auto" w:fill="CCEEFF"/>
          </w:tcPr>
          <w:p>
            <w:pPr>
              <w:ind w:left="20"/>
              <w:spacing w:after="0" w:line="102" w:lineRule="exact"/>
              <w:rPr>
                <w:sz w:val="20"/>
                <w:szCs w:val="20"/>
                <w:color w:val="auto"/>
              </w:rPr>
            </w:pPr>
            <w:r>
              <w:rPr>
                <w:rFonts w:ascii="Arial" w:cs="Arial" w:eastAsia="Arial" w:hAnsi="Arial"/>
                <w:sz w:val="10"/>
                <w:szCs w:val="10"/>
                <w:color w:val="auto"/>
              </w:rPr>
              <w:t>Interest income and other non-operating</w:t>
            </w:r>
          </w:p>
        </w:tc>
        <w:tc>
          <w:tcPr>
            <w:tcW w:w="16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tcBorders>
              <w:right w:val="single" w:sz="8" w:color="CCEEFF"/>
            </w:tcBorders>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1,529</w:t>
            </w:r>
          </w:p>
        </w:tc>
        <w:tc>
          <w:tcPr>
            <w:tcW w:w="4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Borders>
              <w:right w:val="single" w:sz="8" w:color="CCEEFF"/>
            </w:tcBorders>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tcBorders>
              <w:right w:val="single" w:sz="8" w:color="CCEEFF"/>
            </w:tcBorders>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16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1,583</w:t>
            </w:r>
          </w:p>
        </w:tc>
        <w:tc>
          <w:tcPr>
            <w:tcW w:w="1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tcBorders>
              <w:right w:val="single" w:sz="8" w:color="CCEEFF"/>
            </w:tcBorders>
            <w:vMerge w:val="restart"/>
            <w:shd w:val="clear" w:color="auto" w:fill="CCEEFF"/>
          </w:tcPr>
          <w:p>
            <w:pPr>
              <w:jc w:val="right"/>
              <w:ind w:right="104"/>
              <w:spacing w:after="0"/>
              <w:rPr>
                <w:sz w:val="20"/>
                <w:szCs w:val="20"/>
                <w:color w:val="auto"/>
              </w:rPr>
            </w:pPr>
            <w:r>
              <w:rPr>
                <w:rFonts w:ascii="Arial" w:cs="Arial" w:eastAsia="Arial" w:hAnsi="Arial"/>
                <w:sz w:val="11"/>
                <w:szCs w:val="11"/>
                <w:color w:val="auto"/>
              </w:rPr>
              <w:t>660</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CCEEFF"/>
            </w:tcBorders>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1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724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income, net</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tcBorders>
              <w:right w:val="single" w:sz="8" w:color="CCEEFF"/>
            </w:tcBorders>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spacing w:after="0"/>
              <w:rPr>
                <w:sz w:val="20"/>
                <w:szCs w:val="20"/>
                <w:color w:val="auto"/>
              </w:rPr>
            </w:pPr>
            <w:r>
              <w:rPr>
                <w:rFonts w:ascii="Arial" w:cs="Arial" w:eastAsia="Arial" w:hAnsi="Arial"/>
                <w:sz w:val="10"/>
                <w:szCs w:val="10"/>
                <w:color w:val="auto"/>
              </w:rPr>
              <w:t>Equity income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588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4"/>
              <w:spacing w:after="0"/>
              <w:rPr>
                <w:sz w:val="20"/>
                <w:szCs w:val="20"/>
                <w:color w:val="auto"/>
              </w:rPr>
            </w:pPr>
            <w:r>
              <w:rPr>
                <w:rFonts w:ascii="Arial" w:cs="Arial" w:eastAsia="Arial" w:hAnsi="Arial"/>
                <w:sz w:val="11"/>
                <w:szCs w:val="11"/>
                <w:color w:val="auto"/>
              </w:rPr>
              <w:t>104</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692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04"/>
              <w:spacing w:after="0"/>
              <w:rPr>
                <w:sz w:val="20"/>
                <w:szCs w:val="20"/>
                <w:color w:val="auto"/>
              </w:rPr>
            </w:pPr>
            <w:r>
              <w:rPr>
                <w:rFonts w:ascii="Arial" w:cs="Arial" w:eastAsia="Arial" w:hAnsi="Arial"/>
                <w:sz w:val="11"/>
                <w:szCs w:val="11"/>
                <w:color w:val="auto"/>
              </w:rPr>
              <w:t>13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9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Income (loss) before income taxes</w:t>
            </w:r>
          </w:p>
        </w:tc>
        <w:tc>
          <w:tcPr>
            <w:tcW w:w="1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5,796</w:t>
            </w:r>
          </w:p>
        </w:tc>
        <w:tc>
          <w:tcPr>
            <w:tcW w:w="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5"/>
                <w:szCs w:val="5"/>
                <w:color w:val="auto"/>
                <w:w w:val="70"/>
              </w:rPr>
              <w:t>$</w:t>
            </w:r>
          </w:p>
        </w:tc>
        <w:tc>
          <w:tcPr>
            <w:tcW w:w="10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2,763</w:t>
            </w:r>
          </w:p>
        </w:tc>
        <w:tc>
          <w:tcPr>
            <w:tcW w:w="160" w:type="dxa"/>
            <w:vAlign w:val="bottom"/>
            <w:tcBorders>
              <w:right w:val="single" w:sz="8" w:color="CCEEFF"/>
            </w:tcBorders>
            <w:shd w:val="clear" w:color="auto" w:fill="CCEEFF"/>
          </w:tcPr>
          <w:p>
            <w:pPr>
              <w:jc w:val="right"/>
              <w:ind w:right="8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7,941</w:t>
            </w:r>
          </w:p>
        </w:tc>
        <w:tc>
          <w:tcPr>
            <w:tcW w:w="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(274)$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(443)$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456</w:t>
            </w:r>
          </w:p>
        </w:tc>
        <w:tc>
          <w:tcPr>
            <w:tcW w:w="80" w:type="dxa"/>
            <w:vAlign w:val="bottom"/>
            <w:shd w:val="clear" w:color="auto" w:fill="CCEEFF"/>
          </w:tcPr>
          <w:p>
            <w:pPr>
              <w:jc w:val="right"/>
              <w:ind w:right="7"/>
              <w:spacing w:after="0"/>
              <w:rPr>
                <w:sz w:val="20"/>
                <w:szCs w:val="20"/>
                <w:color w:val="auto"/>
              </w:rPr>
            </w:pPr>
            <w:r>
              <w:rPr>
                <w:rFonts w:ascii="Arial" w:cs="Arial" w:eastAsia="Arial" w:hAnsi="Arial"/>
                <w:sz w:val="5"/>
                <w:szCs w:val="5"/>
                <w:color w:val="auto"/>
                <w:w w:val="70"/>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000" w:type="dxa"/>
            <w:vAlign w:val="bottom"/>
          </w:tcPr>
          <w:p>
            <w:pPr>
              <w:ind w:left="20"/>
              <w:spacing w:after="0"/>
              <w:rPr>
                <w:sz w:val="20"/>
                <w:szCs w:val="20"/>
                <w:color w:val="auto"/>
              </w:rPr>
            </w:pPr>
            <w:r>
              <w:rPr>
                <w:rFonts w:ascii="Arial" w:cs="Arial" w:eastAsia="Arial" w:hAnsi="Arial"/>
                <w:sz w:val="10"/>
                <w:szCs w:val="10"/>
                <w:color w:val="auto"/>
              </w:rPr>
              <w:t>Income tax expense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2,148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gridSpan w:val="2"/>
          </w:tcPr>
          <w:p>
            <w:pPr>
              <w:spacing w:after="0"/>
              <w:rPr>
                <w:sz w:val="20"/>
                <w:szCs w:val="20"/>
                <w:color w:val="auto"/>
              </w:rPr>
            </w:pPr>
            <w:r>
              <w:rPr>
                <w:rFonts w:ascii="Arial" w:cs="Arial" w:eastAsia="Arial" w:hAnsi="Arial"/>
                <w:sz w:val="10"/>
                <w:szCs w:val="10"/>
                <w:b w:val="1"/>
                <w:bCs w:val="1"/>
                <w:color w:val="auto"/>
              </w:rPr>
              <w:t>Net income (loss)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5,793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240" w:type="dxa"/>
            <w:vAlign w:val="bottom"/>
            <w:tcBorders>
              <w:bottom w:val="single" w:sz="8" w:color="CCEEFF"/>
            </w:tcBorders>
            <w:gridSpan w:val="3"/>
          </w:tcPr>
          <w:p>
            <w:pPr>
              <w:ind w:left="20"/>
              <w:spacing w:after="0"/>
              <w:rPr>
                <w:sz w:val="20"/>
                <w:szCs w:val="20"/>
                <w:color w:val="auto"/>
              </w:rPr>
            </w:pPr>
            <w:r>
              <w:rPr>
                <w:rFonts w:ascii="Arial" w:cs="Arial" w:eastAsia="Arial" w:hAnsi="Arial"/>
                <w:sz w:val="10"/>
                <w:szCs w:val="10"/>
                <w:color w:val="auto"/>
              </w:rPr>
              <w:t>Net loss attributable to noncontrolling interests</w:t>
            </w:r>
          </w:p>
        </w:tc>
        <w:tc>
          <w:tcPr>
            <w:tcW w:w="7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65</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2000" w:type="dxa"/>
            <w:vAlign w:val="bottom"/>
            <w:shd w:val="clear" w:color="auto" w:fill="CCEEFF"/>
          </w:tcPr>
          <w:p>
            <w:pPr>
              <w:ind w:left="20"/>
              <w:spacing w:after="0" w:line="76" w:lineRule="exact"/>
              <w:rPr>
                <w:sz w:val="20"/>
                <w:szCs w:val="20"/>
                <w:color w:val="auto"/>
              </w:rPr>
            </w:pPr>
            <w:r>
              <w:rPr>
                <w:rFonts w:ascii="Arial" w:cs="Arial" w:eastAsia="Arial" w:hAnsi="Arial"/>
                <w:sz w:val="7"/>
                <w:szCs w:val="7"/>
                <w:b w:val="1"/>
                <w:bCs w:val="1"/>
                <w:color w:val="auto"/>
              </w:rPr>
              <w:t>Net income (loss) attributable to</w:t>
            </w:r>
          </w:p>
        </w:tc>
        <w:tc>
          <w:tcPr>
            <w:tcW w:w="16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tcBorders>
              <w:right w:val="single" w:sz="8" w:color="CCEEFF"/>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tcBorders>
              <w:right w:val="single" w:sz="8" w:color="CCEEFF"/>
            </w:tcBorders>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2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5,858</w:t>
            </w:r>
          </w:p>
        </w:tc>
        <w:tc>
          <w:tcPr>
            <w:tcW w:w="10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tcBorders>
              <w:right w:val="single" w:sz="8" w:color="CCEEFF"/>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4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360" w:type="dxa"/>
            <w:vAlign w:val="bottom"/>
            <w:tcBorders>
              <w:right w:val="single" w:sz="8" w:color="CCEEFF"/>
            </w:tcBorders>
            <w:shd w:val="clear" w:color="auto" w:fill="CCEEFF"/>
          </w:tcPr>
          <w:p>
            <w:pPr>
              <w:spacing w:after="0"/>
              <w:rPr>
                <w:sz w:val="6"/>
                <w:szCs w:val="6"/>
                <w:color w:val="auto"/>
              </w:rPr>
            </w:pPr>
          </w:p>
        </w:tc>
        <w:tc>
          <w:tcPr>
            <w:tcW w:w="180" w:type="dxa"/>
            <w:vAlign w:val="bottom"/>
            <w:tcBorders>
              <w:right w:val="single" w:sz="8" w:color="CCEEFF"/>
            </w:tcBorders>
            <w:vMerge w:val="restart"/>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(464)</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2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right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right w:val="single" w:sz="8" w:color="CCEEFF"/>
            </w:tcBorders>
            <w:shd w:val="clear" w:color="auto" w:fill="CCEEFF"/>
          </w:tcPr>
          <w:p>
            <w:pPr>
              <w:spacing w:after="0"/>
              <w:rPr>
                <w:sz w:val="11"/>
                <w:szCs w:val="11"/>
                <w:color w:val="auto"/>
              </w:rPr>
            </w:pP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right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right w:val="single" w:sz="8" w:color="CCEEFF"/>
            </w:tcBorders>
            <w:shd w:val="clear" w:color="auto" w:fill="CCEEFF"/>
          </w:tcPr>
          <w:p>
            <w:pPr>
              <w:spacing w:after="0"/>
              <w:rPr>
                <w:sz w:val="11"/>
                <w:szCs w:val="11"/>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80" w:type="dxa"/>
            <w:vAlign w:val="bottom"/>
          </w:tcPr>
          <w:p>
            <w:pPr>
              <w:spacing w:after="0"/>
              <w:rPr>
                <w:sz w:val="6"/>
                <w:szCs w:val="6"/>
                <w:color w:val="auto"/>
              </w:rPr>
            </w:pPr>
          </w:p>
        </w:tc>
        <w:tc>
          <w:tcPr>
            <w:tcW w:w="2000" w:type="dxa"/>
            <w:vAlign w:val="bottom"/>
            <w:shd w:val="clear" w:color="auto" w:fill="CCEEFF"/>
          </w:tcPr>
          <w:p>
            <w:pPr>
              <w:ind w:left="20"/>
              <w:spacing w:after="0" w:line="79" w:lineRule="exact"/>
              <w:rPr>
                <w:sz w:val="20"/>
                <w:szCs w:val="20"/>
                <w:color w:val="auto"/>
              </w:rPr>
            </w:pPr>
            <w:r>
              <w:rPr>
                <w:rFonts w:ascii="Arial" w:cs="Arial" w:eastAsia="Arial" w:hAnsi="Arial"/>
                <w:sz w:val="9"/>
                <w:szCs w:val="9"/>
                <w:b w:val="1"/>
                <w:bCs w:val="1"/>
                <w:color w:val="auto"/>
              </w:rPr>
              <w:t>Net income (loss) attributable to common</w:t>
            </w:r>
          </w:p>
        </w:tc>
        <w:tc>
          <w:tcPr>
            <w:tcW w:w="16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tcBorders>
              <w:right w:val="single" w:sz="8" w:color="CCEEFF"/>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tcBorders>
              <w:right w:val="single" w:sz="8" w:color="CCEEFF"/>
            </w:tcBorders>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2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5,767</w:t>
            </w:r>
          </w:p>
        </w:tc>
        <w:tc>
          <w:tcPr>
            <w:tcW w:w="10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tcBorders>
              <w:right w:val="single" w:sz="8" w:color="CCEEFF"/>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4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360" w:type="dxa"/>
            <w:vAlign w:val="bottom"/>
            <w:tcBorders>
              <w:right w:val="single" w:sz="8" w:color="CCEEFF"/>
            </w:tcBorders>
            <w:shd w:val="clear" w:color="auto" w:fill="CCEEFF"/>
          </w:tcPr>
          <w:p>
            <w:pPr>
              <w:spacing w:after="0"/>
              <w:rPr>
                <w:sz w:val="6"/>
                <w:szCs w:val="6"/>
                <w:color w:val="auto"/>
              </w:rPr>
            </w:pPr>
          </w:p>
        </w:tc>
        <w:tc>
          <w:tcPr>
            <w:tcW w:w="180" w:type="dxa"/>
            <w:vAlign w:val="bottom"/>
            <w:tcBorders>
              <w:right w:val="single" w:sz="8" w:color="CCEEFF"/>
            </w:tcBorders>
            <w:vMerge w:val="restart"/>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(559)</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-518160</wp:posOffset>
            </wp:positionV>
            <wp:extent cx="7080885" cy="100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0885" cy="10096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90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360"/>
          </w:cols>
          <w:pgMar w:left="220" w:top="698" w:right="319" w:bottom="1440" w:gutter="0" w:footer="0" w:header="0"/>
        </w:sectPr>
      </w:pPr>
    </w:p>
    <w:bookmarkStart w:id="20" w:name="page21"/>
    <w:bookmarkEnd w:id="20"/>
    <w:p>
      <w:pPr>
        <w:ind w:left="442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Basic and Diluted Earnings per Share</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3"/>
          <w:szCs w:val="13"/>
          <w:i w:val="1"/>
          <w:iCs w:val="1"/>
          <w:color w:val="auto"/>
        </w:rPr>
        <w:t>(Unaudited)</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The following table summarizes basic and diluted earnings per share (in millions, except per share amounts):</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4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560" w:type="dxa"/>
            <w:vAlign w:val="bottom"/>
            <w:tcBorders>
              <w:bottom w:val="single" w:sz="8" w:color="auto"/>
            </w:tcBorders>
            <w:gridSpan w:val="4"/>
          </w:tcPr>
          <w:p>
            <w:pPr>
              <w:ind w:left="940"/>
              <w:spacing w:after="0"/>
              <w:rPr>
                <w:sz w:val="20"/>
                <w:szCs w:val="20"/>
                <w:color w:val="auto"/>
              </w:rPr>
            </w:pPr>
            <w:r>
              <w:rPr>
                <w:rFonts w:ascii="Arial" w:cs="Arial" w:eastAsia="Arial" w:hAnsi="Arial"/>
                <w:sz w:val="10"/>
                <w:szCs w:val="10"/>
                <w:b w:val="1"/>
                <w:bCs w:val="1"/>
                <w:color w:val="auto"/>
              </w:rPr>
              <w:t>Three Months Ended</w:t>
            </w: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Borders>
              <w:bottom w:val="single" w:sz="8" w:color="auto"/>
            </w:tcBorders>
            <w:gridSpan w:val="3"/>
          </w:tcPr>
          <w:p>
            <w:pPr>
              <w:ind w:left="1000"/>
              <w:spacing w:after="0"/>
              <w:rPr>
                <w:sz w:val="20"/>
                <w:szCs w:val="20"/>
                <w:color w:val="auto"/>
              </w:rPr>
            </w:pPr>
            <w:r>
              <w:rPr>
                <w:rFonts w:ascii="Arial" w:cs="Arial" w:eastAsia="Arial" w:hAnsi="Arial"/>
                <w:sz w:val="10"/>
                <w:szCs w:val="10"/>
                <w:b w:val="1"/>
                <w:bCs w:val="1"/>
                <w:color w:val="auto"/>
                <w:w w:val="96"/>
              </w:rPr>
              <w:t>Six Months Ended</w:t>
            </w:r>
          </w:p>
        </w:tc>
        <w:tc>
          <w:tcPr>
            <w:tcW w:w="1100" w:type="dxa"/>
            <w:vAlign w:val="bottom"/>
            <w:tcBorders>
              <w:bottom w:val="single" w:sz="8" w:color="auto"/>
            </w:tcBorders>
          </w:tcPr>
          <w:p>
            <w:pPr>
              <w:spacing w:after="0"/>
              <w:rPr>
                <w:sz w:val="11"/>
                <w:szCs w:val="11"/>
                <w:color w:val="auto"/>
              </w:rPr>
            </w:pPr>
          </w:p>
        </w:tc>
      </w:tr>
      <w:tr>
        <w:trPr>
          <w:trHeight w:val="127"/>
        </w:trPr>
        <w:tc>
          <w:tcPr>
            <w:tcW w:w="4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0"/>
                <w:szCs w:val="10"/>
                <w:b w:val="1"/>
                <w:bCs w:val="1"/>
                <w:color w:val="auto"/>
              </w:rPr>
              <w:t>June 30, 2021</w:t>
            </w: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0"/>
                <w:szCs w:val="10"/>
                <w:b w:val="1"/>
                <w:bCs w:val="1"/>
                <w:color w:val="auto"/>
              </w:rPr>
              <w:t>June 30, 2020</w:t>
            </w: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bottom w:val="single" w:sz="8" w:color="auto"/>
            </w:tcBorders>
          </w:tcPr>
          <w:p>
            <w:pPr>
              <w:jc w:val="right"/>
              <w:ind w:right="399"/>
              <w:spacing w:after="0"/>
              <w:rPr>
                <w:sz w:val="20"/>
                <w:szCs w:val="20"/>
                <w:color w:val="auto"/>
              </w:rPr>
            </w:pPr>
            <w:r>
              <w:rPr>
                <w:rFonts w:ascii="Arial" w:cs="Arial" w:eastAsia="Arial" w:hAnsi="Arial"/>
                <w:sz w:val="10"/>
                <w:szCs w:val="10"/>
                <w:b w:val="1"/>
                <w:bCs w:val="1"/>
                <w:color w:val="auto"/>
              </w:rPr>
              <w:t>June 30, 2021</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0"/>
                <w:szCs w:val="10"/>
                <w:b w:val="1"/>
                <w:bCs w:val="1"/>
                <w:color w:val="auto"/>
                <w:w w:val="98"/>
              </w:rPr>
              <w:t>June 30, 2020</w:t>
            </w:r>
          </w:p>
        </w:tc>
      </w:tr>
      <w:tr>
        <w:trPr>
          <w:trHeight w:val="137"/>
        </w:trPr>
        <w:tc>
          <w:tcPr>
            <w:tcW w:w="4240" w:type="dxa"/>
            <w:vAlign w:val="bottom"/>
          </w:tcPr>
          <w:p>
            <w:pPr>
              <w:ind w:left="20"/>
              <w:spacing w:after="0"/>
              <w:rPr>
                <w:sz w:val="20"/>
                <w:szCs w:val="20"/>
                <w:color w:val="auto"/>
              </w:rPr>
            </w:pPr>
            <w:r>
              <w:rPr>
                <w:rFonts w:ascii="Arial" w:cs="Arial" w:eastAsia="Arial" w:hAnsi="Arial"/>
                <w:sz w:val="11"/>
                <w:szCs w:val="11"/>
                <w:b w:val="1"/>
                <w:bCs w:val="1"/>
                <w:color w:val="auto"/>
              </w:rPr>
              <w:t>Basic earnings per share</w:t>
            </w: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70"/>
        </w:trPr>
        <w:tc>
          <w:tcPr>
            <w:tcW w:w="4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(loss) attributable to stockholders</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w:t>
            </w:r>
          </w:p>
        </w:tc>
      </w:tr>
      <w:tr>
        <w:trPr>
          <w:trHeight w:val="170"/>
        </w:trPr>
        <w:tc>
          <w:tcPr>
            <w:tcW w:w="4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Less: cumulative dividends on subsidiary preferred stock</w:t>
            </w:r>
          </w:p>
        </w:tc>
        <w:tc>
          <w:tcPr>
            <w:tcW w:w="10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w:t>
            </w:r>
          </w:p>
        </w:tc>
      </w:tr>
      <w:tr>
        <w:trPr>
          <w:trHeight w:val="185"/>
        </w:trPr>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Net income (loss) attributable to common stockholders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4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70"/>
        </w:trPr>
        <w:tc>
          <w:tcPr>
            <w:tcW w:w="4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Weighted-average common shares outstanding</w:t>
            </w:r>
          </w:p>
        </w:tc>
        <w:tc>
          <w:tcPr>
            <w:tcW w:w="10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1,432</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1,432</w:t>
            </w:r>
          </w:p>
        </w:tc>
      </w:tr>
      <w:tr>
        <w:trPr>
          <w:trHeight w:val="85"/>
        </w:trPr>
        <w:tc>
          <w:tcPr>
            <w:tcW w:w="4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0"/>
        </w:trPr>
        <w:tc>
          <w:tcPr>
            <w:tcW w:w="4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Basic earnings (loss) per common share</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(0.39)</w:t>
            </w:r>
          </w:p>
        </w:tc>
      </w:tr>
      <w:tr>
        <w:trPr>
          <w:trHeight w:val="149"/>
        </w:trPr>
        <w:tc>
          <w:tcPr>
            <w:tcW w:w="4240" w:type="dxa"/>
            <w:vAlign w:val="bottom"/>
          </w:tcPr>
          <w:p>
            <w:pPr>
              <w:ind w:left="20"/>
              <w:spacing w:after="0"/>
              <w:rPr>
                <w:sz w:val="20"/>
                <w:szCs w:val="20"/>
                <w:color w:val="auto"/>
              </w:rPr>
            </w:pPr>
            <w:r>
              <w:rPr>
                <w:rFonts w:ascii="Arial" w:cs="Arial" w:eastAsia="Arial" w:hAnsi="Arial"/>
                <w:sz w:val="11"/>
                <w:szCs w:val="11"/>
                <w:b w:val="1"/>
                <w:bCs w:val="1"/>
                <w:color w:val="auto"/>
              </w:rPr>
              <w:t>Diluted earnings per share</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0"/>
        </w:trPr>
        <w:tc>
          <w:tcPr>
            <w:tcW w:w="4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(loss) attributable to common stockholders – diluted</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w:t>
            </w:r>
          </w:p>
        </w:tc>
      </w:tr>
      <w:tr>
        <w:trPr>
          <w:trHeight w:val="85"/>
        </w:trPr>
        <w:tc>
          <w:tcPr>
            <w:tcW w:w="4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0"/>
        </w:trPr>
        <w:tc>
          <w:tcPr>
            <w:tcW w:w="4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Weighted-average common shares outstanding – diluted</w:t>
            </w:r>
          </w:p>
        </w:tc>
        <w:tc>
          <w:tcPr>
            <w:tcW w:w="10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1,432</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1,432</w:t>
            </w:r>
          </w:p>
        </w:tc>
      </w:tr>
      <w:tr>
        <w:trPr>
          <w:trHeight w:val="85"/>
        </w:trPr>
        <w:tc>
          <w:tcPr>
            <w:tcW w:w="4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1"/>
                <w:szCs w:val="11"/>
                <w:color w:val="auto"/>
              </w:rPr>
              <w:t>Diluted earnings (loss) per common share</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(0.39)</w:t>
            </w:r>
          </w:p>
        </w:tc>
      </w:tr>
      <w:tr>
        <w:trPr>
          <w:trHeight w:val="172"/>
        </w:trPr>
        <w:tc>
          <w:tcPr>
            <w:tcW w:w="4240" w:type="dxa"/>
            <w:vAlign w:val="bottom"/>
          </w:tcPr>
          <w:p>
            <w:pPr>
              <w:spacing w:after="0"/>
              <w:rPr>
                <w:sz w:val="20"/>
                <w:szCs w:val="20"/>
                <w:color w:val="auto"/>
              </w:rPr>
            </w:pPr>
            <w:r>
              <w:rPr>
                <w:rFonts w:ascii="Arial" w:cs="Arial" w:eastAsia="Arial" w:hAnsi="Arial"/>
                <w:sz w:val="11"/>
                <w:szCs w:val="11"/>
                <w:color w:val="auto"/>
              </w:rPr>
              <w:t>Potentially dilutive securities(a)</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43</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 w:lineRule="exact"/>
        <w:rPr>
          <w:sz w:val="20"/>
          <w:szCs w:val="20"/>
          <w:color w:val="auto"/>
        </w:rPr>
      </w:pPr>
    </w:p>
    <w:p>
      <w:pPr>
        <w:ind w:left="340" w:hanging="255"/>
        <w:spacing w:after="0" w:line="260" w:lineRule="auto"/>
        <w:tabs>
          <w:tab w:leader="none" w:pos="329" w:val="left"/>
        </w:tabs>
        <w:numPr>
          <w:ilvl w:val="0"/>
          <w:numId w:val="8"/>
        </w:numPr>
        <w:rPr>
          <w:rFonts w:ascii="Arial" w:cs="Arial" w:eastAsia="Arial" w:hAnsi="Arial"/>
          <w:sz w:val="11"/>
          <w:szCs w:val="11"/>
          <w:color w:val="auto"/>
        </w:rPr>
      </w:pPr>
      <w:r>
        <w:rPr>
          <w:rFonts w:ascii="Arial" w:cs="Arial" w:eastAsia="Arial" w:hAnsi="Arial"/>
          <w:sz w:val="11"/>
          <w:szCs w:val="11"/>
          <w:color w:val="auto"/>
        </w:rPr>
        <w:t>Potentially dilutive securities attributable to outstanding stock options at June 30, 2021 and 2020 and Performance Stock Units (PSUs) and Restricted Stock Units (RSUs) at June 30, 2020, were excluded from the computation of diluted earnings per share (EPS) because the securities would have had an antidilutive effect.</w:t>
      </w:r>
    </w:p>
    <w:p>
      <w:pPr>
        <w:spacing w:after="0" w:line="200" w:lineRule="exact"/>
        <w:rPr>
          <w:sz w:val="20"/>
          <w:szCs w:val="20"/>
          <w:color w:val="auto"/>
        </w:rPr>
      </w:pPr>
    </w:p>
    <w:p>
      <w:pPr>
        <w:spacing w:after="0" w:line="266" w:lineRule="exact"/>
        <w:rPr>
          <w:sz w:val="20"/>
          <w:szCs w:val="20"/>
          <w:color w:val="auto"/>
        </w:rPr>
      </w:pPr>
    </w:p>
    <w:p>
      <w:pPr>
        <w:ind w:left="590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60"/>
          </w:cols>
          <w:pgMar w:left="220" w:top="698" w:right="319" w:bottom="1440" w:gutter="0" w:footer="0" w:header="0"/>
        </w:sectPr>
      </w:pPr>
    </w:p>
    <w:bookmarkStart w:id="21" w:name="page22"/>
    <w:bookmarkEnd w:id="21"/>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Combining Balance Sheet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except per share amounts) (Unaudited)(a)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ind w:left="300"/>
              <w:spacing w:after="0"/>
              <w:rPr>
                <w:sz w:val="20"/>
                <w:szCs w:val="20"/>
                <w:color w:val="auto"/>
              </w:rPr>
            </w:pPr>
            <w:r>
              <w:rPr>
                <w:rFonts w:ascii="Arial" w:cs="Arial" w:eastAsia="Arial" w:hAnsi="Arial"/>
                <w:sz w:val="10"/>
                <w:szCs w:val="10"/>
                <w:b w:val="1"/>
                <w:bCs w:val="1"/>
                <w:color w:val="auto"/>
              </w:rPr>
              <w:t>June 30, 2021</w:t>
            </w: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December 31, 2020</w:t>
            </w: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10"/>
                <w:szCs w:val="10"/>
                <w:color w:val="auto"/>
              </w:rPr>
            </w:pPr>
          </w:p>
        </w:tc>
        <w:tc>
          <w:tcPr>
            <w:tcW w:w="640" w:type="dxa"/>
            <w:vAlign w:val="bottom"/>
          </w:tcPr>
          <w:p>
            <w:pPr>
              <w:jc w:val="right"/>
              <w:ind w:right="131"/>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GM Financial</w:t>
            </w:r>
          </w:p>
        </w:tc>
        <w:tc>
          <w:tcPr>
            <w:tcW w:w="136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00" w:type="dxa"/>
            <w:vAlign w:val="bottom"/>
          </w:tcPr>
          <w:p>
            <w:pPr>
              <w:spacing w:after="0"/>
              <w:rPr>
                <w:sz w:val="10"/>
                <w:szCs w:val="10"/>
                <w:color w:val="auto"/>
              </w:rPr>
            </w:pPr>
          </w:p>
        </w:tc>
        <w:tc>
          <w:tcPr>
            <w:tcW w:w="620" w:type="dxa"/>
            <w:vAlign w:val="bottom"/>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13"/>
        </w:trPr>
        <w:tc>
          <w:tcPr>
            <w:tcW w:w="2260" w:type="dxa"/>
            <w:vAlign w:val="bottom"/>
          </w:tcPr>
          <w:p>
            <w:pPr>
              <w:ind w:left="940"/>
              <w:spacing w:after="0" w:line="113" w:lineRule="exact"/>
              <w:rPr>
                <w:sz w:val="20"/>
                <w:szCs w:val="20"/>
                <w:color w:val="auto"/>
              </w:rPr>
            </w:pPr>
            <w:r>
              <w:rPr>
                <w:rFonts w:ascii="Arial" w:cs="Arial" w:eastAsia="Arial" w:hAnsi="Arial"/>
                <w:sz w:val="10"/>
                <w:szCs w:val="10"/>
                <w:b w:val="1"/>
                <w:bCs w:val="1"/>
                <w:color w:val="auto"/>
              </w:rPr>
              <w:t>ASSETS</w:t>
            </w: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Current Assets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16,763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1,779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4,378</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22,920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14,168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5,063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19,992</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Marketable debt securities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4,090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2,149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6,211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8,103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972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9,046</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Accounts and notes receivable, net(b)</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8,264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932</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8,167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7,951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8,035</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GM Financial receivables, net(c)</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24,705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(261)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24,444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26,607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(398)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26,209</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Inventories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13,102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10,236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10,235</w:t>
            </w:r>
          </w:p>
        </w:tc>
        <w:tc>
          <w:tcPr>
            <w:tcW w:w="0" w:type="dxa"/>
            <w:vAlign w:val="bottom"/>
          </w:tcPr>
          <w:p>
            <w:pPr>
              <w:spacing w:after="0"/>
              <w:rPr>
                <w:sz w:val="1"/>
                <w:szCs w:val="1"/>
                <w:color w:val="auto"/>
              </w:rPr>
            </w:pPr>
          </w:p>
        </w:tc>
      </w:tr>
      <w:tr>
        <w:trPr>
          <w:trHeight w:val="131"/>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current assets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2,154</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5,650</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(97)</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7,765</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1,884</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5,524</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7,407</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current assets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44,374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35,664</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82,609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42,342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1,769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38,228</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80,924</w:t>
            </w: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Non-current Assets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GM Financial receivables, net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35,507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35,507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31,783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31,783</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w w:val="99"/>
              </w:rPr>
              <w:t>Equity in net assets of nonconsolidated affiliates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7,178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1,704</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8,882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6,825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1,581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8,406</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Property, net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38,534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169</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38,822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37,325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37,632</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Goodwill and intangible assets, net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3,081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743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1,345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5,169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3,152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1,343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5,230</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Equipment on operating leases, net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40,596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40,596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39,819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39,819</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Deferred income taxes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22,901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(493)</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22,408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23,853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617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(334)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24,136</w:t>
            </w:r>
          </w:p>
        </w:tc>
        <w:tc>
          <w:tcPr>
            <w:tcW w:w="0" w:type="dxa"/>
            <w:vAlign w:val="bottom"/>
          </w:tcPr>
          <w:p>
            <w:pPr>
              <w:spacing w:after="0"/>
              <w:rPr>
                <w:sz w:val="1"/>
                <w:szCs w:val="1"/>
                <w:color w:val="auto"/>
              </w:rPr>
            </w:pPr>
          </w:p>
        </w:tc>
      </w:tr>
      <w:tr>
        <w:trPr>
          <w:trHeight w:val="138"/>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assets</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6,641</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353</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855</w:t>
            </w:r>
          </w:p>
        </w:tc>
        <w:tc>
          <w:tcPr>
            <w:tcW w:w="10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7,810</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6,129</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382</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805</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7,264</w:t>
            </w:r>
          </w:p>
        </w:tc>
        <w:tc>
          <w:tcPr>
            <w:tcW w:w="0" w:type="dxa"/>
            <w:vAlign w:val="bottom"/>
          </w:tcPr>
          <w:p>
            <w:pPr>
              <w:spacing w:after="0"/>
              <w:rPr>
                <w:sz w:val="1"/>
                <w:szCs w:val="1"/>
                <w:color w:val="auto"/>
              </w:rPr>
            </w:pPr>
          </w:p>
        </w:tc>
      </w:tr>
      <w:tr>
        <w:trPr>
          <w:trHeight w:val="129"/>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non-current assets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78,336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1,215</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79,682</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159,194</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77,284</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1,856</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75,182</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154,270</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122,709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5,204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115,346</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(1,456)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241,803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119,625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3,625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113,410</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(1,466)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235,194</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0"/>
                <w:szCs w:val="10"/>
                <w:b w:val="1"/>
                <w:bCs w:val="1"/>
                <w:color w:val="auto"/>
              </w:rPr>
              <w:t>LIABILITIES AND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Current Liabilities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Accounts payable (principally trade)(b)</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21,344</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129</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990</w:t>
            </w:r>
          </w:p>
        </w:tc>
        <w:tc>
          <w:tcPr>
            <w:tcW w:w="1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(1,032)</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21,431</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19,928</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93</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867</w:t>
            </w:r>
          </w:p>
        </w:tc>
        <w:tc>
          <w:tcPr>
            <w:tcW w:w="10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(959)</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19,928</w:t>
            </w:r>
          </w:p>
        </w:tc>
        <w:tc>
          <w:tcPr>
            <w:tcW w:w="0" w:type="dxa"/>
            <w:vAlign w:val="bottom"/>
          </w:tcPr>
          <w:p>
            <w:pPr>
              <w:spacing w:after="0"/>
              <w:rPr>
                <w:sz w:val="1"/>
                <w:szCs w:val="1"/>
                <w:color w:val="auto"/>
              </w:rPr>
            </w:pPr>
          </w:p>
        </w:tc>
      </w:tr>
      <w:tr>
        <w:trPr>
          <w:trHeight w:val="109"/>
        </w:trPr>
        <w:tc>
          <w:tcPr>
            <w:tcW w:w="22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w w:val="99"/>
              </w:rPr>
              <w:t>Short-term debt and current portion of long-term</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debt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60" w:type="dxa"/>
            <w:vAlign w:val="bottom"/>
          </w:tcPr>
          <w:p>
            <w:pPr>
              <w:ind w:left="240"/>
              <w:spacing w:after="0"/>
              <w:rPr>
                <w:sz w:val="20"/>
                <w:szCs w:val="20"/>
                <w:color w:val="auto"/>
              </w:rPr>
            </w:pPr>
            <w:r>
              <w:rPr>
                <w:rFonts w:ascii="Arial" w:cs="Arial" w:eastAsia="Arial" w:hAnsi="Arial"/>
                <w:sz w:val="10"/>
                <w:szCs w:val="10"/>
                <w:color w:val="auto"/>
              </w:rPr>
              <w:t>Automotive (c)</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1,156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(261)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896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1,674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(398)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1,276</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GM Financial</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33,294</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33,294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35,637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35,637</w:t>
            </w:r>
          </w:p>
        </w:tc>
        <w:tc>
          <w:tcPr>
            <w:tcW w:w="0" w:type="dxa"/>
            <w:vAlign w:val="bottom"/>
          </w:tcPr>
          <w:p>
            <w:pPr>
              <w:spacing w:after="0"/>
              <w:rPr>
                <w:sz w:val="1"/>
                <w:szCs w:val="1"/>
                <w:color w:val="auto"/>
              </w:rPr>
            </w:pPr>
          </w:p>
        </w:tc>
      </w:tr>
      <w:tr>
        <w:trPr>
          <w:trHeight w:val="131"/>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Accrued liabilities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15,535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198</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3,552</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(96)</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19,190</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18,751</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133</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4,218</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23,069</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current liabilities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38,036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37,837</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74,811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40,353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40,722</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79,910</w:t>
            </w: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Non-current Liabilities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Long-term debt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260" w:type="dxa"/>
            <w:vAlign w:val="bottom"/>
          </w:tcPr>
          <w:p>
            <w:pPr>
              <w:ind w:left="240"/>
              <w:spacing w:after="0"/>
              <w:rPr>
                <w:sz w:val="20"/>
                <w:szCs w:val="20"/>
                <w:color w:val="auto"/>
              </w:rPr>
            </w:pPr>
            <w:r>
              <w:rPr>
                <w:rFonts w:ascii="Arial" w:cs="Arial" w:eastAsia="Arial" w:hAnsi="Arial"/>
                <w:sz w:val="10"/>
                <w:szCs w:val="10"/>
                <w:color w:val="auto"/>
              </w:rPr>
              <w:t>Automotive</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16,414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16,422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16,193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16,193</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GM Financial</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60,276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60,276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56,788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56,788</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Postretirement benefits other than pensions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6,202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6,202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6,277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6,277</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Pensions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11,559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11,564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12,897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12,902</w:t>
            </w:r>
          </w:p>
        </w:tc>
        <w:tc>
          <w:tcPr>
            <w:tcW w:w="0" w:type="dxa"/>
            <w:vAlign w:val="bottom"/>
          </w:tcPr>
          <w:p>
            <w:pPr>
              <w:spacing w:after="0"/>
              <w:rPr>
                <w:sz w:val="1"/>
                <w:szCs w:val="1"/>
                <w:color w:val="auto"/>
              </w:rPr>
            </w:pPr>
          </w:p>
        </w:tc>
      </w:tr>
      <w:tr>
        <w:trPr>
          <w:trHeight w:val="131"/>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liabilities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11,922</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2,260</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14,652</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11,151</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1,810</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13,447</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non-current liabilities</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46,097</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516</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62,542</w:t>
            </w:r>
          </w:p>
        </w:tc>
        <w:tc>
          <w:tcPr>
            <w:tcW w:w="10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109,116</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46,519</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539</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58,602</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105,607</w:t>
            </w:r>
          </w:p>
        </w:tc>
        <w:tc>
          <w:tcPr>
            <w:tcW w:w="0" w:type="dxa"/>
            <w:vAlign w:val="bottom"/>
          </w:tcPr>
          <w:p>
            <w:pPr>
              <w:spacing w:after="0"/>
              <w:rPr>
                <w:sz w:val="1"/>
                <w:szCs w:val="1"/>
                <w:color w:val="auto"/>
              </w:rPr>
            </w:pPr>
          </w:p>
        </w:tc>
      </w:tr>
      <w:tr>
        <w:trPr>
          <w:trHeight w:val="121"/>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Total Liabilities</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84,133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845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100,378</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(1,428)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183,927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86,872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764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99,325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(1,444)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185,517</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Commitments and contingencies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Equity</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80"/>
              <w:spacing w:after="0"/>
              <w:rPr>
                <w:sz w:val="20"/>
                <w:szCs w:val="20"/>
                <w:color w:val="auto"/>
              </w:rPr>
            </w:pPr>
            <w:r>
              <w:rPr>
                <w:rFonts w:ascii="Arial" w:cs="Arial" w:eastAsia="Arial" w:hAnsi="Arial"/>
                <w:sz w:val="10"/>
                <w:szCs w:val="10"/>
                <w:color w:val="auto"/>
              </w:rPr>
              <w:t>Common stock, $0.01 par value</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31"/>
        </w:trPr>
        <w:tc>
          <w:tcPr>
            <w:tcW w:w="2260" w:type="dxa"/>
            <w:vAlign w:val="bottom"/>
          </w:tcPr>
          <w:p>
            <w:pPr>
              <w:ind w:left="80"/>
              <w:spacing w:after="0"/>
              <w:rPr>
                <w:sz w:val="20"/>
                <w:szCs w:val="20"/>
                <w:color w:val="auto"/>
              </w:rPr>
            </w:pPr>
            <w:r>
              <w:rPr>
                <w:rFonts w:ascii="Arial" w:cs="Arial" w:eastAsia="Arial" w:hAnsi="Arial"/>
                <w:sz w:val="10"/>
                <w:szCs w:val="10"/>
                <w:color w:val="auto"/>
              </w:rPr>
              <w:t>Preferred stock, $0.01 par value</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80"/>
              <w:spacing w:after="0"/>
              <w:rPr>
                <w:sz w:val="20"/>
                <w:szCs w:val="20"/>
                <w:color w:val="auto"/>
              </w:rPr>
            </w:pPr>
            <w:r>
              <w:rPr>
                <w:rFonts w:ascii="Arial" w:cs="Arial" w:eastAsia="Arial" w:hAnsi="Arial"/>
                <w:sz w:val="10"/>
                <w:szCs w:val="10"/>
                <w:color w:val="auto"/>
              </w:rPr>
              <w:t>Additional paid-in capital(d)</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26,851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1,611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26,844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26,551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1,730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26,542</w:t>
            </w:r>
          </w:p>
        </w:tc>
        <w:tc>
          <w:tcPr>
            <w:tcW w:w="0" w:type="dxa"/>
            <w:vAlign w:val="bottom"/>
          </w:tcPr>
          <w:p>
            <w:pPr>
              <w:spacing w:after="0"/>
              <w:rPr>
                <w:sz w:val="1"/>
                <w:szCs w:val="1"/>
                <w:color w:val="auto"/>
              </w:rPr>
            </w:pPr>
          </w:p>
        </w:tc>
      </w:tr>
      <w:tr>
        <w:trPr>
          <w:trHeight w:val="131"/>
        </w:trPr>
        <w:tc>
          <w:tcPr>
            <w:tcW w:w="2260" w:type="dxa"/>
            <w:vAlign w:val="bottom"/>
          </w:tcPr>
          <w:p>
            <w:pPr>
              <w:ind w:left="80"/>
              <w:spacing w:after="0"/>
              <w:rPr>
                <w:sz w:val="20"/>
                <w:szCs w:val="20"/>
                <w:color w:val="auto"/>
              </w:rPr>
            </w:pPr>
            <w:r>
              <w:rPr>
                <w:rFonts w:ascii="Arial" w:cs="Arial" w:eastAsia="Arial" w:hAnsi="Arial"/>
                <w:sz w:val="10"/>
                <w:szCs w:val="10"/>
                <w:color w:val="auto"/>
              </w:rPr>
              <w:t>Retained earnings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22,580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706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14,538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37,806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17,444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891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13,640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31,962</w:t>
            </w:r>
          </w:p>
        </w:tc>
        <w:tc>
          <w:tcPr>
            <w:tcW w:w="0" w:type="dxa"/>
            <w:vAlign w:val="bottom"/>
          </w:tcPr>
          <w:p>
            <w:pPr>
              <w:spacing w:after="0"/>
              <w:rPr>
                <w:sz w:val="1"/>
                <w:szCs w:val="1"/>
                <w:color w:val="auto"/>
              </w:rPr>
            </w:pPr>
          </w:p>
        </w:tc>
      </w:tr>
      <w:tr>
        <w:trPr>
          <w:trHeight w:val="138"/>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Accumulated other comprehensive loss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(11,822)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(1,181)</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(12,996)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(12,213)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(13,488)</w:t>
            </w:r>
          </w:p>
        </w:tc>
        <w:tc>
          <w:tcPr>
            <w:tcW w:w="0" w:type="dxa"/>
            <w:vAlign w:val="bottom"/>
          </w:tcPr>
          <w:p>
            <w:pPr>
              <w:spacing w:after="0"/>
              <w:rPr>
                <w:sz w:val="1"/>
                <w:szCs w:val="1"/>
                <w:color w:val="auto"/>
              </w:rPr>
            </w:pPr>
          </w:p>
        </w:tc>
      </w:tr>
      <w:tr>
        <w:trPr>
          <w:trHeight w:val="129"/>
        </w:trPr>
        <w:tc>
          <w:tcPr>
            <w:tcW w:w="2260" w:type="dxa"/>
            <w:vAlign w:val="bottom"/>
          </w:tcPr>
          <w:p>
            <w:pPr>
              <w:ind w:left="80"/>
              <w:spacing w:after="0"/>
              <w:rPr>
                <w:sz w:val="20"/>
                <w:szCs w:val="20"/>
                <w:color w:val="auto"/>
              </w:rPr>
            </w:pPr>
            <w:r>
              <w:rPr>
                <w:rFonts w:ascii="Arial" w:cs="Arial" w:eastAsia="Arial" w:hAnsi="Arial"/>
                <w:sz w:val="10"/>
                <w:szCs w:val="10"/>
                <w:color w:val="auto"/>
              </w:rPr>
              <w:t>Total stockholders’ equity</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37,623</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801</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14,968</w:t>
            </w: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(1,724)</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51,669</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31,796</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976</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14,085</w:t>
            </w: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(1,829)</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45,030</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80"/>
              <w:spacing w:after="0"/>
              <w:rPr>
                <w:sz w:val="20"/>
                <w:szCs w:val="20"/>
                <w:color w:val="auto"/>
              </w:rPr>
            </w:pPr>
            <w:r>
              <w:rPr>
                <w:rFonts w:ascii="Arial" w:cs="Arial" w:eastAsia="Arial" w:hAnsi="Arial"/>
                <w:sz w:val="10"/>
                <w:szCs w:val="10"/>
                <w:color w:val="auto"/>
              </w:rPr>
              <w:t>Noncontrolling interests(d)</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6,207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959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1,804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4,647</w:t>
            </w:r>
          </w:p>
        </w:tc>
        <w:tc>
          <w:tcPr>
            <w:tcW w:w="0" w:type="dxa"/>
            <w:vAlign w:val="bottom"/>
          </w:tcPr>
          <w:p>
            <w:pPr>
              <w:spacing w:after="0"/>
              <w:rPr>
                <w:sz w:val="1"/>
                <w:szCs w:val="1"/>
                <w:color w:val="auto"/>
              </w:rPr>
            </w:pPr>
          </w:p>
        </w:tc>
      </w:tr>
      <w:tr>
        <w:trPr>
          <w:trHeight w:val="121"/>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Total Equity</w:t>
            </w:r>
          </w:p>
        </w:tc>
        <w:tc>
          <w:tcPr>
            <w:tcW w:w="10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38,577</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4,359</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14,967</w:t>
            </w:r>
          </w:p>
        </w:tc>
        <w:tc>
          <w:tcPr>
            <w:tcW w:w="10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(27)</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57,876</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32,754</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2,861</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14,085</w:t>
            </w: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(23)</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49,677</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122,709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5,204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115,346</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(1,456)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241,803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119,625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3,625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113,410</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(1,466)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235,194</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8"/>
          <w:szCs w:val="8"/>
          <w:color w:val="auto"/>
        </w:rPr>
        <w:t>_________</w:t>
      </w:r>
    </w:p>
    <w:p>
      <w:pPr>
        <w:spacing w:after="0" w:line="3" w:lineRule="exact"/>
        <w:rPr>
          <w:sz w:val="20"/>
          <w:szCs w:val="20"/>
          <w:color w:val="auto"/>
        </w:rPr>
      </w:pPr>
    </w:p>
    <w:p>
      <w:pPr>
        <w:ind w:left="260" w:hanging="255"/>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8"/>
          <w:szCs w:val="8"/>
          <w:color w:val="auto"/>
        </w:rPr>
        <w:t>Amounts may not sum due to rounding.</w:t>
      </w:r>
    </w:p>
    <w:p>
      <w:pPr>
        <w:spacing w:after="0" w:line="3" w:lineRule="exact"/>
        <w:rPr>
          <w:rFonts w:ascii="Arial" w:cs="Arial" w:eastAsia="Arial" w:hAnsi="Arial"/>
          <w:sz w:val="8"/>
          <w:szCs w:val="8"/>
          <w:color w:val="auto"/>
        </w:rPr>
      </w:pPr>
    </w:p>
    <w:p>
      <w:pPr>
        <w:ind w:left="260" w:hanging="255"/>
        <w:spacing w:after="0" w:line="249" w:lineRule="auto"/>
        <w:tabs>
          <w:tab w:leader="none" w:pos="257" w:val="left"/>
        </w:tabs>
        <w:numPr>
          <w:ilvl w:val="0"/>
          <w:numId w:val="9"/>
        </w:numPr>
        <w:rPr>
          <w:rFonts w:ascii="Arial" w:cs="Arial" w:eastAsia="Arial" w:hAnsi="Arial"/>
          <w:sz w:val="8"/>
          <w:szCs w:val="8"/>
          <w:color w:val="auto"/>
        </w:rPr>
      </w:pPr>
      <w:r>
        <w:rPr>
          <w:rFonts w:ascii="Arial" w:cs="Arial" w:eastAsia="Arial" w:hAnsi="Arial"/>
          <w:sz w:val="8"/>
          <w:szCs w:val="8"/>
          <w:color w:val="auto"/>
        </w:rPr>
        <w:t>Eliminations primarily include: GM Financial accounts and notes receivable of $611 million offset by Automotive accounts payable and Automotive accounts receivable of $358 million offset by GM Financial accounts payable at June 30, 2021; and GM Financial accounts and notes receivable of $643 million offset by Automotive accounts payable and Automotive accounts receivable of $268 million offset by GM Financial accounts payable at December 31, 2020.</w:t>
      </w:r>
    </w:p>
    <w:p>
      <w:pPr>
        <w:ind w:left="260" w:hanging="255"/>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8"/>
          <w:szCs w:val="8"/>
          <w:color w:val="auto"/>
        </w:rPr>
        <w:t>Eliminations include GM Financial loan receivable of $261 million and $398 million offset by an Automotive loan payable at June 30, 2021 and December 31, 2020.</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8"/>
          <w:szCs w:val="8"/>
          <w:color w:val="auto"/>
        </w:rPr>
        <w:t>Primarily reclassification of GM Financial Cumulative Perpetual Preferred Stock, Series A, B and C. The preferred stock is classified as noncontrolling interests in our condensed consolidated balance sheets.</w:t>
      </w:r>
    </w:p>
    <w:p>
      <w:pPr>
        <w:spacing w:after="0" w:line="200" w:lineRule="exact"/>
        <w:rPr>
          <w:sz w:val="20"/>
          <w:szCs w:val="20"/>
          <w:color w:val="auto"/>
        </w:rPr>
      </w:pPr>
    </w:p>
    <w:p>
      <w:pPr>
        <w:spacing w:after="0" w:line="29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80"/>
          </w:cols>
          <w:pgMar w:left="300" w:top="698" w:right="319" w:bottom="1440" w:gutter="0" w:footer="0" w:header="0"/>
        </w:sectPr>
      </w:pPr>
    </w:p>
    <w:bookmarkStart w:id="22" w:name="page23"/>
    <w:bookmarkEnd w:id="22"/>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600"/>
        <w:spacing w:after="0"/>
        <w:rPr>
          <w:sz w:val="20"/>
          <w:szCs w:val="20"/>
          <w:color w:val="auto"/>
        </w:rPr>
      </w:pPr>
      <w:r>
        <w:rPr>
          <w:rFonts w:ascii="Arial" w:cs="Arial" w:eastAsia="Arial" w:hAnsi="Arial"/>
          <w:sz w:val="13"/>
          <w:szCs w:val="13"/>
          <w:b w:val="1"/>
          <w:bCs w:val="1"/>
          <w:color w:val="auto"/>
        </w:rPr>
        <w:t>Combining Cash Flow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(Unaudited)(a)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6"/>
          </w:tcPr>
          <w:p>
            <w:pPr>
              <w:spacing w:after="0"/>
              <w:rPr>
                <w:sz w:val="20"/>
                <w:szCs w:val="20"/>
                <w:color w:val="auto"/>
              </w:rPr>
            </w:pPr>
            <w:r>
              <w:rPr>
                <w:rFonts w:ascii="Arial" w:cs="Arial" w:eastAsia="Arial" w:hAnsi="Arial"/>
                <w:sz w:val="10"/>
                <w:szCs w:val="10"/>
                <w:b w:val="1"/>
                <w:bCs w:val="1"/>
                <w:color w:val="auto"/>
              </w:rPr>
              <w:t>Six Months Ended June 30, 2021</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6"/>
          </w:tcPr>
          <w:p>
            <w:pPr>
              <w:spacing w:after="0"/>
              <w:rPr>
                <w:sz w:val="20"/>
                <w:szCs w:val="20"/>
                <w:color w:val="auto"/>
              </w:rPr>
            </w:pPr>
            <w:r>
              <w:rPr>
                <w:rFonts w:ascii="Arial" w:cs="Arial" w:eastAsia="Arial" w:hAnsi="Arial"/>
                <w:sz w:val="10"/>
                <w:szCs w:val="10"/>
                <w:b w:val="1"/>
                <w:bCs w:val="1"/>
                <w:color w:val="auto"/>
              </w:rPr>
              <w:t>Six Months Ended June 30, 2020</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440" w:type="dxa"/>
            <w:vAlign w:val="bottom"/>
          </w:tcPr>
          <w:p>
            <w:pPr>
              <w:jc w:val="right"/>
              <w:ind w:right="91"/>
              <w:spacing w:after="0"/>
              <w:rPr>
                <w:sz w:val="20"/>
                <w:szCs w:val="20"/>
                <w:color w:val="auto"/>
              </w:rPr>
            </w:pPr>
            <w:r>
              <w:rPr>
                <w:rFonts w:ascii="Arial" w:cs="Arial" w:eastAsia="Arial" w:hAnsi="Arial"/>
                <w:sz w:val="8"/>
                <w:szCs w:val="8"/>
                <w:b w:val="1"/>
                <w:bCs w:val="1"/>
                <w:color w:val="auto"/>
              </w:rPr>
              <w:t>Cruise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tcPr>
          <w:p>
            <w:pPr>
              <w:ind w:left="80"/>
              <w:spacing w:after="0"/>
              <w:rPr>
                <w:sz w:val="20"/>
                <w:szCs w:val="20"/>
                <w:color w:val="auto"/>
              </w:rPr>
            </w:pPr>
            <w:r>
              <w:rPr>
                <w:rFonts w:ascii="Arial" w:cs="Arial" w:eastAsia="Arial" w:hAnsi="Arial"/>
                <w:sz w:val="8"/>
                <w:szCs w:val="8"/>
                <w:b w:val="1"/>
                <w:bCs w:val="1"/>
                <w:color w:val="auto"/>
              </w:rPr>
              <w:t>GM Financial</w:t>
            </w:r>
          </w:p>
        </w:tc>
        <w:tc>
          <w:tcPr>
            <w:tcW w:w="136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00" w:type="dxa"/>
            <w:vAlign w:val="bottom"/>
          </w:tcPr>
          <w:p>
            <w:pPr>
              <w:spacing w:after="0"/>
              <w:rPr>
                <w:sz w:val="10"/>
                <w:szCs w:val="10"/>
                <w:color w:val="auto"/>
              </w:rPr>
            </w:pPr>
          </w:p>
        </w:tc>
        <w:tc>
          <w:tcPr>
            <w:tcW w:w="640" w:type="dxa"/>
            <w:vAlign w:val="bottom"/>
          </w:tcPr>
          <w:p>
            <w:pPr>
              <w:jc w:val="right"/>
              <w:ind w:right="131"/>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10"/>
                <w:szCs w:val="10"/>
                <w:color w:val="auto"/>
              </w:rPr>
            </w:pPr>
          </w:p>
        </w:tc>
        <w:tc>
          <w:tcPr>
            <w:tcW w:w="440" w:type="dxa"/>
            <w:vAlign w:val="bottom"/>
          </w:tcPr>
          <w:p>
            <w:pPr>
              <w:jc w:val="right"/>
              <w:ind w:right="91"/>
              <w:spacing w:after="0"/>
              <w:rPr>
                <w:sz w:val="20"/>
                <w:szCs w:val="20"/>
                <w:color w:val="auto"/>
              </w:rPr>
            </w:pPr>
            <w:r>
              <w:rPr>
                <w:rFonts w:ascii="Arial" w:cs="Arial" w:eastAsia="Arial" w:hAnsi="Arial"/>
                <w:sz w:val="8"/>
                <w:szCs w:val="8"/>
                <w:b w:val="1"/>
                <w:bCs w:val="1"/>
                <w:color w:val="auto"/>
              </w:rPr>
              <w:t>Cruise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10"/>
                <w:szCs w:val="10"/>
                <w:color w:val="auto"/>
              </w:rPr>
            </w:pPr>
          </w:p>
        </w:tc>
        <w:tc>
          <w:tcPr>
            <w:tcW w:w="640" w:type="dxa"/>
            <w:vAlign w:val="bottom"/>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20"/>
        </w:trPr>
        <w:tc>
          <w:tcPr>
            <w:tcW w:w="236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Cash flows from operating activities</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Net income (loss)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(925)</w:t>
            </w:r>
          </w:p>
        </w:tc>
        <w:tc>
          <w:tcPr>
            <w:tcW w:w="280" w:type="dxa"/>
            <w:vAlign w:val="bottom"/>
            <w:gridSpan w:val="3"/>
            <w:shd w:val="clear" w:color="auto" w:fill="CCEEFF"/>
          </w:tcPr>
          <w:p>
            <w:pPr>
              <w:jc w:val="right"/>
              <w:ind w:right="58"/>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2,073</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5,793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(317)</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(494)</w:t>
            </w:r>
          </w:p>
        </w:tc>
        <w:tc>
          <w:tcPr>
            <w:tcW w:w="0" w:type="dxa"/>
            <w:vAlign w:val="bottom"/>
          </w:tcPr>
          <w:p>
            <w:pPr>
              <w:spacing w:after="0"/>
              <w:rPr>
                <w:sz w:val="1"/>
                <w:szCs w:val="1"/>
                <w:color w:val="auto"/>
              </w:rPr>
            </w:pPr>
          </w:p>
        </w:tc>
      </w:tr>
      <w:tr>
        <w:trPr>
          <w:trHeight w:val="101"/>
        </w:trPr>
        <w:tc>
          <w:tcPr>
            <w:tcW w:w="2360" w:type="dxa"/>
            <w:vAlign w:val="bottom"/>
          </w:tcPr>
          <w:p>
            <w:pPr>
              <w:ind w:left="120"/>
              <w:spacing w:after="0" w:line="102" w:lineRule="exact"/>
              <w:rPr>
                <w:sz w:val="20"/>
                <w:szCs w:val="20"/>
                <w:color w:val="auto"/>
              </w:rPr>
            </w:pPr>
            <w:r>
              <w:rPr>
                <w:rFonts w:ascii="Arial" w:cs="Arial" w:eastAsia="Arial" w:hAnsi="Arial"/>
                <w:sz w:val="10"/>
                <w:szCs w:val="10"/>
                <w:color w:val="auto"/>
              </w:rPr>
              <w:t>Depreciation and impairment of Equipment on</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240"/>
              <w:spacing w:after="0"/>
              <w:rPr>
                <w:sz w:val="20"/>
                <w:szCs w:val="20"/>
                <w:color w:val="auto"/>
              </w:rPr>
            </w:pPr>
            <w:r>
              <w:rPr>
                <w:rFonts w:ascii="Arial" w:cs="Arial" w:eastAsia="Arial" w:hAnsi="Arial"/>
                <w:sz w:val="10"/>
                <w:szCs w:val="10"/>
                <w:color w:val="auto"/>
              </w:rPr>
              <w:t>operating leases, net</w:t>
            </w:r>
          </w:p>
        </w:tc>
        <w:tc>
          <w:tcPr>
            <w:tcW w:w="12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3,218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3,218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41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3,718</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3,759</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Depreciation, amortization and impairment</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charges on Property, net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2,758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2,815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2,760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2,814</w:t>
            </w:r>
          </w:p>
        </w:tc>
        <w:tc>
          <w:tcPr>
            <w:tcW w:w="0" w:type="dxa"/>
            <w:vAlign w:val="bottom"/>
          </w:tcPr>
          <w:p>
            <w:pPr>
              <w:spacing w:after="0"/>
              <w:rPr>
                <w:sz w:val="1"/>
                <w:szCs w:val="1"/>
                <w:color w:val="auto"/>
              </w:rPr>
            </w:pPr>
          </w:p>
        </w:tc>
      </w:tr>
      <w:tr>
        <w:trPr>
          <w:trHeight w:val="101"/>
        </w:trPr>
        <w:tc>
          <w:tcPr>
            <w:tcW w:w="2360" w:type="dxa"/>
            <w:vAlign w:val="bottom"/>
          </w:tcPr>
          <w:p>
            <w:pPr>
              <w:ind w:left="120"/>
              <w:spacing w:after="0" w:line="102" w:lineRule="exact"/>
              <w:rPr>
                <w:sz w:val="20"/>
                <w:szCs w:val="20"/>
                <w:color w:val="auto"/>
              </w:rPr>
            </w:pPr>
            <w:r>
              <w:rPr>
                <w:rFonts w:ascii="Arial" w:cs="Arial" w:eastAsia="Arial" w:hAnsi="Arial"/>
                <w:sz w:val="10"/>
                <w:szCs w:val="10"/>
                <w:color w:val="auto"/>
              </w:rPr>
              <w:t>Foreign currency remeasurement and transaction</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240"/>
              <w:spacing w:after="0"/>
              <w:rPr>
                <w:sz w:val="20"/>
                <w:szCs w:val="20"/>
                <w:color w:val="auto"/>
              </w:rPr>
            </w:pPr>
            <w:r>
              <w:rPr>
                <w:rFonts w:ascii="Arial" w:cs="Arial" w:eastAsia="Arial" w:hAnsi="Arial"/>
                <w:sz w:val="10"/>
                <w:szCs w:val="10"/>
                <w:color w:val="auto"/>
              </w:rPr>
              <w:t>(gains)</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(61)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(63)</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Undistributed earnings of nonconsolidated</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affiliates, net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512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446</w:t>
            </w:r>
          </w:p>
        </w:tc>
        <w:tc>
          <w:tcPr>
            <w:tcW w:w="0" w:type="dxa"/>
            <w:vAlign w:val="bottom"/>
          </w:tcPr>
          <w:p>
            <w:pPr>
              <w:spacing w:after="0"/>
              <w:rPr>
                <w:sz w:val="1"/>
                <w:szCs w:val="1"/>
                <w:color w:val="auto"/>
              </w:rPr>
            </w:pPr>
          </w:p>
        </w:tc>
      </w:tr>
      <w:tr>
        <w:trPr>
          <w:trHeight w:val="131"/>
        </w:trPr>
        <w:tc>
          <w:tcPr>
            <w:tcW w:w="2360" w:type="dxa"/>
            <w:vAlign w:val="bottom"/>
          </w:tcPr>
          <w:p>
            <w:pPr>
              <w:ind w:left="120"/>
              <w:spacing w:after="0"/>
              <w:rPr>
                <w:sz w:val="20"/>
                <w:szCs w:val="20"/>
                <w:color w:val="auto"/>
              </w:rPr>
            </w:pPr>
            <w:r>
              <w:rPr>
                <w:rFonts w:ascii="Arial" w:cs="Arial" w:eastAsia="Arial" w:hAnsi="Arial"/>
                <w:sz w:val="10"/>
                <w:szCs w:val="10"/>
                <w:color w:val="auto"/>
              </w:rPr>
              <w:t>Pension contributions and OPEB payments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(425)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(327)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8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(327)</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Pension and OPEB income, net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(518)</w:t>
            </w:r>
          </w:p>
        </w:tc>
        <w:tc>
          <w:tcPr>
            <w:tcW w:w="0" w:type="dxa"/>
            <w:vAlign w:val="bottom"/>
          </w:tcPr>
          <w:p>
            <w:pPr>
              <w:spacing w:after="0"/>
              <w:rPr>
                <w:sz w:val="1"/>
                <w:szCs w:val="1"/>
                <w:color w:val="auto"/>
              </w:rPr>
            </w:pPr>
          </w:p>
        </w:tc>
      </w:tr>
      <w:tr>
        <w:trPr>
          <w:trHeight w:val="131"/>
        </w:trPr>
        <w:tc>
          <w:tcPr>
            <w:tcW w:w="2360" w:type="dxa"/>
            <w:vAlign w:val="bottom"/>
          </w:tcPr>
          <w:p>
            <w:pPr>
              <w:ind w:left="120"/>
              <w:spacing w:after="0"/>
              <w:rPr>
                <w:sz w:val="20"/>
                <w:szCs w:val="20"/>
                <w:color w:val="auto"/>
              </w:rPr>
            </w:pPr>
            <w:r>
              <w:rPr>
                <w:rFonts w:ascii="Arial" w:cs="Arial" w:eastAsia="Arial" w:hAnsi="Arial"/>
                <w:sz w:val="10"/>
                <w:szCs w:val="10"/>
                <w:color w:val="auto"/>
              </w:rPr>
              <w:t>Provision (benefit) for deferred taxes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1,302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316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195</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1,813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(126)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86</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Change in other operating assets and liabilities(b)</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(c)</w:t>
            </w: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(4,677)</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86</w:t>
            </w: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(1,789)</w:t>
            </w:r>
          </w:p>
        </w:tc>
        <w:tc>
          <w:tcPr>
            <w:tcW w:w="1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2,404</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(3,974)</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(9,552)</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2,699</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(6,847)</w:t>
            </w:r>
          </w:p>
        </w:tc>
        <w:tc>
          <w:tcPr>
            <w:tcW w:w="0" w:type="dxa"/>
            <w:vAlign w:val="bottom"/>
          </w:tcPr>
          <w:p>
            <w:pPr>
              <w:spacing w:after="0"/>
              <w:rPr>
                <w:sz w:val="1"/>
                <w:szCs w:val="1"/>
                <w:color w:val="auto"/>
              </w:rPr>
            </w:pPr>
          </w:p>
        </w:tc>
      </w:tr>
      <w:tr>
        <w:trPr>
          <w:trHeight w:val="75"/>
        </w:trPr>
        <w:tc>
          <w:tcPr>
            <w:tcW w:w="2360" w:type="dxa"/>
            <w:vAlign w:val="bottom"/>
          </w:tcPr>
          <w:p>
            <w:pPr>
              <w:ind w:left="20"/>
              <w:spacing w:after="0" w:line="76" w:lineRule="exact"/>
              <w:rPr>
                <w:sz w:val="20"/>
                <w:szCs w:val="20"/>
                <w:color w:val="auto"/>
              </w:rPr>
            </w:pPr>
            <w:r>
              <w:rPr>
                <w:rFonts w:ascii="Arial" w:cs="Arial" w:eastAsia="Arial" w:hAnsi="Arial"/>
                <w:sz w:val="7"/>
                <w:szCs w:val="7"/>
                <w:b w:val="1"/>
                <w:bCs w:val="1"/>
                <w:color w:val="auto"/>
              </w:rPr>
              <w:t>Net cash provided by (used in) operating</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360" w:type="dxa"/>
            <w:vAlign w:val="bottom"/>
          </w:tcPr>
          <w:p>
            <w:pPr>
              <w:ind w:left="140"/>
              <w:spacing w:after="0"/>
              <w:rPr>
                <w:sz w:val="20"/>
                <w:szCs w:val="20"/>
                <w:color w:val="auto"/>
              </w:rPr>
            </w:pPr>
            <w:r>
              <w:rPr>
                <w:rFonts w:ascii="Arial" w:cs="Arial" w:eastAsia="Arial" w:hAnsi="Arial"/>
                <w:sz w:val="10"/>
                <w:szCs w:val="10"/>
                <w:b w:val="1"/>
                <w:bCs w:val="1"/>
                <w:color w:val="auto"/>
              </w:rPr>
              <w:t>activities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2,911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(494)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3,617</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2,394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8,428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(7,659)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(387)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4,079</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2,711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(1,254)</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60" w:type="dxa"/>
            <w:vAlign w:val="bottom"/>
          </w:tcPr>
          <w:p>
            <w:pPr>
              <w:ind w:left="120"/>
              <w:spacing w:after="0"/>
              <w:rPr>
                <w:sz w:val="20"/>
                <w:szCs w:val="20"/>
                <w:color w:val="auto"/>
              </w:rPr>
            </w:pPr>
            <w:r>
              <w:rPr>
                <w:rFonts w:ascii="Arial" w:cs="Arial" w:eastAsia="Arial" w:hAnsi="Arial"/>
                <w:sz w:val="10"/>
                <w:szCs w:val="10"/>
                <w:color w:val="auto"/>
              </w:rPr>
              <w:t>Expenditures for property</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(2,406)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(2,451)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(2,312)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(2,336)</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Available-for-sale marketable securities,</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acquisitions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(2,842)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(4,090)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(5,948)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(7,656)</w:t>
            </w:r>
          </w:p>
        </w:tc>
        <w:tc>
          <w:tcPr>
            <w:tcW w:w="0" w:type="dxa"/>
            <w:vAlign w:val="bottom"/>
          </w:tcPr>
          <w:p>
            <w:pPr>
              <w:spacing w:after="0"/>
              <w:rPr>
                <w:sz w:val="1"/>
                <w:szCs w:val="1"/>
                <w:color w:val="auto"/>
              </w:rPr>
            </w:pPr>
          </w:p>
        </w:tc>
      </w:tr>
      <w:tr>
        <w:trPr>
          <w:trHeight w:val="101"/>
        </w:trPr>
        <w:tc>
          <w:tcPr>
            <w:tcW w:w="2360" w:type="dxa"/>
            <w:vAlign w:val="bottom"/>
          </w:tcPr>
          <w:p>
            <w:pPr>
              <w:ind w:left="120"/>
              <w:spacing w:after="0" w:line="102" w:lineRule="exact"/>
              <w:rPr>
                <w:sz w:val="20"/>
                <w:szCs w:val="20"/>
                <w:color w:val="auto"/>
              </w:rPr>
            </w:pPr>
            <w:r>
              <w:rPr>
                <w:rFonts w:ascii="Arial" w:cs="Arial" w:eastAsia="Arial" w:hAnsi="Arial"/>
                <w:sz w:val="10"/>
                <w:szCs w:val="10"/>
                <w:color w:val="auto"/>
              </w:rPr>
              <w:t>Available-for-sale marketable securities,</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240"/>
              <w:spacing w:after="0"/>
              <w:rPr>
                <w:sz w:val="20"/>
                <w:szCs w:val="20"/>
                <w:color w:val="auto"/>
              </w:rPr>
            </w:pPr>
            <w:r>
              <w:rPr>
                <w:rFonts w:ascii="Arial" w:cs="Arial" w:eastAsia="Arial" w:hAnsi="Arial"/>
                <w:sz w:val="10"/>
                <w:szCs w:val="10"/>
                <w:color w:val="auto"/>
              </w:rPr>
              <w:t>liquidations</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5,261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1,677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6,926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2,674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1,038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3,694</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Purchases of finance receivables, net(d)</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(17,478)</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(17,485)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(16,003)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1,073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(14,929)</w:t>
            </w:r>
          </w:p>
        </w:tc>
        <w:tc>
          <w:tcPr>
            <w:tcW w:w="0" w:type="dxa"/>
            <w:vAlign w:val="bottom"/>
          </w:tcPr>
          <w:p>
            <w:pPr>
              <w:spacing w:after="0"/>
              <w:rPr>
                <w:sz w:val="1"/>
                <w:szCs w:val="1"/>
                <w:color w:val="auto"/>
              </w:rPr>
            </w:pPr>
          </w:p>
        </w:tc>
      </w:tr>
      <w:tr>
        <w:trPr>
          <w:trHeight w:val="101"/>
        </w:trPr>
        <w:tc>
          <w:tcPr>
            <w:tcW w:w="2360" w:type="dxa"/>
            <w:vAlign w:val="bottom"/>
          </w:tcPr>
          <w:p>
            <w:pPr>
              <w:ind w:left="120"/>
              <w:spacing w:after="0" w:line="102" w:lineRule="exact"/>
              <w:rPr>
                <w:sz w:val="20"/>
                <w:szCs w:val="20"/>
                <w:color w:val="auto"/>
              </w:rPr>
            </w:pPr>
            <w:r>
              <w:rPr>
                <w:rFonts w:ascii="Arial" w:cs="Arial" w:eastAsia="Arial" w:hAnsi="Arial"/>
                <w:sz w:val="10"/>
                <w:szCs w:val="10"/>
                <w:color w:val="auto"/>
              </w:rPr>
              <w:t>Principal collections and recoveries on finance</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240"/>
              <w:spacing w:after="0"/>
              <w:rPr>
                <w:sz w:val="20"/>
                <w:szCs w:val="20"/>
                <w:color w:val="auto"/>
              </w:rPr>
            </w:pPr>
            <w:r>
              <w:rPr>
                <w:rFonts w:ascii="Arial" w:cs="Arial" w:eastAsia="Arial" w:hAnsi="Arial"/>
                <w:sz w:val="10"/>
                <w:szCs w:val="10"/>
                <w:color w:val="auto"/>
              </w:rPr>
              <w:t>receivables(b)</w:t>
            </w:r>
          </w:p>
        </w:tc>
        <w:tc>
          <w:tcPr>
            <w:tcW w:w="12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15,620</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(3,674)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11,946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13,314</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(3,751)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9,563</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Purchases of leased vehicles, net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(12,391)</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(12,439)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(6,054)</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(6,054)</w:t>
            </w:r>
          </w:p>
        </w:tc>
        <w:tc>
          <w:tcPr>
            <w:tcW w:w="0" w:type="dxa"/>
            <w:vAlign w:val="bottom"/>
          </w:tcPr>
          <w:p>
            <w:pPr>
              <w:spacing w:after="0"/>
              <w:rPr>
                <w:sz w:val="1"/>
                <w:szCs w:val="1"/>
                <w:color w:val="auto"/>
              </w:rPr>
            </w:pPr>
          </w:p>
        </w:tc>
      </w:tr>
      <w:tr>
        <w:trPr>
          <w:trHeight w:val="131"/>
        </w:trPr>
        <w:tc>
          <w:tcPr>
            <w:tcW w:w="2360" w:type="dxa"/>
            <w:vAlign w:val="bottom"/>
          </w:tcPr>
          <w:p>
            <w:pPr>
              <w:ind w:left="120"/>
              <w:spacing w:after="0"/>
              <w:rPr>
                <w:sz w:val="20"/>
                <w:szCs w:val="20"/>
                <w:color w:val="auto"/>
              </w:rPr>
            </w:pPr>
            <w:r>
              <w:rPr>
                <w:rFonts w:ascii="Arial" w:cs="Arial" w:eastAsia="Arial" w:hAnsi="Arial"/>
                <w:sz w:val="10"/>
                <w:szCs w:val="10"/>
                <w:color w:val="auto"/>
              </w:rPr>
              <w:t>Proceeds from termination of leased vehicles</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10,868</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10,868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5,537</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5,537</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investing activities(e)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w:t>
            </w:r>
          </w:p>
        </w:tc>
        <w:tc>
          <w:tcPr>
            <w:tcW w:w="0" w:type="dxa"/>
            <w:vAlign w:val="bottom"/>
          </w:tcPr>
          <w:p>
            <w:pPr>
              <w:spacing w:after="0"/>
              <w:rPr>
                <w:sz w:val="1"/>
                <w:szCs w:val="1"/>
                <w:color w:val="auto"/>
              </w:rPr>
            </w:pPr>
          </w:p>
        </w:tc>
      </w:tr>
      <w:tr>
        <w:trPr>
          <w:trHeight w:val="75"/>
        </w:trPr>
        <w:tc>
          <w:tcPr>
            <w:tcW w:w="2360" w:type="dxa"/>
            <w:vAlign w:val="bottom"/>
          </w:tcPr>
          <w:p>
            <w:pPr>
              <w:ind w:left="20"/>
              <w:spacing w:after="0" w:line="76" w:lineRule="exact"/>
              <w:rPr>
                <w:sz w:val="20"/>
                <w:szCs w:val="20"/>
                <w:color w:val="auto"/>
              </w:rPr>
            </w:pPr>
            <w:r>
              <w:rPr>
                <w:rFonts w:ascii="Arial" w:cs="Arial" w:eastAsia="Arial" w:hAnsi="Arial"/>
                <w:sz w:val="7"/>
                <w:szCs w:val="7"/>
                <w:b w:val="1"/>
                <w:bCs w:val="1"/>
                <w:color w:val="auto"/>
              </w:rPr>
              <w:t>Net cash provided by (used in) investing</w:t>
            </w:r>
          </w:p>
        </w:tc>
        <w:tc>
          <w:tcPr>
            <w:tcW w:w="12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360" w:type="dxa"/>
            <w:vAlign w:val="bottom"/>
          </w:tcPr>
          <w:p>
            <w:pPr>
              <w:ind w:left="140"/>
              <w:spacing w:after="0"/>
              <w:rPr>
                <w:sz w:val="20"/>
                <w:szCs w:val="20"/>
                <w:color w:val="auto"/>
              </w:rPr>
            </w:pPr>
            <w:r>
              <w:rPr>
                <w:rFonts w:ascii="Arial" w:cs="Arial" w:eastAsia="Arial" w:hAnsi="Arial"/>
                <w:sz w:val="10"/>
                <w:szCs w:val="10"/>
                <w:b w:val="1"/>
                <w:bCs w:val="1"/>
                <w:color w:val="auto"/>
              </w:rPr>
              <w:t>activities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289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(1,202)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(3,408)</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(2,689)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(7,010)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(5,588)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(748)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(3,223)</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(2,777)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(12,336)</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60" w:type="dxa"/>
            <w:vAlign w:val="bottom"/>
          </w:tcPr>
          <w:p>
            <w:pPr>
              <w:ind w:left="120"/>
              <w:spacing w:after="0"/>
              <w:rPr>
                <w:sz w:val="20"/>
                <w:szCs w:val="20"/>
                <w:color w:val="auto"/>
              </w:rPr>
            </w:pPr>
            <w:r>
              <w:rPr>
                <w:rFonts w:ascii="Arial" w:cs="Arial" w:eastAsia="Arial" w:hAnsi="Arial"/>
                <w:sz w:val="10"/>
                <w:szCs w:val="10"/>
                <w:color w:val="auto"/>
              </w:rPr>
              <w:t>Net increase (decrease) in short-term debt(d)</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2,369</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2,365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965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821</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(940)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846</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w w:val="98"/>
              </w:rPr>
              <w:t>Proceeds from issuance of debt (original maturities</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greater than three months)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25,690</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25,955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21,103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32,361</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53,465</w:t>
            </w:r>
          </w:p>
        </w:tc>
        <w:tc>
          <w:tcPr>
            <w:tcW w:w="0" w:type="dxa"/>
            <w:vAlign w:val="bottom"/>
          </w:tcPr>
          <w:p>
            <w:pPr>
              <w:spacing w:after="0"/>
              <w:rPr>
                <w:sz w:val="1"/>
                <w:szCs w:val="1"/>
                <w:color w:val="auto"/>
              </w:rPr>
            </w:pPr>
          </w:p>
        </w:tc>
      </w:tr>
      <w:tr>
        <w:trPr>
          <w:trHeight w:val="101"/>
        </w:trPr>
        <w:tc>
          <w:tcPr>
            <w:tcW w:w="2360" w:type="dxa"/>
            <w:vAlign w:val="bottom"/>
          </w:tcPr>
          <w:p>
            <w:pPr>
              <w:ind w:left="120"/>
              <w:spacing w:after="0" w:line="102" w:lineRule="exact"/>
              <w:rPr>
                <w:sz w:val="20"/>
                <w:szCs w:val="20"/>
                <w:color w:val="auto"/>
              </w:rPr>
            </w:pPr>
            <w:r>
              <w:rPr>
                <w:rFonts w:ascii="Arial" w:cs="Arial" w:eastAsia="Arial" w:hAnsi="Arial"/>
                <w:sz w:val="10"/>
                <w:szCs w:val="10"/>
                <w:color w:val="auto"/>
              </w:rPr>
              <w:t>Payments on debt (original maturities greater than</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240"/>
              <w:spacing w:after="0"/>
              <w:rPr>
                <w:sz w:val="20"/>
                <w:szCs w:val="20"/>
                <w:color w:val="auto"/>
              </w:rPr>
            </w:pPr>
            <w:r>
              <w:rPr>
                <w:rFonts w:ascii="Arial" w:cs="Arial" w:eastAsia="Arial" w:hAnsi="Arial"/>
                <w:sz w:val="10"/>
                <w:szCs w:val="10"/>
                <w:color w:val="auto"/>
              </w:rPr>
              <w:t>three months)</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(632)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(26,499)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114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(27,035)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(479)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(29,197)</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164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(29,512)</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Proceeds from issuance of preferred stock(e)</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2,736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1,736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2360" w:type="dxa"/>
            <w:vAlign w:val="bottom"/>
          </w:tcPr>
          <w:p>
            <w:pPr>
              <w:ind w:left="120"/>
              <w:spacing w:after="0"/>
              <w:rPr>
                <w:sz w:val="20"/>
                <w:szCs w:val="20"/>
                <w:color w:val="auto"/>
              </w:rPr>
            </w:pPr>
            <w:r>
              <w:rPr>
                <w:rFonts w:ascii="Arial" w:cs="Arial" w:eastAsia="Arial" w:hAnsi="Arial"/>
                <w:sz w:val="10"/>
                <w:szCs w:val="10"/>
                <w:color w:val="auto"/>
              </w:rPr>
              <w:t>Dividends paid(c)</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(1,260)</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1,200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(547)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(845)</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800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(592)</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financing activities</w:t>
            </w: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w:t>
            </w:r>
          </w:p>
        </w:tc>
        <w:tc>
          <w:tcPr>
            <w:tcW w:w="10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(438)</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w:t>
            </w:r>
          </w:p>
        </w:tc>
        <w:tc>
          <w:tcPr>
            <w:tcW w:w="1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39</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(491)</w:t>
            </w:r>
          </w:p>
        </w:tc>
        <w:tc>
          <w:tcPr>
            <w:tcW w:w="0" w:type="dxa"/>
            <w:vAlign w:val="bottom"/>
          </w:tcPr>
          <w:p>
            <w:pPr>
              <w:spacing w:after="0"/>
              <w:rPr>
                <w:sz w:val="1"/>
                <w:szCs w:val="1"/>
                <w:color w:val="auto"/>
              </w:rPr>
            </w:pPr>
          </w:p>
        </w:tc>
      </w:tr>
      <w:tr>
        <w:trPr>
          <w:trHeight w:val="75"/>
        </w:trPr>
        <w:tc>
          <w:tcPr>
            <w:tcW w:w="2360" w:type="dxa"/>
            <w:vAlign w:val="bottom"/>
          </w:tcPr>
          <w:p>
            <w:pPr>
              <w:ind w:left="20"/>
              <w:spacing w:after="0" w:line="76" w:lineRule="exact"/>
              <w:rPr>
                <w:sz w:val="20"/>
                <w:szCs w:val="20"/>
                <w:color w:val="auto"/>
              </w:rPr>
            </w:pPr>
            <w:r>
              <w:rPr>
                <w:rFonts w:ascii="Arial" w:cs="Arial" w:eastAsia="Arial" w:hAnsi="Arial"/>
                <w:sz w:val="7"/>
                <w:szCs w:val="7"/>
                <w:b w:val="1"/>
                <w:bCs w:val="1"/>
                <w:color w:val="auto"/>
              </w:rPr>
              <w:t>Net cash provided by (used in) financing</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360" w:type="dxa"/>
            <w:vAlign w:val="bottom"/>
          </w:tcPr>
          <w:p>
            <w:pPr>
              <w:ind w:left="140"/>
              <w:spacing w:after="0"/>
              <w:rPr>
                <w:sz w:val="20"/>
                <w:szCs w:val="20"/>
                <w:color w:val="auto"/>
              </w:rPr>
            </w:pPr>
            <w:r>
              <w:rPr>
                <w:rFonts w:ascii="Arial" w:cs="Arial" w:eastAsia="Arial" w:hAnsi="Arial"/>
                <w:sz w:val="10"/>
                <w:szCs w:val="10"/>
                <w:b w:val="1"/>
                <w:bCs w:val="1"/>
                <w:color w:val="auto"/>
              </w:rPr>
              <w:t>activities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(367)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2,714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194</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295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2,837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20,605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3,044</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65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23,716</w:t>
            </w:r>
          </w:p>
        </w:tc>
        <w:tc>
          <w:tcPr>
            <w:tcW w:w="0" w:type="dxa"/>
            <w:vAlign w:val="bottom"/>
          </w:tcPr>
          <w:p>
            <w:pPr>
              <w:spacing w:after="0"/>
              <w:rPr>
                <w:sz w:val="1"/>
                <w:szCs w:val="1"/>
                <w:color w:val="auto"/>
              </w:rPr>
            </w:pPr>
          </w:p>
        </w:tc>
      </w:tr>
      <w:tr>
        <w:trPr>
          <w:trHeight w:val="106"/>
        </w:trPr>
        <w:tc>
          <w:tcPr>
            <w:tcW w:w="2360" w:type="dxa"/>
            <w:vAlign w:val="bottom"/>
            <w:shd w:val="clear" w:color="auto" w:fill="CCEEFF"/>
          </w:tcPr>
          <w:p>
            <w:pPr>
              <w:ind w:left="120"/>
              <w:spacing w:after="0" w:line="106" w:lineRule="exact"/>
              <w:rPr>
                <w:sz w:val="20"/>
                <w:szCs w:val="20"/>
                <w:color w:val="auto"/>
              </w:rPr>
            </w:pPr>
            <w:r>
              <w:rPr>
                <w:rFonts w:ascii="Arial" w:cs="Arial" w:eastAsia="Arial" w:hAnsi="Arial"/>
                <w:sz w:val="10"/>
                <w:szCs w:val="10"/>
                <w:color w:val="auto"/>
              </w:rPr>
              <w:t>Effect of exchange rate changes on cash, cash</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equivalents and restricted cash</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(429)</w:t>
            </w:r>
          </w:p>
        </w:tc>
        <w:tc>
          <w:tcPr>
            <w:tcW w:w="0" w:type="dxa"/>
            <w:vAlign w:val="bottom"/>
          </w:tcPr>
          <w:p>
            <w:pPr>
              <w:spacing w:after="0"/>
              <w:rPr>
                <w:sz w:val="1"/>
                <w:szCs w:val="1"/>
                <w:color w:val="auto"/>
              </w:rPr>
            </w:pPr>
          </w:p>
        </w:tc>
      </w:tr>
      <w:tr>
        <w:trPr>
          <w:trHeight w:val="81"/>
        </w:trPr>
        <w:tc>
          <w:tcPr>
            <w:tcW w:w="2360" w:type="dxa"/>
            <w:vAlign w:val="bottom"/>
          </w:tcPr>
          <w:p>
            <w:pPr>
              <w:ind w:left="120"/>
              <w:spacing w:after="0" w:line="82" w:lineRule="exact"/>
              <w:rPr>
                <w:sz w:val="20"/>
                <w:szCs w:val="20"/>
                <w:color w:val="auto"/>
              </w:rPr>
            </w:pPr>
            <w:r>
              <w:rPr>
                <w:rFonts w:ascii="Arial" w:cs="Arial" w:eastAsia="Arial" w:hAnsi="Arial"/>
                <w:sz w:val="9"/>
                <w:szCs w:val="9"/>
                <w:color w:val="auto"/>
              </w:rPr>
              <w:t>Net increase (decrease) in cash, cash equivalents</w:t>
            </w: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240"/>
              <w:spacing w:after="0"/>
              <w:rPr>
                <w:sz w:val="20"/>
                <w:szCs w:val="20"/>
                <w:color w:val="auto"/>
              </w:rPr>
            </w:pPr>
            <w:r>
              <w:rPr>
                <w:rFonts w:ascii="Arial" w:cs="Arial" w:eastAsia="Arial" w:hAnsi="Arial"/>
                <w:sz w:val="10"/>
                <w:szCs w:val="10"/>
                <w:color w:val="auto"/>
              </w:rPr>
              <w:t>and restricted cash</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2,826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1,018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404</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4,248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7,077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(1,132)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3,751</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9,697</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Cash, cash equivalents and restricted cash at</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beginning of period</w:t>
            </w: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14,225</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766</w:t>
            </w: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8,126</w:t>
            </w:r>
          </w:p>
        </w:tc>
        <w:tc>
          <w:tcPr>
            <w:tcW w:w="1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23,117</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13,487</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2,355</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7,102</w:t>
            </w:r>
          </w:p>
        </w:tc>
        <w:tc>
          <w:tcPr>
            <w:tcW w:w="1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22,943</w:t>
            </w:r>
          </w:p>
        </w:tc>
        <w:tc>
          <w:tcPr>
            <w:tcW w:w="0" w:type="dxa"/>
            <w:vAlign w:val="bottom"/>
          </w:tcPr>
          <w:p>
            <w:pPr>
              <w:spacing w:after="0"/>
              <w:rPr>
                <w:sz w:val="1"/>
                <w:szCs w:val="1"/>
                <w:color w:val="auto"/>
              </w:rPr>
            </w:pPr>
          </w:p>
        </w:tc>
      </w:tr>
      <w:tr>
        <w:trPr>
          <w:trHeight w:val="75"/>
        </w:trPr>
        <w:tc>
          <w:tcPr>
            <w:tcW w:w="2360" w:type="dxa"/>
            <w:vAlign w:val="bottom"/>
          </w:tcPr>
          <w:p>
            <w:pPr>
              <w:ind w:left="20"/>
              <w:spacing w:after="0" w:line="76" w:lineRule="exact"/>
              <w:rPr>
                <w:sz w:val="20"/>
                <w:szCs w:val="20"/>
                <w:color w:val="auto"/>
              </w:rPr>
            </w:pPr>
            <w:r>
              <w:rPr>
                <w:rFonts w:ascii="Arial" w:cs="Arial" w:eastAsia="Arial" w:hAnsi="Arial"/>
                <w:sz w:val="7"/>
                <w:szCs w:val="7"/>
                <w:b w:val="1"/>
                <w:bCs w:val="1"/>
                <w:color w:val="auto"/>
              </w:rPr>
              <w:t>Cash, cash equivalents and restricted cash at</w:t>
            </w: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17,051</w:t>
            </w:r>
          </w:p>
        </w:tc>
        <w:tc>
          <w:tcPr>
            <w:tcW w:w="10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1,784</w:t>
            </w:r>
          </w:p>
        </w:tc>
        <w:tc>
          <w:tcPr>
            <w:tcW w:w="280" w:type="dxa"/>
            <w:vAlign w:val="bottom"/>
            <w:gridSpan w:val="3"/>
            <w:vMerge w:val="restart"/>
          </w:tcPr>
          <w:p>
            <w:pPr>
              <w:jc w:val="right"/>
              <w:ind w:right="58"/>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8,530</w:t>
            </w:r>
          </w:p>
        </w:tc>
        <w:tc>
          <w:tcPr>
            <w:tcW w:w="100" w:type="dxa"/>
            <w:vAlign w:val="bottom"/>
          </w:tcPr>
          <w:p>
            <w:pPr>
              <w:spacing w:after="0"/>
              <w:rPr>
                <w:sz w:val="6"/>
                <w:szCs w:val="6"/>
                <w:color w:val="auto"/>
              </w:rPr>
            </w:pPr>
          </w:p>
        </w:tc>
        <w:tc>
          <w:tcPr>
            <w:tcW w:w="80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ind w:right="11"/>
              <w:spacing w:after="0"/>
              <w:rPr>
                <w:sz w:val="20"/>
                <w:szCs w:val="20"/>
                <w:color w:val="auto"/>
              </w:rPr>
            </w:pPr>
            <w:r>
              <w:rPr>
                <w:rFonts w:ascii="Arial" w:cs="Arial" w:eastAsia="Arial" w:hAnsi="Arial"/>
                <w:sz w:val="10"/>
                <w:szCs w:val="10"/>
                <w:color w:val="auto"/>
              </w:rPr>
              <w:t>27,365</w:t>
            </w:r>
          </w:p>
        </w:tc>
        <w:tc>
          <w:tcPr>
            <w:tcW w:w="8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11"/>
              <w:spacing w:after="0"/>
              <w:rPr>
                <w:sz w:val="20"/>
                <w:szCs w:val="20"/>
                <w:color w:val="auto"/>
              </w:rPr>
            </w:pPr>
            <w:r>
              <w:rPr>
                <w:rFonts w:ascii="Arial" w:cs="Arial" w:eastAsia="Arial" w:hAnsi="Arial"/>
                <w:sz w:val="10"/>
                <w:szCs w:val="10"/>
                <w:color w:val="auto"/>
              </w:rPr>
              <w:t>20,563</w:t>
            </w:r>
          </w:p>
        </w:tc>
        <w:tc>
          <w:tcPr>
            <w:tcW w:w="100" w:type="dxa"/>
            <w:vAlign w:val="bottom"/>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1,222</w:t>
            </w:r>
          </w:p>
        </w:tc>
        <w:tc>
          <w:tcPr>
            <w:tcW w:w="180" w:type="dxa"/>
            <w:vAlign w:val="bottom"/>
            <w:gridSpan w:val="3"/>
            <w:vMerge w:val="restart"/>
          </w:tcPr>
          <w:p>
            <w:pPr>
              <w:jc w:val="right"/>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10,854</w:t>
            </w:r>
          </w:p>
        </w:tc>
        <w:tc>
          <w:tcPr>
            <w:tcW w:w="100" w:type="dxa"/>
            <w:vAlign w:val="bottom"/>
          </w:tcPr>
          <w:p>
            <w:pPr>
              <w:spacing w:after="0"/>
              <w:rPr>
                <w:sz w:val="6"/>
                <w:szCs w:val="6"/>
                <w:color w:val="auto"/>
              </w:rPr>
            </w:pPr>
          </w:p>
        </w:tc>
        <w:tc>
          <w:tcPr>
            <w:tcW w:w="78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32,640</w:t>
            </w:r>
          </w:p>
        </w:tc>
        <w:tc>
          <w:tcPr>
            <w:tcW w:w="0" w:type="dxa"/>
            <w:vAlign w:val="bottom"/>
          </w:tcPr>
          <w:p>
            <w:pPr>
              <w:spacing w:after="0"/>
              <w:rPr>
                <w:sz w:val="1"/>
                <w:szCs w:val="1"/>
                <w:color w:val="auto"/>
              </w:rPr>
            </w:pPr>
          </w:p>
        </w:tc>
      </w:tr>
      <w:tr>
        <w:trPr>
          <w:trHeight w:val="117"/>
        </w:trPr>
        <w:tc>
          <w:tcPr>
            <w:tcW w:w="2360" w:type="dxa"/>
            <w:vAlign w:val="bottom"/>
          </w:tcPr>
          <w:p>
            <w:pPr>
              <w:ind w:left="140"/>
              <w:spacing w:after="0"/>
              <w:rPr>
                <w:sz w:val="20"/>
                <w:szCs w:val="20"/>
                <w:color w:val="auto"/>
              </w:rPr>
            </w:pPr>
            <w:r>
              <w:rPr>
                <w:rFonts w:ascii="Arial" w:cs="Arial" w:eastAsia="Arial" w:hAnsi="Arial"/>
                <w:sz w:val="10"/>
                <w:szCs w:val="10"/>
                <w:b w:val="1"/>
                <w:bCs w:val="1"/>
                <w:color w:val="auto"/>
              </w:rPr>
              <w:t>end of period</w:t>
            </w:r>
          </w:p>
        </w:tc>
        <w:tc>
          <w:tcPr>
            <w:tcW w:w="1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8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8"/>
          <w:szCs w:val="8"/>
          <w:color w:val="auto"/>
        </w:rPr>
        <w:t>_________</w:t>
      </w:r>
    </w:p>
    <w:p>
      <w:pPr>
        <w:spacing w:after="0" w:line="3" w:lineRule="exact"/>
        <w:rPr>
          <w:sz w:val="20"/>
          <w:szCs w:val="20"/>
          <w:color w:val="auto"/>
        </w:rPr>
      </w:pP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Amounts may not sum due to rounding.</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Includes reclassifications of $3.5 billion and $3.4 billion in the six months ended June 30, 2021 and 2020 for purchases/collections of wholesale finance receivables resulting from vehicles sold by GM to dealers that have arranged their inventory floor plan financing through GM Financial.</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include dividends issued by GM Financial to Automotive.</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include $0.9 billion in intercompany loans with GM Financial for subvention payment delays beyond standard payment terms in the six months ended June 30, 2020.</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include $1.0 billion in the six months ended June 30, 2021 for Automotive investments in Cruise Preferred Shares.</w:t>
      </w:r>
    </w:p>
    <w:p>
      <w:pPr>
        <w:spacing w:after="0" w:line="200" w:lineRule="exact"/>
        <w:rPr>
          <w:sz w:val="20"/>
          <w:szCs w:val="20"/>
          <w:color w:val="auto"/>
        </w:rPr>
      </w:pPr>
    </w:p>
    <w:p>
      <w:pPr>
        <w:spacing w:after="0" w:line="29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13</w:t>
      </w:r>
    </w:p>
    <w:sectPr>
      <w:pgSz w:w="11900" w:h="16838" w:orient="portrait"/>
      <w:cols w:equalWidth="0" w:num="1">
        <w:col w:w="11280"/>
      </w:cols>
      <w:pgMar w:left="300" w:top="69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2021-08-04T08:24:26Z</dcterms:created>
  <dcterms:modified xsi:type="dcterms:W3CDTF">2021-08-04T08:24:26Z</dcterms:modified>
</cp:coreProperties>
</file>