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ASR Agreements</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29, 2023, General Motors Company (the “Company” or “GM”) entered into a master confirmation (each a “Master Confirmation”) and supplemental confirmation (together with the related Master Confirmation, collectively, the “ASR Agreements”), with each of Bank of America, N.A. (“Bank of America”), Goldman Sachs &amp; Co. LLC (“Goldman Sachs”), Barclays Bank PLC (“Barclays”), and Citibank, N.A. (“Citibank” and, collectively with Bank of America, Goldman Sachs, and Barclays, the “Counterparties”). Under the ASR Agreements, the Company will repurchase an aggregate of $10.0 billion of the Company’s common stock (such transaction, the “ASR”) as part of a share repurchase program approved by the Company’s Board of Directors (the “Board”) on November 27, 2023. Pursuant to the ASR Agreements, the Company will advance an aggregate amount of $10.0 billion to the Counterparties on December 1, 2023, and will immediately receive and retire an initial delivery of shares of the Company’s common stock with a value of $6.8 billion. The final number of shares to ultimately be repurchased under the ASR Agreements will be based on the average of the daily volume-weighted average prices of the Company’s common stock during the term of the ASR Agreements, less a discount and subject to adjustments pursuant to the terms and conditions of the ASR Agreements. Upon final settlement of the ASR, under certain circumstances, each of the Counterparties may be required to deliver additional shares of common stock, or the Company may be required to deliver shares of common stock or to make a cash payment, at its election, to the Counterparties. The final settlement of the transactions contemplated under the ASR Agreements is scheduled to occur no later than the fourth quarter of 2024, which, in each case, may be accelerated at the option of the applicable Counterparty under certain limited circumstances or may be extended depending on market conditions.</w:t>
      </w:r>
    </w:p>
    <w:p>
      <w:pPr>
        <w:spacing w:after="0" w:line="19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of the ASR Agreements contains customary terms for these types of transactions, including, among others, the mechanisms to determine the number of shares or the amount of cash that will be delivered at settlement, the required timing of delivery upon settlement, the specific circumstances under which adjustments may be made to the transactions, the specific circumstances under which the transactions may be cancelled prior to the scheduled maturity, and various acknowledgments, representations, and warranties made by the Company and the Counterparties, as applicable, to one another.</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form of the ASR Agreements is included herein as Exhibit 10.1 and is incorporated herein by reference. The foregoing description of the ASR Agreements is a summary and is qualified in its entirety by reference to the form of the ASR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Delayed Draw Term Loan Credit Agreement</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November 29, 2023, the Company entered into a 364-Day Delayed Draw Term Loan Credit Agreement (the “Credit Agreement”) with Bank of America, as administrative agent, and the other lenders named therein.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Credit Agreement is unsecured and permits the Company to borrow up to four term loans during an availability period that lasts until June 28, 2024. Amounts repaid under the Credit Agreement may not be reborrowed and the aggregate amount of all loans outstanding may not exceed $3 billion. The final maturity date for any loans outstanding under the Credit Agreement is November 27, 2024.</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rates on obligations under the Credit Agreement are based on prevailing annual interest rates for Term SOFR loans, Daily Simple SOFR loans or an alternative base rate, each subject to an applicable margin. The applicable margin will be based upon the credit ratings of the senior, unsecured long-term indebtedness of GM.</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representations, warranties, and covenants that are typical for these types of facilities. These covenants include mandatory prepayments (and during the availability period, commitment reductions) for certain sales of assets or certain debt or equity issuances, restrictions on mergers or sales of assets, limitations on the incurrence of indebtedness, and requirements for subsidiaries to guarantee the obligations, in each case subject to conditions, exceptions, and limitations. The Credit Agreement also requires that GM maintain at least $4.0 billion in global liquidity and at least $2.0 billion in U.S. liquidity.</w:t>
      </w:r>
    </w:p>
    <w:p>
      <w:pPr>
        <w:sectPr>
          <w:pgSz w:w="11900" w:h="16838" w:orient="portrait"/>
          <w:cols w:equalWidth="0" w:num="1">
            <w:col w:w="11000"/>
          </w:cols>
          <w:pgMar w:left="440" w:top="293" w:right="45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Each of the lenders under the Credit Agreement, or certain of their affiliates, are Counterparties under the ASR and have various relationships with GM and its subsidiaries involving the provision of financial services, including cash management, investment banking, trust and leasing services, and foreign exchange and other derivative arrangements.</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copy of the Credit Agreement is included herein as Exhibit 10.2 and is incorporated herein by reference. The foregoing description of the Credit Agreement is a summary and is qualified in its entirety by reference to the Credit Agreement.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November 24, 2023, the Company terminated its $6.0 billion 364-Day Revolving Credit Agreement, dated as of October 3, 2023, with JPMorgan Chase Bank, N.A., as administrative agent, and the other lenders named therein (the “October Facility”).</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description of the terms of the October Facility is set forth under Item 2.03 of the Company’s Form 8-K filed October 4, 2023, and is incorporated by reference into this Item 1.02. Under its terms, the October Facility was due to expire on October 1, 2024. The Company did not have any borrowings outstanding under the October Facility, and the Company did not incur any early termination penalties in connection with the termination of the Facility. Some of the lenders under the October Facility, and their affiliates, are lenders under the Credit Agreement and Counterparties under the ASR, and have various other relationships with the Company and its subsidiaries involving the provision of financial services, including lending, cash management, investment banking, trust services, and foreign exchange and other derivative arrangements.</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November 29, 2023, the Company entered into the Credit Agreement as described under Item 1.01 above. The description of the Credit Agreement under Item 1.01 above is incorporated into this Item 2.03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November 29, 2023, the Company reinstated its full-year 2023 guidance. The reinstated guidance includes an estimated $1.1 billion EBIT-adjusted impact from the United Auto Workers’ strike. The reinstated guidance is as follows:</w:t>
      </w:r>
    </w:p>
    <w:p>
      <w:pPr>
        <w:spacing w:after="0" w:line="6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stockholders of $9.1 billion to $9.7 billion, compared to the previous outlook of $9.3 billion to $10.7 billion;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EBIT-adjusted of $11.7 billion to $12.7 billion, compared to the previous outlook of $12.0 billion to $14.0 billion;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EPS-diluted in the $6.52 to $7.02 range, including the estimated impact of the ASR, compared to the previous outlook of $6.54 to $7.54;</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EPS-diluted-adjusted in the $7.20 to $7.70 range, including the estimated impact of the ASR, compared to the previous outlook of $7.15 to $8.15;</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automotive cash provided by operating activities of $19.5 billion to $21.0 billion, compared to the previous outlook of $17.4 billion to $20.4 billion;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automotive free cash flow of $10.5 billion to $11.5 billion, compared to the previous outlook of $7.0 billion to $9.0 billion.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now anticipates full-year 2023 capital spending (inclusive of investments in its battery joint ventures) to be $11.0 billion to $11.5 billion, which is at the low end of its prior guidance range of $11.0 billion to $12.0 billion, driven by the previously announced retiming of certain product programs and more capital-efficient investment. The Company also announced that it expects to increase its quarterly common stock dividend by $0.03 per share, beginning in the first quarter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reconciliations of non-GAAP measures to their most directly comparable GAAP measures.</w:t>
      </w:r>
    </w:p>
    <w:p>
      <w:pPr>
        <w:sectPr>
          <w:pgSz w:w="11900" w:h="16838" w:orient="portrait"/>
          <w:cols w:equalWidth="0" w:num="1">
            <w:col w:w="11000"/>
          </w:cols>
          <w:pgMar w:left="440" w:top="297"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copy of the press release relating to these matters is attached as Exhibit 99.1 hereto and incorporated by reference into this Item 7.01.</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of Current Report on Form 8-K shall not be considered “filed” for purposes of Section 18 of the Securities Exchange Act of 1934, as amended, or otherwise subject to the liabilities of that section, and such information shall not be deemed incorporated by reference in any filing by the Company under the Securities Act of 1933, as amended, or the Securities Exchange Act of 1934, as amended, except as may be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On November 27, 2023, the Board authorized an increase under the company’s share repurchase program to an aggregate of $11.4 billion, up from the $5.0 billion previously authorized, of which $1.4 billion of capacity was remaining under the program. Following the completion of the transactions contemplated in the ASR Agreements, the Company expects to have $1.4 billion in share repurchase capacity for additional, opportunistic share repurchases.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related comments by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w:t>
      </w:r>
    </w:p>
    <w:p>
      <w:pPr>
        <w:spacing w:after="0" w:line="5" w:lineRule="exact"/>
        <w:rPr>
          <w:sz w:val="20"/>
          <w:szCs w:val="20"/>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fund and introduce new and improved vehicle models; (3) our ability to profitably deliver a broad portfolio of electric vehicles;</w:t>
      </w:r>
    </w:p>
    <w:p>
      <w:pPr>
        <w:spacing w:after="0" w:line="9" w:lineRule="exact"/>
        <w:rPr>
          <w:rFonts w:ascii="Times New Roman" w:cs="Times New Roman" w:eastAsia="Times New Roman" w:hAnsi="Times New Roman"/>
          <w:sz w:val="18"/>
          <w:szCs w:val="18"/>
          <w:color w:val="auto"/>
        </w:rPr>
      </w:pPr>
    </w:p>
    <w:p>
      <w:pPr>
        <w:ind w:left="4" w:right="40" w:hanging="4"/>
        <w:spacing w:after="0" w:line="265" w:lineRule="auto"/>
        <w:tabs>
          <w:tab w:leader="none" w:pos="25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current line of internal combustion engine vehicles; (5) our highly competitive industry; (6) the unique technological, operational, regulatory and competitive risks related to the timing and commercialization of autonomous vehicles (“AVs”), including the various regulatory approvals and permits required for operating driverless AVs in multiple markets; (7) risks associated with climate change; (8) global automobile market sales volume; (9) inflationary pressures, persistently high prices, uncertain availability of raw materials and commodities, and instability in logistics and related costs; (10) our business in China, which is subject to unique operational, competitive, regulatory and economic risks; (11) the success of our ongoing strategic business relationships and of our joint ventures; (12) the international scale and footprint of our operations, which exposes us to a variety of unique political, economic, competitive and regulatory risks; (13) any significant disruption at any of our manufacturing facilities; (14) the ability of our suppliers to deliver parts, systems and components without disruption and at such times to allow us to meet production schedules;</w:t>
      </w:r>
    </w:p>
    <w:p>
      <w:pPr>
        <w:spacing w:after="0" w:line="1" w:lineRule="exact"/>
        <w:rPr>
          <w:rFonts w:ascii="Times New Roman" w:cs="Times New Roman" w:eastAsia="Times New Roman" w:hAnsi="Times New Roman"/>
          <w:sz w:val="17"/>
          <w:szCs w:val="17"/>
          <w:color w:val="auto"/>
        </w:rPr>
      </w:pPr>
    </w:p>
    <w:p>
      <w:pPr>
        <w:ind w:left="4" w:hanging="4"/>
        <w:spacing w:after="0" w:line="265" w:lineRule="auto"/>
        <w:tabs>
          <w:tab w:leader="none" w:pos="34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epidemics, disease outbreaks and other public health crises;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(18) our ability to comply with increasingly complex, restrictive and punitive regulations relating to our enterprise data practices;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w:t>
      </w:r>
    </w:p>
    <w:p>
      <w:pPr>
        <w:spacing w:after="0" w:line="1" w:lineRule="exact"/>
        <w:rPr>
          <w:rFonts w:ascii="Times New Roman" w:cs="Times New Roman" w:eastAsia="Times New Roman" w:hAnsi="Times New Roman"/>
          <w:sz w:val="17"/>
          <w:szCs w:val="17"/>
          <w:color w:val="auto"/>
        </w:rPr>
      </w:pPr>
    </w:p>
    <w:p>
      <w:pPr>
        <w:ind w:left="4" w:right="40" w:hanging="4"/>
        <w:spacing w:after="0" w:line="253"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develop captive financing capability through GM Financial; and (24) any significant increase in our pension funding requirements. A further list and description of these risks, uncertainties and other factors can be found in our most recent Annual Report on Form 10-K and our subsequent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ectPr>
          <w:pgSz w:w="11900" w:h="16838" w:orient="portrait"/>
          <w:cols w:equalWidth="0" w:num="1">
            <w:col w:w="10984"/>
          </w:cols>
          <w:pgMar w:left="436" w:top="297"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Non-GAAP Reconciliations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under U.S. GAAP to expected EBIT-adjusted (dollars in billions):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interest income, net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EBIT-adjusted</w:t>
            </w:r>
          </w:p>
        </w:tc>
        <w:tc>
          <w:tcPr>
            <w:tcW w:w="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reconciles expected EPS-diluted under U.S. GAAP to expected EPS-diluted-adjusted:</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EPS-diluted-adjusted</w:t>
            </w:r>
          </w:p>
        </w:tc>
        <w:tc>
          <w:tcPr>
            <w:tcW w:w="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7.20-7.70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expected automotive net cash provided by operating activities under U.S. GAAP to expected adjusted automotive free cash flow (dollars in billions):</w:t>
      </w:r>
    </w:p>
    <w:p>
      <w:pPr>
        <w:spacing w:after="0" w:line="17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62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automotive cash provided by operating activities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19.5-21.0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10.3-10.8</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Adjusted automotive free cash flow</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5"/>
              </w:rPr>
              <w:t>10.5-11.5</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24"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as of September 30, 2023. Includes adjustments related to our Buick dealer strategy, voluntary separation program, and GM Korea wage litigation. See our Quarterly Report on Form 10-Q for the quarter ended September 30, 2023, for full details. We do not consider the potential future impact of adjustments on our expected financial results.</w:t>
      </w:r>
    </w:p>
    <w:p>
      <w:pPr>
        <w:sectPr>
          <w:pgSz w:w="11900" w:h="16838" w:orient="portrait"/>
          <w:cols w:equalWidth="0" w:num="1">
            <w:col w:w="10784"/>
          </w:cols>
          <w:pgMar w:left="436" w:top="293" w:right="679" w:bottom="1440" w:gutter="0" w:footer="0" w:header="0"/>
        </w:sectPr>
      </w:pPr>
    </w:p>
    <w:bookmarkStart w:id="5" w:name="page6"/>
    <w:bookmarkEnd w:id="5"/>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2" w:lineRule="exact"/>
        <w:rPr>
          <w:sz w:val="20"/>
          <w:szCs w:val="20"/>
          <w:color w:val="auto"/>
        </w:rPr>
      </w:pPr>
    </w:p>
    <w:p>
      <w:pPr>
        <w:ind w:left="24"/>
        <w:spacing w:after="0"/>
        <w:tabs>
          <w:tab w:leader="none" w:pos="5544"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100"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Form of ASR Agreements</w:t>
      </w:r>
    </w:p>
    <w:p>
      <w:pPr>
        <w:spacing w:after="0" w:line="117" w:lineRule="exact"/>
        <w:rPr>
          <w:sz w:val="20"/>
          <w:szCs w:val="20"/>
          <w:color w:val="auto"/>
        </w:rPr>
      </w:pPr>
    </w:p>
    <w:p>
      <w:pPr>
        <w:ind w:left="784" w:hanging="782"/>
        <w:spacing w:after="0" w:line="282" w:lineRule="auto"/>
        <w:tabs>
          <w:tab w:leader="none" w:pos="76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364-Day Delayed Draw Term Loan Credit Agreement, dated November 29, 2023, among General Motors Company, the several lenders from time to time parties thereto, and Bank of America, N.A., as administrative agent</w:t>
      </w:r>
    </w:p>
    <w:p>
      <w:pPr>
        <w:spacing w:after="0" w:line="54"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General Motors Company, dated November 29, 2023</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right="100" w:hanging="224"/>
        <w:spacing w:after="0" w:line="282" w:lineRule="auto"/>
        <w:tabs>
          <w:tab w:leader="none" w:pos="2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0944"/>
          </w:cols>
          <w:pgMar w:left="436" w:top="293"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740" w:type="dxa"/>
            <w:vAlign w:val="bottom"/>
          </w:tcPr>
          <w:p>
            <w:pPr>
              <w:spacing w:after="0"/>
              <w:rPr>
                <w:sz w:val="24"/>
                <w:szCs w:val="24"/>
                <w:color w:val="auto"/>
              </w:rPr>
            </w:pP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29, 2023</w:t>
            </w:r>
          </w:p>
        </w:tc>
        <w:tc>
          <w:tcPr>
            <w:tcW w:w="23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Dealer/Dealer’s Address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5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General Motors Company</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tab/>
        <w:t>Master Confirmation—Uncollared Accelerated Share Repurchase</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master confirmation (this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dated as of November 29, 2023, is intended to set forth certain terms and provisions of</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certain Transactions (each,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entered into from time to time between [</w:t>
      </w:r>
      <w:r>
        <w:rPr>
          <w:rFonts w:ascii="Times New Roman" w:cs="Times New Roman" w:eastAsia="Times New Roman" w:hAnsi="Times New Roman"/>
          <w:sz w:val="18"/>
          <w:szCs w:val="18"/>
          <w:i w:val="1"/>
          <w:iCs w:val="1"/>
          <w:color w:val="auto"/>
        </w:rPr>
        <w:t>Dealer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General Motors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This Master Confirmation, taken alone, is neither a commitment by either party to enter into any Transaction nor evidence of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The additional terms of any particular Transaction shall be set forth in a Supplemental Confirmation in the form of Schedule A hereto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Confirmation</w:t>
      </w:r>
      <w:r>
        <w:rPr>
          <w:rFonts w:ascii="Times New Roman" w:cs="Times New Roman" w:eastAsia="Times New Roman" w:hAnsi="Times New Roman"/>
          <w:sz w:val="18"/>
          <w:szCs w:val="18"/>
          <w:color w:val="auto"/>
        </w:rPr>
        <w:t>”), which shall reference this Master Confirmation and supplement, form a part of, and be subject to this Master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Confirmation. This Master Confirmation and each Supplemental Confirmation together shall constitute a “Confirmation” as referred to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specified below.</w:t>
      </w:r>
    </w:p>
    <w:p>
      <w:pPr>
        <w:spacing w:after="0" w:line="203"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are incorporated into this Master Confirmation. This Master Confirmation and each Supplemental Confirmation evidence a complete binding agreement between Counterparty and Dealer as to the subject matter and terms of each Transaction to which this Master Confirmation and such Supplemental Confirmation relate and shall supersede all prior or contemporaneous written or oral communications with respect thereto.</w:t>
      </w:r>
    </w:p>
    <w:p>
      <w:pPr>
        <w:spacing w:after="0" w:line="183" w:lineRule="exact"/>
        <w:rPr>
          <w:sz w:val="20"/>
          <w:szCs w:val="20"/>
          <w:color w:val="auto"/>
        </w:rPr>
      </w:pPr>
    </w:p>
    <w:p>
      <w:pPr>
        <w:ind w:left="4" w:right="20" w:firstLine="440"/>
        <w:spacing w:after="0" w:line="243" w:lineRule="auto"/>
        <w:rPr>
          <w:sz w:val="20"/>
          <w:szCs w:val="20"/>
          <w:color w:val="auto"/>
        </w:rPr>
      </w:pPr>
      <w:r>
        <w:rPr>
          <w:rFonts w:ascii="Times New Roman" w:cs="Times New Roman" w:eastAsia="Times New Roman" w:hAnsi="Times New Roman"/>
          <w:sz w:val="18"/>
          <w:szCs w:val="18"/>
          <w:color w:val="auto"/>
        </w:rPr>
        <w:t>This Master Confirmation and each Supplemental Confirmation supplement, form a part of, and are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the Agreement on the date of this Master Confirmation (but without any Schedule except for (i) the election of New York law (without reference to its choice of laws doctrine other than Title 14 of Article 5 of the New York General Obligations Law) as the governing law, (ii) the election that subparagraph (ii) of Section 2(c) will not apply to the Transactions and (iii) the election that the “Cross-Default” provisions of Section 5(a)(vi) shall apply to Dealer, with a “Threshold Amount” of 3% of stockholder’s equity of [Dealer’s [ultimate] parent]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 of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“Specified Indebtedness” shall have the meaning specified in Section 14 of the Agreement, except that such term shall not include obligations in respect of deposits received in the ordinary course of Dealer’s banking business and (y) (A) the words “, or becoming capable at such time of being declared,” shall be deleted from such Section 5(a)(vi) and (B) the following language shall be added to the end of such Section 5(a)(vi):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w:t>
      </w:r>
    </w:p>
    <w:p>
      <w:pPr>
        <w:spacing w:after="0" w:line="20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Transactions shall be the sole Transactions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Transactions shall not be considered Transactions under, or otherwise governed by, such existing or deemed ISDA Master Agreement.</w:t>
      </w:r>
    </w:p>
    <w:p>
      <w:pPr>
        <w:spacing w:after="0" w:line="183" w:lineRule="exact"/>
        <w:rPr>
          <w:sz w:val="20"/>
          <w:szCs w:val="20"/>
          <w:color w:val="auto"/>
        </w:rPr>
      </w:pPr>
    </w:p>
    <w:p>
      <w:pPr>
        <w:ind w:left="4" w:right="920" w:firstLine="440"/>
        <w:spacing w:after="0" w:line="282" w:lineRule="auto"/>
        <w:rPr>
          <w:sz w:val="20"/>
          <w:szCs w:val="20"/>
          <w:color w:val="auto"/>
        </w:rPr>
      </w:pPr>
      <w:r>
        <w:rPr>
          <w:rFonts w:ascii="Times New Roman" w:cs="Times New Roman" w:eastAsia="Times New Roman" w:hAnsi="Times New Roman"/>
          <w:sz w:val="18"/>
          <w:szCs w:val="18"/>
          <w:color w:val="auto"/>
        </w:rPr>
        <w:t>All provisions contained or incorporated by reference in the Agreement shall govern this Master Confirmation and each Supplemental Confirmation except as expressly modified herein or in the related Supplemental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Update as needed for relevant Dealers.</w:t>
      </w:r>
    </w:p>
    <w:p>
      <w:pPr>
        <w:sectPr>
          <w:pgSz w:w="11900" w:h="16838" w:orient="portrait"/>
          <w:cols w:equalWidth="0" w:num="1">
            <w:col w:w="11024"/>
          </w:cols>
          <w:pgMar w:left="436" w:top="117" w:right="439" w:bottom="1440" w:gutter="0" w:footer="0" w:header="0"/>
        </w:sectPr>
      </w:pPr>
    </w:p>
    <w:bookmarkStart w:id="8" w:name="page9"/>
    <w:bookmarkEnd w:id="8"/>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in relation to any Transaction to which this Master Confirmation and a Supplemental Confirmation relate, there is any inconsistency between the Agreement, this Master Confirmation, any Supplemental Confirmation and the Equity Definitions, the following will prevail for purposes of such Transaction in the order of precedence indicated: (i) such Supplemental Confirmation; (ii) this Master Confirmation; (iii) the Equity Definitions; and (iv) the Agreement.</w:t>
      </w:r>
    </w:p>
    <w:p>
      <w:pPr>
        <w:spacing w:after="0" w:line="180" w:lineRule="exact"/>
        <w:rPr>
          <w:sz w:val="20"/>
          <w:szCs w:val="20"/>
          <w:color w:val="auto"/>
        </w:rPr>
      </w:pPr>
    </w:p>
    <w:p>
      <w:pPr>
        <w:ind w:left="4" w:right="320" w:hanging="4"/>
        <w:spacing w:after="0" w:line="312" w:lineRule="auto"/>
        <w:tabs>
          <w:tab w:leader="none" w:pos="18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Transaction constitutes a Share Forward Transaction for the purposes of the Equity Definitions. Set forth below are the terms and conditions that, together with the terms and conditions set forth in the Supplemental Confirmation relating to any Transaction, shall govern such Transaction.</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Terms:</w:t>
      </w:r>
    </w:p>
    <w:p>
      <w:pPr>
        <w:sectPr>
          <w:pgSz w:w="11900" w:h="16838" w:orient="portrait"/>
          <w:cols w:equalWidth="0" w:num="1">
            <w:col w:w="11004"/>
          </w:cols>
          <w:pgMar w:left="436" w:top="270" w:right="459" w:bottom="1440" w:gutter="0" w:footer="0" w:header="0"/>
        </w:sectPr>
      </w:pPr>
    </w:p>
    <w:p>
      <w:pPr>
        <w:spacing w:after="0" w:line="1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p>
      <w:pPr>
        <w:spacing w:after="0" w:line="117"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Counterparty</w:t>
      </w:r>
    </w:p>
    <w:p>
      <w:pPr>
        <w:spacing w:after="0" w:line="117"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17"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Common stock, par value $0.01 per share, of Counterparty (Ticker: GM)</w:t>
      </w:r>
    </w:p>
    <w:p>
      <w:pPr>
        <w:spacing w:after="0" w:line="117"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28"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Related Exchange(s):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All Exchanges</w:t>
      </w:r>
    </w:p>
    <w:p>
      <w:pPr>
        <w:spacing w:after="0" w:line="117"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Prepayment\Variable 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17" w:lineRule="exact"/>
        <w:rPr>
          <w:sz w:val="20"/>
          <w:szCs w:val="20"/>
          <w:color w:val="auto"/>
        </w:rPr>
      </w:pPr>
    </w:p>
    <w:p>
      <w:pPr>
        <w:sectPr>
          <w:pgSz w:w="11900" w:h="16838" w:orient="portrait"/>
          <w:cols w:equalWidth="0" w:num="2">
            <w:col w:w="2824" w:space="26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7"/>
          <w:szCs w:val="17"/>
          <w:color w:val="auto"/>
        </w:rPr>
        <w:t>Prepayment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p>
      <w:pPr>
        <w:spacing w:after="0" w:line="117"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Prepayment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p>
      <w:pPr>
        <w:spacing w:after="0" w:line="200"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Valuation:</w:t>
      </w:r>
    </w:p>
    <w:p>
      <w:pPr>
        <w:sectPr>
          <w:pgSz w:w="11900" w:h="16838" w:orient="portrait"/>
          <w:cols w:equalWidth="0" w:num="1">
            <w:col w:w="11004"/>
          </w:cols>
          <w:pgMar w:left="436" w:top="270" w:right="459" w:bottom="1440" w:gutter="0" w:footer="0" w:header="0"/>
          <w:type w:val="continuous"/>
        </w:sectPr>
      </w:pP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VWAP Price: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any Exchange Business Day, the Rule 10b-18 volume-weighted average price at which the Shares trade for the regular trading session (including any extensions thereof) of the Exchange on such Exchange Business Day (without regard to pre-open or after hours trading outside of such regular trading session for such Exchange Business Day), as published by Bloomberg at 4:15 p.m. (New York City time) (or 15 minutes following the end of any extension of the regular trading session) on Bloomberg Page “GM &lt;Equity&gt; AQR SEC” (or any successor thereto), absent manifest error or unavailability of such page or a successor thereto, in which case the Calculation Agent shall determine the VWAP Price for such Exchange Business Day using a volume-weighted methodology (if practicable).</w:t>
      </w:r>
    </w:p>
    <w:p>
      <w:pPr>
        <w:spacing w:after="0" w:line="84"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Forward Price:</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For each Transaction, the arithmetic average of the VWAP Prices for the Calculation Dates in the Calculation Period for such Transaction, subject to “Valuation Disruption” below.</w:t>
      </w:r>
    </w:p>
    <w:p>
      <w:pPr>
        <w:spacing w:after="0" w:line="54"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line="282" w:lineRule="auto"/>
        <w:rPr>
          <w:sz w:val="20"/>
          <w:szCs w:val="20"/>
          <w:color w:val="auto"/>
        </w:rPr>
      </w:pPr>
      <w:r>
        <w:rPr>
          <w:rFonts w:ascii="Times New Roman" w:cs="Times New Roman" w:eastAsia="Times New Roman" w:hAnsi="Times New Roman"/>
          <w:sz w:val="18"/>
          <w:szCs w:val="18"/>
          <w:color w:val="auto"/>
        </w:rPr>
        <w:t>Forward Price Adjustment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p>
      <w:pPr>
        <w:spacing w:after="0" w:line="333"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Calculation Period:</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For each Transaction, the period from, and including, the Calculation Period Start Date for such Transaction to, and including, the Termination Date for such Transaction.</w:t>
      </w:r>
    </w:p>
    <w:p>
      <w:pPr>
        <w:spacing w:after="0" w:line="54" w:lineRule="exact"/>
        <w:rPr>
          <w:sz w:val="20"/>
          <w:szCs w:val="20"/>
          <w:color w:val="auto"/>
        </w:rPr>
      </w:pPr>
    </w:p>
    <w:p>
      <w:pPr>
        <w:sectPr>
          <w:pgSz w:w="11900" w:h="16838" w:orient="portrait"/>
          <w:cols w:equalWidth="0" w:num="2">
            <w:col w:w="2364" w:space="720"/>
            <w:col w:w="7920"/>
          </w:cols>
          <w:pgMar w:left="436" w:top="270" w:right="459" w:bottom="1440" w:gutter="0" w:footer="0" w:header="0"/>
          <w:type w:val="continuous"/>
        </w:sectPr>
      </w:pPr>
    </w:p>
    <w:p>
      <w:pPr>
        <w:jc w:val="center"/>
        <w:ind w:left="444"/>
        <w:spacing w:after="0"/>
        <w:rPr>
          <w:sz w:val="20"/>
          <w:szCs w:val="20"/>
          <w:color w:val="auto"/>
        </w:rPr>
      </w:pPr>
      <w:r>
        <w:rPr>
          <w:rFonts w:ascii="Times New Roman" w:cs="Times New Roman" w:eastAsia="Times New Roman" w:hAnsi="Times New Roman"/>
          <w:sz w:val="17"/>
          <w:szCs w:val="17"/>
          <w:color w:val="auto"/>
        </w:rPr>
        <w:t>Calculation Period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p>
      <w:pPr>
        <w:spacing w:after="0" w:line="158" w:lineRule="exact"/>
        <w:rPr>
          <w:sz w:val="20"/>
          <w:szCs w:val="20"/>
          <w:color w:val="auto"/>
        </w:rPr>
      </w:pPr>
    </w:p>
    <w:p>
      <w:pPr>
        <w:sectPr>
          <w:pgSz w:w="11900" w:h="16838" w:orient="portrait"/>
          <w:cols w:equalWidth="0" w:num="2">
            <w:col w:w="2604" w:space="480"/>
            <w:col w:w="7920"/>
          </w:cols>
          <w:pgMar w:left="436" w:top="270"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4"/>
          </w:cols>
          <w:pgMar w:left="436" w:top="270" w:right="459" w:bottom="1440" w:gutter="0" w:footer="0" w:header="0"/>
          <w:type w:val="continuous"/>
        </w:sectPr>
      </w:pPr>
    </w:p>
    <w:bookmarkStart w:id="9" w:name="page10"/>
    <w:bookmarkEnd w:id="9"/>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Termination Date:</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Times New Roman" w:cs="Times New Roman" w:eastAsia="Times New Roman" w:hAnsi="Times New Roman"/>
          <w:sz w:val="17"/>
          <w:szCs w:val="17"/>
          <w:color w:val="auto"/>
        </w:rPr>
        <w:t xml:space="preserve">For each Transaction, the Scheduled Termination Date for such Transaction;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Dealer shall have the right to designate any Calculation Date prior to the Scheduled Termination Date and on or after the First Acceleration Date to be the Termination Date for all or any part of such Transaction (the “</w:t>
      </w:r>
      <w:r>
        <w:rPr>
          <w:rFonts w:ascii="Times New Roman" w:cs="Times New Roman" w:eastAsia="Times New Roman" w:hAnsi="Times New Roman"/>
          <w:sz w:val="17"/>
          <w:szCs w:val="17"/>
          <w:b w:val="1"/>
          <w:bCs w:val="1"/>
          <w:color w:val="auto"/>
        </w:rPr>
        <w:t>Accelerated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by delivering notice to Counterparty of any such designation prior to 11:59 p.m. New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York City time on the Calculation Date immediately following the designated Accelerated Termination Date; </w:t>
      </w:r>
      <w:r>
        <w:rPr>
          <w:rFonts w:ascii="Times New Roman" w:cs="Times New Roman" w:eastAsia="Times New Roman" w:hAnsi="Times New Roman"/>
          <w:sz w:val="17"/>
          <w:szCs w:val="17"/>
          <w:i w:val="1"/>
          <w:iCs w:val="1"/>
          <w:color w:val="auto"/>
        </w:rPr>
        <w:t xml:space="preserve">provided further </w:t>
      </w:r>
      <w:r>
        <w:rPr>
          <w:rFonts w:ascii="Times New Roman" w:cs="Times New Roman" w:eastAsia="Times New Roman" w:hAnsi="Times New Roman"/>
          <w:sz w:val="17"/>
          <w:szCs w:val="17"/>
          <w:color w:val="auto"/>
        </w:rPr>
        <w:t>that the portion of the Prepayment Amount for any Transaction that is subject to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acceleration in part shall be greater than or equal to 50% of the Prepayment Amount as of the Trade Date (or, if less, 100% of the portion of the Prepayment Amount not previously subject to acceleration). Dealer shall specify in each notice of an Accelerated Termination Date the portion of the Prepayment Amount that is subject to acceleration (which may be less than the full Prepayment Amount). If the portion of the Prepayment Amount that is subject to acceleration is less than the full Prepayment Amount, then the Calculation Agent shall make such mechanical and administrative adjustments to the terms of the Transaction as appropriate in order to take into account the occurrence of such Accelerated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-1958340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1920" w:space="720"/>
            <w:col w:w="7940"/>
          </w:cols>
          <w:pgMar w:left="880" w:top="376" w:right="4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Calculation Dates: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For each Transaction, any date that is both an Exchange Business Day and is set forth as a Calculation Date in the related Supplemental Confirmation.</w:t>
      </w:r>
    </w:p>
    <w:p>
      <w:pPr>
        <w:spacing w:after="0" w:line="54" w:lineRule="exact"/>
        <w:rPr>
          <w:sz w:val="20"/>
          <w:szCs w:val="20"/>
          <w:color w:val="auto"/>
        </w:rPr>
      </w:pPr>
    </w:p>
    <w:p>
      <w:pPr>
        <w:sectPr>
          <w:pgSz w:w="11900" w:h="16838" w:orient="portrait"/>
          <w:cols w:equalWidth="0" w:num="2">
            <w:col w:w="1920" w:space="720"/>
            <w:col w:w="7940"/>
          </w:cols>
          <w:pgMar w:left="880" w:top="37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Scheduled Termination Date:</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 subject to postponement as provided in “Valuation Disruption” below.</w:t>
      </w:r>
    </w:p>
    <w:p>
      <w:pPr>
        <w:spacing w:after="0" w:line="54" w:lineRule="exact"/>
        <w:rPr>
          <w:sz w:val="20"/>
          <w:szCs w:val="20"/>
          <w:color w:val="auto"/>
        </w:rPr>
      </w:pPr>
    </w:p>
    <w:p>
      <w:pPr>
        <w:sectPr>
          <w:pgSz w:w="11900" w:h="16838" w:orient="portrait"/>
          <w:cols w:equalWidth="0" w:num="2">
            <w:col w:w="2100" w:space="540"/>
            <w:col w:w="7940"/>
          </w:cols>
          <w:pgMar w:left="880" w:top="37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First Acceleration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p>
      <w:pPr>
        <w:spacing w:after="0" w:line="117" w:lineRule="exact"/>
        <w:rPr>
          <w:sz w:val="20"/>
          <w:szCs w:val="20"/>
          <w:color w:val="auto"/>
        </w:rPr>
      </w:pPr>
    </w:p>
    <w:p>
      <w:pPr>
        <w:sectPr>
          <w:pgSz w:w="11900" w:h="16838" w:orient="portrait"/>
          <w:cols w:equalWidth="0" w:num="2">
            <w:col w:w="1920" w:space="720"/>
            <w:col w:w="7940"/>
          </w:cols>
          <w:pgMar w:left="880" w:top="37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Valuation Disruption:</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 amended by deleting the words “at any time during the one-hour period that ends at the relevant Valuation Time, Latest Exercise Time, Knock-in Valuation Time or Knock-out Valuation Time, as the case may be” and inserting the words “at any time on any Scheduled Trading Day during the Calculation Period or Settlement Valuation Period” after the word “material,” in the third line thereof.</w:t>
      </w:r>
    </w:p>
    <w:p>
      <w:pPr>
        <w:spacing w:after="0" w:line="75" w:lineRule="exact"/>
        <w:rPr>
          <w:sz w:val="20"/>
          <w:szCs w:val="20"/>
          <w:color w:val="auto"/>
        </w:rPr>
      </w:pPr>
    </w:p>
    <w:p>
      <w:pPr>
        <w:sectPr>
          <w:pgSz w:w="11900" w:h="16838" w:orient="portrait"/>
          <w:cols w:equalWidth="0" w:num="2">
            <w:col w:w="1920" w:space="720"/>
            <w:col w:w="7940"/>
          </w:cols>
          <w:pgMar w:left="880" w:top="376" w:right="439" w:bottom="1440" w:gutter="0" w:footer="0" w:header="0"/>
          <w:type w:val="continuous"/>
        </w:sectPr>
      </w:pPr>
    </w:p>
    <w:p>
      <w:pPr>
        <w:ind w:left="2640" w:right="600"/>
        <w:spacing w:after="0" w:line="282"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 “Scheduled Closing Time” in the fourth line thereof.</w:t>
      </w:r>
    </w:p>
    <w:p>
      <w:pPr>
        <w:spacing w:after="0" w:line="54" w:lineRule="exact"/>
        <w:rPr>
          <w:sz w:val="20"/>
          <w:szCs w:val="20"/>
          <w:color w:val="auto"/>
        </w:rPr>
      </w:pPr>
    </w:p>
    <w:p>
      <w:pPr>
        <w:ind w:left="2640" w:right="60"/>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to the extent that a Disrupted Day occurs (i) on any scheduled Calculation Date in the Calculation Period, the Calculation Agent may, in its good faith and commercially reasonable discretion, postpone the Scheduled Termination Date, or (ii) on any scheduled Calculation Date in the Settlement Valuation Period, the Calculation Agent may, in its good faith and commercially reasonable discretion, extend the Settlement Valuation Period, in each case, by one Calculation Date for each Disrupted Day. If any such Disrupted Day is a Disrupted Day because of a Market Disruption Event (or a deemed Market Disruption Event as provided herein), the Calculation Agent shall determine whether (i) such Disrupted Day is a Disrupted Day in full, in which case the VWAP Price for such Disrupted Day shall not be included for purposes of determining the Forward Price or the Settlement Price, as the case may be, or (ii) such Disrupted Day is a Disrupted Day only in part, in which case the VWAP Price for such Disrupted Day shall be determined by the Calculation Agent based on Rule 10b-18 Eligible Transactions in the Shares on such Disrupted Day taking into account the nature and duration of the relevant Market Disruption Event, and the weighting of the VWAP Price for the relevant Calculation Dates during the Calculation Period or the Settlement Valuation</w:t>
      </w:r>
    </w:p>
    <w:p>
      <w:pPr>
        <w:spacing w:after="0" w:line="1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80" w:top="376" w:right="439" w:bottom="1440" w:gutter="0" w:footer="0" w:header="0"/>
          <w:type w:val="continuous"/>
        </w:sectPr>
      </w:pPr>
    </w:p>
    <w:bookmarkStart w:id="10" w:name="page11"/>
    <w:bookmarkEnd w:id="10"/>
    <w:p>
      <w:pPr>
        <w:ind w:left="30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Period, as the case may be, shall be adjusted in a commercially reasonable manner by the Calculation Agent for purposes of determining the Forward Price or the Settlement Price, as the case may be, with such adjustments based on, among other factors, the duration of any Market Disruption Event and the volume, historical trading patterns and price of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Calculation Agent shall promptly provide Counterparty written notice of the occurrence of such a Disrupted Day or a partially Disrupted Day and any adjustments to the terms of any Transaction hereunder as a result thereof. “</w:t>
      </w:r>
      <w:r>
        <w:rPr>
          <w:rFonts w:ascii="Times New Roman" w:cs="Times New Roman" w:eastAsia="Times New Roman" w:hAnsi="Times New Roman"/>
          <w:sz w:val="18"/>
          <w:szCs w:val="18"/>
          <w:b w:val="1"/>
          <w:bCs w:val="1"/>
          <w:color w:val="auto"/>
        </w:rPr>
        <w:t>Rule 10b-18 Eligible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only such trades that are reported during the period of time during which Counterparty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purchase its own shares under Rule 10b-18(b)(2) and are effected pursuant to the conditions of Rule 10b-18(b)(3), each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Any Exchange Business Day on which, as of the date hereof, the Exchange is scheduled to close prior to its normal close of trading shall be deemed not to be an Exchange Business Day; if, following the Trade Date for any Transaction, the Exchange announces that it will not open for trading for its regular trading session on any day that is a Scheduled Trading Day as of such Trade Date, then such day shall be deemed to be a Disrupted Day in full with respect to such Transaction; if a closure of the Exchange prior to its normal close of trading on any Exchange Business Day is scheduled following the Trade Date for any Transaction, then such Exchange Business Day shall be deemed to be a Disrupted Day in full with respect to such Transaction.</w:t>
      </w:r>
    </w:p>
    <w:p>
      <w:pPr>
        <w:spacing w:after="0" w:line="87" w:lineRule="exact"/>
        <w:rPr>
          <w:sz w:val="20"/>
          <w:szCs w:val="20"/>
          <w:color w:val="auto"/>
        </w:rPr>
      </w:pPr>
    </w:p>
    <w:p>
      <w:pPr>
        <w:ind w:left="3080" w:right="20"/>
        <w:spacing w:after="0" w:line="255" w:lineRule="auto"/>
        <w:rPr>
          <w:sz w:val="20"/>
          <w:szCs w:val="20"/>
          <w:color w:val="auto"/>
        </w:rPr>
      </w:pPr>
      <w:r>
        <w:rPr>
          <w:rFonts w:ascii="Times New Roman" w:cs="Times New Roman" w:eastAsia="Times New Roman" w:hAnsi="Times New Roman"/>
          <w:sz w:val="18"/>
          <w:szCs w:val="18"/>
          <w:color w:val="auto"/>
        </w:rPr>
        <w:t>If, other than as a result of a Merger Transaction, the occurrence of a “restricted period” (as defined in Regulation M promulgated under the Exchange Act) with respect to the Shares or solely as the result of an ADTV Event, a Disrupted Day occurs on any scheduled Calculation Date during the Calculation Period for any Transaction or on any scheduled Calculation Date during the Settlement Valuation Period for any Transaction, as the case may be, and each of the nine immediately following scheduled Calculation Dates is a Disrupted Day, then an Additional Termination Event in respect of such Transaction shall occur, with Counterparty as the sole Affected Party and such Transaction as the sole Affected Transaction.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Terms:</w:t>
      </w:r>
    </w:p>
    <w:p>
      <w:pPr>
        <w:spacing w:after="0" w:line="131" w:lineRule="exact"/>
        <w:rPr>
          <w:sz w:val="20"/>
          <w:szCs w:val="20"/>
          <w:color w:val="auto"/>
        </w:rPr>
      </w:pPr>
    </w:p>
    <w:p>
      <w:pPr>
        <w:ind w:left="440"/>
        <w:spacing w:after="0"/>
        <w:tabs>
          <w:tab w:leader="none" w:pos="3060" w:val="left"/>
        </w:tabs>
        <w:rPr>
          <w:sz w:val="20"/>
          <w:szCs w:val="20"/>
          <w:color w:val="auto"/>
        </w:rPr>
      </w:pPr>
      <w:r>
        <w:rPr>
          <w:rFonts w:ascii="Times New Roman" w:cs="Times New Roman" w:eastAsia="Times New Roman" w:hAnsi="Times New Roman"/>
          <w:sz w:val="18"/>
          <w:szCs w:val="18"/>
          <w:color w:val="auto"/>
        </w:rPr>
        <w:t>Settlement Procedures:</w:t>
      </w:r>
      <w:r>
        <w:rPr>
          <w:sz w:val="20"/>
          <w:szCs w:val="20"/>
          <w:color w:val="auto"/>
        </w:rPr>
        <w:tab/>
      </w:r>
      <w:r>
        <w:rPr>
          <w:rFonts w:ascii="Times New Roman" w:cs="Times New Roman" w:eastAsia="Times New Roman" w:hAnsi="Times New Roman"/>
          <w:sz w:val="18"/>
          <w:szCs w:val="18"/>
          <w:color w:val="auto"/>
        </w:rPr>
        <w:t>For each Transaction:</w:t>
      </w:r>
    </w:p>
    <w:p>
      <w:pPr>
        <w:spacing w:after="0" w:line="117" w:lineRule="exact"/>
        <w:rPr>
          <w:sz w:val="20"/>
          <w:szCs w:val="20"/>
          <w:color w:val="auto"/>
        </w:rPr>
      </w:pPr>
    </w:p>
    <w:p>
      <w:pPr>
        <w:ind w:left="3440" w:right="140" w:hanging="359"/>
        <w:spacing w:after="0" w:line="258" w:lineRule="auto"/>
        <w:rPr>
          <w:sz w:val="20"/>
          <w:szCs w:val="20"/>
          <w:color w:val="auto"/>
        </w:rPr>
      </w:pPr>
      <w:r>
        <w:rPr>
          <w:rFonts w:ascii="Times New Roman" w:cs="Times New Roman" w:eastAsia="Times New Roman" w:hAnsi="Times New Roman"/>
          <w:sz w:val="18"/>
          <w:szCs w:val="18"/>
          <w:color w:val="auto"/>
        </w:rPr>
        <w:t xml:space="preserve">(i)  if the Number of Shares to be Delivered for such Transaction is positive, Physical Settlement shall be applicable to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Dealer does not, and shall not, make the agreement or the representations set forth in Section 9.11 of the Equity Definitions related to the restrictions imposed by applicable securities laws with respect to any Shares delivered by Dealer to Counterparty under any Transaction; or</w:t>
      </w:r>
    </w:p>
    <w:p>
      <w:pPr>
        <w:spacing w:after="0" w:line="75" w:lineRule="exact"/>
        <w:rPr>
          <w:sz w:val="20"/>
          <w:szCs w:val="20"/>
          <w:color w:val="auto"/>
        </w:rPr>
      </w:pPr>
    </w:p>
    <w:p>
      <w:pPr>
        <w:ind w:left="3440" w:right="680" w:hanging="359"/>
        <w:spacing w:after="0" w:line="282" w:lineRule="auto"/>
        <w:rPr>
          <w:sz w:val="20"/>
          <w:szCs w:val="20"/>
          <w:color w:val="auto"/>
        </w:rPr>
      </w:pPr>
      <w:r>
        <w:rPr>
          <w:rFonts w:ascii="Times New Roman" w:cs="Times New Roman" w:eastAsia="Times New Roman" w:hAnsi="Times New Roman"/>
          <w:sz w:val="18"/>
          <w:szCs w:val="18"/>
          <w:color w:val="auto"/>
        </w:rPr>
        <w:t>(ii)   if the Number of Shares to be Delivered for such Transaction is negative, then the Counterparty Settlement Provisions in Annex A hereto shall apply to such Transaction.</w:t>
      </w:r>
    </w:p>
    <w:p>
      <w:pPr>
        <w:spacing w:after="0" w:line="54" w:lineRule="exact"/>
        <w:rPr>
          <w:sz w:val="20"/>
          <w:szCs w:val="20"/>
          <w:color w:val="auto"/>
        </w:rPr>
      </w:pPr>
    </w:p>
    <w:p>
      <w:pPr>
        <w:ind w:left="3080" w:right="180" w:hanging="2645"/>
        <w:spacing w:after="0" w:line="256" w:lineRule="auto"/>
        <w:rPr>
          <w:sz w:val="20"/>
          <w:szCs w:val="20"/>
          <w:color w:val="auto"/>
        </w:rPr>
      </w:pPr>
      <w:r>
        <w:rPr>
          <w:rFonts w:ascii="Times New Roman" w:cs="Times New Roman" w:eastAsia="Times New Roman" w:hAnsi="Times New Roman"/>
          <w:sz w:val="18"/>
          <w:szCs w:val="18"/>
          <w:color w:val="auto"/>
        </w:rPr>
        <w:t xml:space="preserve">Number of Shares to be Delivered: For each Transaction, a number of Shares equal to (1)(a) the Prepayment Amount for such Transaction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(b) the greater of (x) (i) the Forward Price for such Transaction</w:t>
      </w:r>
      <w:r>
        <w:rPr>
          <w:rFonts w:ascii="Times New Roman" w:cs="Times New Roman" w:eastAsia="Times New Roman" w:hAnsi="Times New Roman"/>
          <w:sz w:val="18"/>
          <w:szCs w:val="18"/>
          <w:i w:val="1"/>
          <w:iCs w:val="1"/>
          <w:color w:val="auto"/>
        </w:rPr>
        <w:t xml:space="preserve"> minus </w:t>
      </w:r>
      <w:r>
        <w:rPr>
          <w:rFonts w:ascii="Times New Roman" w:cs="Times New Roman" w:eastAsia="Times New Roman" w:hAnsi="Times New Roman"/>
          <w:sz w:val="18"/>
          <w:szCs w:val="18"/>
          <w:color w:val="auto"/>
        </w:rPr>
        <w:t>(ii) the Forward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Adjustment Amount for such Transaction and (y) USD 1.00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(2) the number of Initial Shares for such Transaction. Notwithstanding Section 9.2 of the Equity Definitions, the Number of Shares to be Delivered shall be rounded down to the nearest whole number of Shares and no Fractional Share Amounts shall be delivered.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7"/>
          <w:szCs w:val="17"/>
          <w:color w:val="auto"/>
        </w:rPr>
        <w:t>Excess Dividend Amount:</w:t>
      </w:r>
    </w:p>
    <w:p>
      <w:pPr>
        <w:spacing w:after="0" w:line="20" w:lineRule="exact"/>
        <w:rPr>
          <w:sz w:val="20"/>
          <w:szCs w:val="20"/>
          <w:color w:val="auto"/>
        </w:rPr>
      </w:pPr>
      <w:r>
        <w:rPr>
          <w:sz w:val="20"/>
          <w:szCs w:val="20"/>
          <w:color w:val="auto"/>
        </w:rPr>
        <w:br w:type="column"/>
      </w:r>
    </w:p>
    <w:p>
      <w:pPr>
        <w:ind w:right="1020"/>
        <w:spacing w:after="0" w:line="282" w:lineRule="auto"/>
        <w:rPr>
          <w:sz w:val="20"/>
          <w:szCs w:val="20"/>
          <w:color w:val="auto"/>
        </w:rPr>
      </w:pPr>
      <w:r>
        <w:rPr>
          <w:rFonts w:ascii="Times New Roman" w:cs="Times New Roman" w:eastAsia="Times New Roman" w:hAnsi="Times New Roman"/>
          <w:sz w:val="18"/>
          <w:szCs w:val="18"/>
          <w:color w:val="auto"/>
        </w:rPr>
        <w:t>For the avoidance of doubt, all references to the Excess Dividend Amount shall be deleted from Section 9.2(a)(iii) of the Equity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-459740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360" w:space="720"/>
            <w:col w:w="7920"/>
          </w:cols>
          <w:pgMar w:left="440" w:top="378" w:right="45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For each Transaction, if the Number of Shares to be Delivered for such Transaction is positive, the date that is one Settlement Cycle immediately following the Termination Date for such Transaction or, if applicable, the date on which notice of an Accelerated Termination Date in respect of such Transaction is provided to Counterparty.</w:t>
      </w:r>
    </w:p>
    <w:p>
      <w:pPr>
        <w:spacing w:after="0" w:line="72" w:lineRule="exact"/>
        <w:rPr>
          <w:sz w:val="20"/>
          <w:szCs w:val="20"/>
          <w:color w:val="auto"/>
        </w:rPr>
      </w:pPr>
    </w:p>
    <w:p>
      <w:pPr>
        <w:sectPr>
          <w:pgSz w:w="11900" w:h="16838" w:orient="portrait"/>
          <w:cols w:equalWidth="0" w:num="2">
            <w:col w:w="2360" w:space="720"/>
            <w:col w:w="7920"/>
          </w:cols>
          <w:pgMar w:left="440" w:top="378"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7" w:lineRule="exact"/>
        <w:rPr>
          <w:sz w:val="20"/>
          <w:szCs w:val="20"/>
          <w:color w:val="auto"/>
        </w:rPr>
      </w:pPr>
    </w:p>
    <w:p>
      <w:pPr>
        <w:sectPr>
          <w:pgSz w:w="11900" w:h="16838" w:orient="portrait"/>
          <w:cols w:equalWidth="0" w:num="2">
            <w:col w:w="2360" w:space="720"/>
            <w:col w:w="7920"/>
          </w:cols>
          <w:pgMar w:left="440" w:top="378"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Initial Share Delivery:</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For each Transaction, Dealer shall deliver a number of Shares equal to the Initial Shares for such Transaction to Counterparty on the Initial Share Delivery Date for such Transaction in accordance with Section 9.4 of the Equity Definitions, with such Initial Share Delivery Date deemed to be a “Settlement Date” for purposes of such Section 9.4.</w:t>
      </w:r>
    </w:p>
    <w:p>
      <w:pPr>
        <w:spacing w:after="0" w:line="72" w:lineRule="exact"/>
        <w:rPr>
          <w:sz w:val="20"/>
          <w:szCs w:val="20"/>
          <w:color w:val="auto"/>
        </w:rPr>
      </w:pPr>
    </w:p>
    <w:p>
      <w:pPr>
        <w:sectPr>
          <w:pgSz w:w="11900" w:h="16838" w:orient="portrait"/>
          <w:cols w:equalWidth="0" w:num="2">
            <w:col w:w="2360" w:space="720"/>
            <w:col w:w="7920"/>
          </w:cols>
          <w:pgMar w:left="440" w:top="378"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Initial Share Delivery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p>
      <w:pPr>
        <w:spacing w:after="0" w:line="117" w:lineRule="exact"/>
        <w:rPr>
          <w:sz w:val="20"/>
          <w:szCs w:val="20"/>
          <w:color w:val="auto"/>
        </w:rPr>
      </w:pPr>
    </w:p>
    <w:p>
      <w:pPr>
        <w:sectPr>
          <w:pgSz w:w="11900" w:h="16838" w:orient="portrait"/>
          <w:cols w:equalWidth="0" w:num="2">
            <w:col w:w="2440" w:space="640"/>
            <w:col w:w="7920"/>
          </w:cols>
          <w:pgMar w:left="440" w:top="378"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Initial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p>
      <w:pPr>
        <w:spacing w:after="0" w:line="200" w:lineRule="exact"/>
        <w:rPr>
          <w:sz w:val="20"/>
          <w:szCs w:val="20"/>
          <w:color w:val="auto"/>
        </w:rPr>
      </w:pPr>
    </w:p>
    <w:p>
      <w:pPr>
        <w:sectPr>
          <w:pgSz w:w="11900" w:h="16838" w:orient="portrait"/>
          <w:cols w:equalWidth="0" w:num="2">
            <w:col w:w="2360" w:space="720"/>
            <w:col w:w="7920"/>
          </w:cols>
          <w:pgMar w:left="440" w:top="378" w:right="4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Adjustments:</w:t>
      </w:r>
    </w:p>
    <w:p>
      <w:pPr>
        <w:sectPr>
          <w:pgSz w:w="11900" w:h="16838" w:orient="portrait"/>
          <w:cols w:equalWidth="0" w:num="1">
            <w:col w:w="11000"/>
          </w:cols>
          <w:pgMar w:left="440" w:top="378" w:right="459" w:bottom="1440" w:gutter="0" w:footer="0" w:header="0"/>
          <w:type w:val="continuous"/>
        </w:sectPr>
      </w:pP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Potential Adjustment Event: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Section 11.2(e) of the Equity Definitions, neither an Excess Dividend nor an Extraordinary Dividend shall constitute a Potential Adjustment Event. In addition, for the avoidance of doubt, an Ordinary Dividend Amount shall not constitute a Potential Adjustment Event.</w:t>
      </w:r>
    </w:p>
    <w:p>
      <w:pPr>
        <w:spacing w:after="0" w:line="68" w:lineRule="exact"/>
        <w:rPr>
          <w:sz w:val="20"/>
          <w:szCs w:val="20"/>
          <w:color w:val="auto"/>
        </w:rPr>
      </w:pPr>
    </w:p>
    <w:p>
      <w:pPr>
        <w:sectPr>
          <w:pgSz w:w="11900" w:h="16838" w:orient="portrait"/>
          <w:cols w:equalWidth="0" w:num="2">
            <w:col w:w="2480" w:space="600"/>
            <w:col w:w="7920"/>
          </w:cols>
          <w:pgMar w:left="440" w:top="378" w:right="459" w:bottom="1440" w:gutter="0" w:footer="0" w:header="0"/>
          <w:type w:val="continuous"/>
        </w:sectPr>
      </w:pPr>
    </w:p>
    <w:p>
      <w:pPr>
        <w:ind w:left="3080"/>
        <w:spacing w:after="0" w:line="254" w:lineRule="auto"/>
        <w:rPr>
          <w:sz w:val="20"/>
          <w:szCs w:val="20"/>
          <w:color w:val="auto"/>
        </w:rPr>
      </w:pPr>
      <w:r>
        <w:rPr>
          <w:rFonts w:ascii="Times New Roman" w:cs="Times New Roman" w:eastAsia="Times New Roman" w:hAnsi="Times New Roman"/>
          <w:sz w:val="18"/>
          <w:szCs w:val="18"/>
          <w:color w:val="auto"/>
        </w:rPr>
        <w:t xml:space="preserve">It shall constitute an additional Potential Adjustment Event if the Scheduled Termination Date for any Transaction is postponed pursuant to “Valuation Disruption”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neither purchases pursuant to any Other Specified Repurchase Agreement nor purchases pursuant to any Permitted OMR Transaction shall be considered a Potential Adjustment Event. In the event of a “Valuation Disruption”, the Calculation Agent shall, in its good faith, commercially reasonable discretion adjust any relevant terms of any such Transaction as necessary to preserve as nearly as practicable the fair value of such Transaction prior to such postponement (taking into consideration any postponement pursuant to the language opposite the caption “Valuation Disruption” above).</w:t>
      </w:r>
    </w:p>
    <w:p>
      <w:pPr>
        <w:sectPr>
          <w:pgSz w:w="11900" w:h="16838" w:orient="portrait"/>
          <w:cols w:equalWidth="0" w:num="1">
            <w:col w:w="11000"/>
          </w:cols>
          <w:pgMar w:left="440" w:top="378" w:right="459" w:bottom="1440" w:gutter="0" w:footer="0" w:header="0"/>
          <w:type w:val="continuous"/>
        </w:sectPr>
      </w:pP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Excess Dividend: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any Transaction, for any calendar quarter, any dividend or distribution on the Shares with an ex-dividend date occurring during such calendar quarter (other than any dividend or distribution of the type described in Section 11.2(e)(i), Section 11.2(e)(ii)(A) or Section 11.2(e)(ii)(B) of the Equity Definitions) (a “</w:t>
      </w: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the amount or value of which per Share (as determined by the Calculation Agent), when aggregated with the amount or value (as determined by the Calculation Agent) of any and all previous Dividends with ex-dividend dates occurring in the same calendar quarter, exceeds the Ordinary Dividend Amount for such Transaction.</w:t>
      </w:r>
    </w:p>
    <w:p>
      <w:pPr>
        <w:spacing w:after="0" w:line="121" w:lineRule="exact"/>
        <w:rPr>
          <w:sz w:val="20"/>
          <w:szCs w:val="20"/>
          <w:color w:val="auto"/>
        </w:rPr>
      </w:pPr>
    </w:p>
    <w:p>
      <w:pPr>
        <w:sectPr>
          <w:pgSz w:w="11900" w:h="16838" w:orient="portrait"/>
          <w:cols w:equalWidth="0" w:num="2">
            <w:col w:w="2360" w:space="720"/>
            <w:col w:w="7920"/>
          </w:cols>
          <w:pgMar w:left="440" w:top="378"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00"/>
          </w:cols>
          <w:pgMar w:left="440" w:top="378" w:right="4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Consequences of Excess Dividend</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any Transaction, the declaration by the Issuer of any Excess Dividend or any Extraordinary Dividend, the</w:t>
            </w:r>
          </w:p>
        </w:tc>
      </w:tr>
      <w:tr>
        <w:trPr>
          <w:trHeight w:val="216"/>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and Extraordinary Dividend:</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applicable ex-dividend date for which occurs or is scheduled to occur during the Relevant Dividend Period</w:t>
            </w:r>
          </w:p>
        </w:tc>
      </w:tr>
      <w:tr>
        <w:trPr>
          <w:trHeight w:val="216"/>
        </w:trPr>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such Transaction, will constitute an Additional Termination Event, with Counterparty as the sole Affected</w:t>
            </w:r>
          </w:p>
        </w:tc>
      </w:tr>
      <w:tr>
        <w:trPr>
          <w:trHeight w:val="216"/>
        </w:trPr>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Party and such Transaction as the Affected Transaction. For the avoidance of doubt, the amount payable in</w:t>
            </w:r>
          </w:p>
        </w:tc>
      </w:tr>
      <w:tr>
        <w:trPr>
          <w:trHeight w:val="216"/>
        </w:trPr>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connection with an Additional Termination Event as a result of an Excess Dividend or Extraordinary</w:t>
            </w:r>
          </w:p>
        </w:tc>
      </w:tr>
      <w:tr>
        <w:trPr>
          <w:trHeight w:val="216"/>
        </w:trPr>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for any Transaction pursuant to the immediately preceding sentence shall be determined without</w:t>
            </w:r>
          </w:p>
        </w:tc>
      </w:tr>
      <w:tr>
        <w:trPr>
          <w:trHeight w:val="234"/>
        </w:trPr>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regard to such Excess Dividend or such Extraordinary Dividend, as the case may be.</w:t>
            </w:r>
          </w:p>
        </w:tc>
      </w:tr>
      <w:tr>
        <w:trPr>
          <w:trHeight w:val="324"/>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Ordinary Dividend Amount:</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324"/>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Method of Adjustment:</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06"/>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Early Ordinary Dividend Payment:</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If an ex-dividend date for any Dividend that is not an Excess Dividend or an Extraordinary Dividend occurs</w:t>
            </w:r>
          </w:p>
        </w:tc>
      </w:tr>
      <w:tr>
        <w:trPr>
          <w:trHeight w:val="216"/>
        </w:trPr>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during any calendar quarter occurring (in whole or in part) during the Relevant Dividend Period (as defined</w:t>
            </w:r>
          </w:p>
        </w:tc>
      </w:tr>
      <w:tr>
        <w:trPr>
          <w:trHeight w:val="216"/>
        </w:trPr>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below) for any Transaction and is prior to the Scheduled Ex-Dividend Date for such calendar quarter, the</w:t>
            </w:r>
          </w:p>
        </w:tc>
      </w:tr>
      <w:tr>
        <w:trPr>
          <w:trHeight w:val="216"/>
        </w:trPr>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Agent shall make such adjustment to the exercise, settlement, payment or any other terms of the</w:t>
            </w:r>
          </w:p>
        </w:tc>
      </w:tr>
      <w:tr>
        <w:trPr>
          <w:trHeight w:val="216"/>
        </w:trPr>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relevant Transaction as the Calculation Agent determines appropriate to account for the economic effect on</w:t>
            </w:r>
          </w:p>
        </w:tc>
      </w:tr>
      <w:tr>
        <w:trPr>
          <w:trHeight w:val="234"/>
        </w:trPr>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Transaction solely due to the timing of such event.</w:t>
            </w:r>
          </w:p>
        </w:tc>
      </w:tr>
      <w:tr>
        <w:trPr>
          <w:trHeight w:val="324"/>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Scheduled Ex-Dividend Dates:</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each Transaction for each calendar quarter, as set forth in the related Supplemental Confirmation.</w:t>
            </w:r>
          </w:p>
        </w:tc>
      </w:tr>
      <w:tr>
        <w:trPr>
          <w:trHeight w:val="306"/>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Relevant Dividend Period:</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each Transaction, the period from, and including, the Calculation Period Start Date for such Transaction</w:t>
            </w:r>
          </w:p>
        </w:tc>
      </w:tr>
      <w:tr>
        <w:trPr>
          <w:trHeight w:val="234"/>
        </w:trPr>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and including, the Relevant Dividend Period End Date for such Transaction.</w:t>
            </w:r>
          </w:p>
        </w:tc>
      </w:tr>
      <w:tr>
        <w:trPr>
          <w:trHeight w:val="306"/>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Relevant Dividend Period End</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each Transaction, if Annex A applies, the last day of the Settlement Valuation Period for such</w:t>
            </w:r>
          </w:p>
        </w:tc>
      </w:tr>
      <w:tr>
        <w:trPr>
          <w:trHeight w:val="234"/>
        </w:trPr>
        <w:tc>
          <w:tcPr>
            <w:tcW w:w="1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Date:</w:t>
            </w:r>
          </w:p>
        </w:tc>
        <w:tc>
          <w:tcPr>
            <w:tcW w:w="178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otherwise, the Termination Date for such Transaction.</w:t>
            </w:r>
          </w:p>
        </w:tc>
      </w:tr>
      <w:tr>
        <w:trPr>
          <w:trHeight w:val="432"/>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 Events:</w:t>
            </w:r>
          </w:p>
        </w:tc>
        <w:tc>
          <w:tcPr>
            <w:tcW w:w="8000" w:type="dxa"/>
            <w:vAlign w:val="bottom"/>
          </w:tcPr>
          <w:p>
            <w:pPr>
              <w:spacing w:after="0"/>
              <w:rPr>
                <w:sz w:val="24"/>
                <w:szCs w:val="24"/>
                <w:color w:val="auto"/>
              </w:rPr>
            </w:pPr>
          </w:p>
        </w:tc>
      </w:tr>
      <w:tr>
        <w:trPr>
          <w:trHeight w:val="338"/>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Consequences of Merger Events:</w:t>
            </w:r>
          </w:p>
        </w:tc>
        <w:tc>
          <w:tcPr>
            <w:tcW w:w="8000" w:type="dxa"/>
            <w:vAlign w:val="bottom"/>
          </w:tcPr>
          <w:p>
            <w:pPr>
              <w:spacing w:after="0"/>
              <w:rPr>
                <w:sz w:val="24"/>
                <w:szCs w:val="24"/>
                <w:color w:val="auto"/>
              </w:rPr>
            </w:pPr>
          </w:p>
        </w:tc>
      </w:tr>
      <w:tr>
        <w:trPr>
          <w:trHeight w:val="351"/>
        </w:trPr>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Share-for-Share:</w:t>
            </w:r>
          </w:p>
        </w:tc>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Modified Calculation Agent Adjustment</w:t>
            </w:r>
          </w:p>
        </w:tc>
      </w:tr>
      <w:tr>
        <w:trPr>
          <w:trHeight w:val="324"/>
        </w:trPr>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Share-for-Other:</w:t>
            </w:r>
          </w:p>
        </w:tc>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Cancellation and Payment</w:t>
            </w:r>
          </w:p>
        </w:tc>
      </w:tr>
      <w:tr>
        <w:trPr>
          <w:trHeight w:val="324"/>
        </w:trPr>
        <w:tc>
          <w:tcPr>
            <w:tcW w:w="12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w:t>
            </w:r>
          </w:p>
        </w:tc>
        <w:tc>
          <w:tcPr>
            <w:tcW w:w="1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Share-for-Combined:</w:t>
            </w:r>
          </w:p>
        </w:tc>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Component Adjustment</w:t>
            </w:r>
          </w:p>
        </w:tc>
      </w:tr>
      <w:tr>
        <w:trPr>
          <w:trHeight w:val="319"/>
        </w:trPr>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Tender Offer:</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Section 12.1(d) of the Equity Definitions shall be amended by replacing (i)</w:t>
            </w:r>
          </w:p>
        </w:tc>
      </w:tr>
      <w:tr>
        <w:trPr>
          <w:trHeight w:val="234"/>
        </w:trPr>
        <w:tc>
          <w:tcPr>
            <w:tcW w:w="1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“10%” in the third line thereof with “25%” and (ii) “voting shares of the Issuer” in the fourth line thereof with</w:t>
            </w:r>
          </w:p>
        </w:tc>
      </w:tr>
    </w:tbl>
    <w:p>
      <w:pPr>
        <w:ind w:left="3080"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(y) Section 12.1(e) of the Equity Definitions shall be amended by replacing “voting shares” in the first line thereof with “Shares” and (z) Section 12.1(l) of the Equity Definitions shall be amended by replacing “voting shares” in the fifth line thereof with “Shares”.</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378" w:right="43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Consequences of Tender Offers:</w:t>
      </w:r>
    </w:p>
    <w:p>
      <w:pPr>
        <w:sectPr>
          <w:pgSz w:w="11900" w:h="16838" w:orient="portrait"/>
          <w:cols w:equalWidth="0" w:num="1">
            <w:col w:w="10980"/>
          </w:cols>
          <w:pgMar w:left="440" w:top="270" w:right="479" w:bottom="1440" w:gutter="0" w:footer="0" w:header="0"/>
        </w:sectPr>
      </w:pPr>
    </w:p>
    <w:p>
      <w:pPr>
        <w:spacing w:after="0" w:line="156" w:lineRule="exact"/>
        <w:rPr>
          <w:sz w:val="20"/>
          <w:szCs w:val="20"/>
          <w:color w:val="auto"/>
        </w:rPr>
      </w:pPr>
    </w:p>
    <w:p>
      <w:pPr>
        <w:jc w:val="center"/>
        <w:ind w:left="680"/>
        <w:spacing w:after="0"/>
        <w:tabs>
          <w:tab w:leader="none" w:pos="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Share-for-Share: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sectPr>
          <w:pgSz w:w="11900" w:h="16838" w:orient="portrait"/>
          <w:cols w:equalWidth="0" w:num="2">
            <w:col w:w="2800" w:space="720"/>
            <w:col w:w="7460"/>
          </w:cols>
          <w:pgMar w:left="440" w:top="270" w:right="479" w:bottom="1440" w:gutter="0" w:footer="0" w:header="0"/>
          <w:type w:val="continuous"/>
        </w:sectPr>
      </w:pPr>
    </w:p>
    <w:p>
      <w:pPr>
        <w:jc w:val="center"/>
        <w:ind w:left="680"/>
        <w:spacing w:after="0"/>
        <w:tabs>
          <w:tab w:leader="none" w:pos="2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117" w:lineRule="exact"/>
        <w:rPr>
          <w:sz w:val="20"/>
          <w:szCs w:val="20"/>
          <w:color w:val="auto"/>
        </w:rPr>
      </w:pPr>
    </w:p>
    <w:p>
      <w:pPr>
        <w:sectPr>
          <w:pgSz w:w="11900" w:h="16838" w:orient="portrait"/>
          <w:cols w:equalWidth="0" w:num="2">
            <w:col w:w="2800" w:space="720"/>
            <w:col w:w="7460"/>
          </w:cols>
          <w:pgMar w:left="440" w:top="270" w:right="479" w:bottom="1440" w:gutter="0" w:footer="0" w:header="0"/>
          <w:type w:val="continuous"/>
        </w:sectPr>
      </w:pPr>
    </w:p>
    <w:p>
      <w:pPr>
        <w:ind w:left="880"/>
        <w:spacing w:after="0"/>
        <w:tabs>
          <w:tab w:leader="none" w:pos="1380" w:val="left"/>
        </w:tabs>
        <w:rPr>
          <w:sz w:val="20"/>
          <w:szCs w:val="20"/>
          <w:color w:val="auto"/>
        </w:rPr>
      </w:pPr>
      <w:r>
        <w:rPr>
          <w:rFonts w:ascii="Times New Roman" w:cs="Times New Roman" w:eastAsia="Times New Roman" w:hAnsi="Times New Roman"/>
          <w:sz w:val="17"/>
          <w:szCs w:val="17"/>
          <w:color w:val="auto"/>
        </w:rPr>
        <w:t>(c)</w:t>
      </w:r>
      <w:r>
        <w:rPr>
          <w:sz w:val="20"/>
          <w:szCs w:val="20"/>
          <w:color w:val="auto"/>
        </w:rPr>
        <w:tab/>
      </w:r>
      <w:r>
        <w:rPr>
          <w:rFonts w:ascii="Times New Roman" w:cs="Times New Roman" w:eastAsia="Times New Roman" w:hAnsi="Times New Roman"/>
          <w:sz w:val="17"/>
          <w:szCs w:val="17"/>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Modified Calculation Agent Adjustment</w:t>
      </w:r>
    </w:p>
    <w:p>
      <w:pPr>
        <w:spacing w:after="0" w:line="200" w:lineRule="exact"/>
        <w:rPr>
          <w:sz w:val="20"/>
          <w:szCs w:val="20"/>
          <w:color w:val="auto"/>
        </w:rPr>
      </w:pPr>
    </w:p>
    <w:p>
      <w:pPr>
        <w:sectPr>
          <w:pgSz w:w="11900" w:h="16838" w:orient="portrait"/>
          <w:cols w:equalWidth="0" w:num="2">
            <w:col w:w="2940" w:space="580"/>
            <w:col w:w="7460"/>
          </w:cols>
          <w:pgMar w:left="440" w:top="270" w:right="479" w:bottom="1440" w:gutter="0" w:footer="0" w:header="0"/>
          <w:type w:val="continuous"/>
        </w:sectPr>
      </w:pP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Nationalization, Insolvency or</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Delisting: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Cancellation and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shall also constitute a Delisting if the Exchange is located in the United States and the Shares are not immediately re-listed, re-traded or re-quoted on any of the New York Stock Exchange, the NYSE MKT, the NASDAQ Global Select Market or the NASDAQ Global Market (or their respective successors); if the Shares are immediately re-listed, re-traded or re-quoted on any such exchange or quotation system, such exchange or quotation system shall be deemed to be the Exchange.</w:t>
      </w:r>
    </w:p>
    <w:p>
      <w:pPr>
        <w:spacing w:after="0" w:line="184" w:lineRule="exact"/>
        <w:rPr>
          <w:sz w:val="20"/>
          <w:szCs w:val="20"/>
          <w:color w:val="auto"/>
        </w:rPr>
      </w:pPr>
    </w:p>
    <w:p>
      <w:pPr>
        <w:sectPr>
          <w:pgSz w:w="11900" w:h="16838" w:orient="portrait"/>
          <w:cols w:equalWidth="0" w:num="2">
            <w:col w:w="2620" w:space="460"/>
            <w:col w:w="790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131" w:lineRule="exact"/>
        <w:rPr>
          <w:sz w:val="20"/>
          <w:szCs w:val="20"/>
          <w:color w:val="auto"/>
        </w:rPr>
      </w:pPr>
    </w:p>
    <w:p>
      <w:pPr>
        <w:ind w:left="880"/>
        <w:spacing w:after="0"/>
        <w:tabs>
          <w:tab w:leader="none" w:pos="140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Change in Law:</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Section 12.9(a)(ii) of the Equity Definitions is hereby amended by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replacing the phrase “the interpretation” in the third line thereof with the phrase “,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announcement of, the formal or informal interpretation”, (ii) replacing the word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where it appears in clause (X) thereof with the words “Hedge Position”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immediately following the word “Transaction” in clause (X) thereof, adding the phrase</w:t>
      </w:r>
    </w:p>
    <w:p>
      <w:pPr>
        <w:spacing w:after="0" w:line="9" w:lineRule="exact"/>
        <w:rPr>
          <w:sz w:val="20"/>
          <w:szCs w:val="20"/>
          <w:color w:val="auto"/>
        </w:rPr>
      </w:pPr>
    </w:p>
    <w:p>
      <w:pPr>
        <w:sectPr>
          <w:pgSz w:w="11900" w:h="16838" w:orient="portrait"/>
          <w:cols w:equalWidth="0" w:num="2">
            <w:col w:w="3520" w:space="720"/>
            <w:col w:w="6740"/>
          </w:cols>
          <w:pgMar w:left="440" w:top="270" w:right="479" w:bottom="1440" w:gutter="0" w:footer="0" w:header="0"/>
          <w:type w:val="continuous"/>
        </w:sectPr>
      </w:pPr>
    </w:p>
    <w:p>
      <w:pPr>
        <w:ind w:left="4240" w:right="40"/>
        <w:spacing w:after="0" w:line="265" w:lineRule="auto"/>
        <w:rPr>
          <w:sz w:val="20"/>
          <w:szCs w:val="20"/>
          <w:color w:val="auto"/>
        </w:rPr>
      </w:pPr>
      <w:r>
        <w:rPr>
          <w:rFonts w:ascii="Times New Roman" w:cs="Times New Roman" w:eastAsia="Times New Roman" w:hAnsi="Times New Roman"/>
          <w:sz w:val="17"/>
          <w:szCs w:val="17"/>
          <w:color w:val="auto"/>
        </w:rPr>
        <w:t xml:space="preserve">“in the manner contemplated by the Hedging Party on the Trade Date”;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 any determination as to whether (A) the adoption of or any change in any applicable law or regulation (including, for the avoidance of doubt and without limitation, (x) any tax law or</w:t>
      </w:r>
    </w:p>
    <w:p>
      <w:pPr>
        <w:ind w:left="4240"/>
        <w:spacing w:after="0" w:line="251" w:lineRule="auto"/>
        <w:rPr>
          <w:sz w:val="20"/>
          <w:szCs w:val="20"/>
          <w:color w:val="auto"/>
        </w:rPr>
      </w:pPr>
      <w:r>
        <w:rPr>
          <w:rFonts w:ascii="Times New Roman" w:cs="Times New Roman" w:eastAsia="Times New Roman" w:hAnsi="Times New Roman"/>
          <w:sz w:val="18"/>
          <w:szCs w:val="18"/>
          <w:color w:val="auto"/>
        </w:rPr>
        <w:t xml:space="preserve">(y) adoption or promulgation of new regulations authorized or mandated by existing statute) or (B) the promulgation of or any change in the interpretation by any court, tribunal or regulatory authority with competent jurisdiction of any applicable law or regulation (including any action taken by a taxing authority), in each case, constitutes a “Change in Law” shall be made without regard to Section 739 of the Dodd-Frank Wall Street Reform and Consumer Protection Act of 2010 or any similar provision in any legislation enacted, or rule or regulation promulgated, on or after the Trade Date, and (ii)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 Notwithstanding anything to the contrary in the Equity Definitions, a Change in Law described in clause (Y) of Section 12.9(a)(ii) of the Equity Definitions shall not constitute a Change in Law and instead shall constitute an Increased Cost of Hedging as described in Section 12.9(a)(vi) of the Equity Definitions;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any determination by Dealer as to the occurrence of a Change in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any Transaction shall be made in a non-discriminatory manner across all accelerated share repurchase transactions similar to the Transactions with counterparties similar to Counterparty to which Dealer (or an affiliate thereof) is a party.</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w:t>
            </w: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Failure to Deliver:</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w:t>
            </w: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Insolvency Filing:</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w:t>
            </w: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of Stock Borrow:</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126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Maximum Stock Loan Rate:</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306"/>
        </w:trPr>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w:t>
            </w: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Increased Cost of Hedging:</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w:t>
            </w:r>
          </w:p>
        </w:tc>
      </w:tr>
      <w:tr>
        <w:trPr>
          <w:trHeight w:val="214"/>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12.9(a)(ii) of the Equity Definitions as set forth in the last sentence opposite the</w:t>
            </w:r>
          </w:p>
        </w:tc>
      </w:tr>
      <w:tr>
        <w:trPr>
          <w:trHeight w:val="218"/>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caption “Change in Law”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determination by Dealer as to the</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occurrence of an Increased Cost of Hedging under any Transaction shall be made in a</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non-discriminatory manner across all accelerated share repurchase transactions similar to the</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counterparties similar to Counterparty to which Dealer (or an affiliate</w:t>
            </w:r>
          </w:p>
        </w:tc>
      </w:tr>
      <w:tr>
        <w:trPr>
          <w:trHeight w:val="234"/>
        </w:trPr>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thereof) is a party.</w:t>
            </w:r>
          </w:p>
        </w:tc>
      </w:tr>
      <w:tr>
        <w:trPr>
          <w:trHeight w:val="324"/>
        </w:trPr>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w:t>
            </w: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Increased Cost of Stock Borrow:</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w:t>
            </w:r>
          </w:p>
        </w:tc>
      </w:tr>
      <w:tr>
        <w:trPr>
          <w:trHeight w:val="324"/>
        </w:trPr>
        <w:tc>
          <w:tcPr>
            <w:tcW w:w="126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Initial Stock Loan Rate:</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each Transaction, as set forth in the related Supplemental Confirmation.</w:t>
            </w:r>
          </w:p>
        </w:tc>
      </w:tr>
      <w:tr>
        <w:trPr>
          <w:trHeight w:val="306"/>
        </w:trPr>
        <w:tc>
          <w:tcPr>
            <w:tcW w:w="126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Hedging Party:</w:t>
            </w:r>
          </w:p>
        </w:tc>
        <w:tc>
          <w:tcPr>
            <w:tcW w:w="1480" w:type="dxa"/>
            <w:vAlign w:val="bottom"/>
          </w:tcPr>
          <w:p>
            <w:pPr>
              <w:spacing w:after="0"/>
              <w:rPr>
                <w:sz w:val="24"/>
                <w:szCs w:val="24"/>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 xml:space="preserve">For all applicable events, Dealer;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when making any determination or calculation</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“Hedging Party,” Dealer shall be bound by the same obligations relating to required acts of</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Calculation Agent as set forth in Section 1.40 of the Equity Definitions and this Master</w:t>
            </w:r>
          </w:p>
        </w:tc>
      </w:tr>
      <w:tr>
        <w:trPr>
          <w:trHeight w:val="234"/>
        </w:trPr>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Confirmation as if the Hedging Party were the Calculation Agent.</w:t>
            </w:r>
          </w:p>
        </w:tc>
      </w:tr>
      <w:tr>
        <w:trPr>
          <w:trHeight w:val="306"/>
        </w:trPr>
        <w:tc>
          <w:tcPr>
            <w:tcW w:w="126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Determining Party:</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 xml:space="preserve">For all applicable events, Dealer;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when making any determination or calculation</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“Determining Party,” Dealer shall be bound by the same obligations relating to required</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acts of the Calculation Agent as set forth in Section 1.40 of the Equity Definitions and this</w:t>
            </w:r>
          </w:p>
        </w:tc>
      </w:tr>
      <w:tr>
        <w:trPr>
          <w:trHeight w:val="234"/>
        </w:trPr>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Master Confirmation as if the Determining Party were the Calculation Agent.</w:t>
            </w:r>
          </w:p>
        </w:tc>
      </w:tr>
      <w:tr>
        <w:trPr>
          <w:trHeight w:val="306"/>
        </w:trPr>
        <w:tc>
          <w:tcPr>
            <w:tcW w:w="126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Hedging Adjustments:</w:t>
            </w: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the avoidance of doubt, whenever the Calculation Agent is called upon to make an</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adjustment pursuant to the terms of this Master Confirmation or the Equity Definitions to take</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into account the effect of an event, the Calculation Agent shall make such adjustment by</w:t>
            </w:r>
          </w:p>
        </w:tc>
      </w:t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reference to the effect of such event on Dealer, assuming that Dealer maintains a</w:t>
            </w:r>
          </w:p>
        </w:tc>
      </w:tr>
      <w:tr>
        <w:trPr>
          <w:trHeight w:val="234"/>
        </w:trPr>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commercially reasonable Hedge Position.</w:t>
            </w:r>
          </w:p>
        </w:tc>
      </w:tr>
      <w:tr>
        <w:trPr>
          <w:trHeight w:val="441"/>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Non-Reliance/Agreements and</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w:t>
            </w:r>
          </w:p>
        </w:tc>
        <w:tc>
          <w:tcPr>
            <w:tcW w:w="7020" w:type="dxa"/>
            <w:vAlign w:val="bottom"/>
          </w:tcPr>
          <w:p>
            <w:pPr>
              <w:spacing w:after="0"/>
              <w:rPr>
                <w:sz w:val="24"/>
                <w:szCs w:val="24"/>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Acknowledgements Regarding</w:t>
            </w:r>
          </w:p>
        </w:tc>
        <w:tc>
          <w:tcPr>
            <w:tcW w:w="1480" w:type="dxa"/>
            <w:vAlign w:val="bottom"/>
          </w:tcPr>
          <w:p>
            <w:pPr>
              <w:spacing w:after="0"/>
              <w:rPr>
                <w:sz w:val="18"/>
                <w:szCs w:val="18"/>
                <w:color w:val="auto"/>
              </w:rPr>
            </w:pPr>
          </w:p>
        </w:tc>
        <w:tc>
          <w:tcPr>
            <w:tcW w:w="7020" w:type="dxa"/>
            <w:vAlign w:val="bottom"/>
          </w:tcPr>
          <w:p>
            <w:pPr>
              <w:spacing w:after="0"/>
              <w:rPr>
                <w:sz w:val="18"/>
                <w:szCs w:val="18"/>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Hedging Activities/Additional</w:t>
            </w:r>
          </w:p>
        </w:tc>
        <w:tc>
          <w:tcPr>
            <w:tcW w:w="1480" w:type="dxa"/>
            <w:vAlign w:val="bottom"/>
          </w:tcPr>
          <w:p>
            <w:pPr>
              <w:spacing w:after="0"/>
              <w:rPr>
                <w:sz w:val="18"/>
                <w:szCs w:val="18"/>
                <w:color w:val="auto"/>
              </w:rPr>
            </w:pPr>
          </w:p>
        </w:tc>
        <w:tc>
          <w:tcPr>
            <w:tcW w:w="7020" w:type="dxa"/>
            <w:vAlign w:val="bottom"/>
          </w:tcPr>
          <w:p>
            <w:pPr>
              <w:spacing w:after="0"/>
              <w:rPr>
                <w:sz w:val="18"/>
                <w:szCs w:val="18"/>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Acknowledgements:</w:t>
            </w:r>
          </w:p>
        </w:tc>
        <w:tc>
          <w:tcPr>
            <w:tcW w:w="1480" w:type="dxa"/>
            <w:vAlign w:val="bottom"/>
          </w:tcPr>
          <w:p>
            <w:pPr>
              <w:spacing w:after="0"/>
              <w:rPr>
                <w:sz w:val="20"/>
                <w:szCs w:val="20"/>
                <w:color w:val="auto"/>
              </w:rPr>
            </w:pPr>
          </w:p>
        </w:tc>
        <w:tc>
          <w:tcPr>
            <w:tcW w:w="702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Counterparty Delivery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378" w:right="43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color w:val="auto"/>
        </w:rPr>
        <w:t>Instructions: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Dealer Payment Instructions:</w:t>
      </w:r>
    </w:p>
    <w:p>
      <w:pPr>
        <w:spacing w:after="0" w:line="117"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Account for delivery of Shares to Dealer:</w:t>
      </w:r>
    </w:p>
    <w:p>
      <w:pPr>
        <w:spacing w:after="0" w:line="54" w:lineRule="exact"/>
        <w:rPr>
          <w:sz w:val="20"/>
          <w:szCs w:val="20"/>
          <w:color w:val="auto"/>
        </w:rPr>
      </w:pPr>
    </w:p>
    <w:p>
      <w:pPr>
        <w:ind w:left="4" w:right="260"/>
        <w:spacing w:after="0" w:line="312" w:lineRule="auto"/>
        <w:rPr>
          <w:sz w:val="20"/>
          <w:szCs w:val="20"/>
          <w:color w:val="auto"/>
        </w:rPr>
      </w:pPr>
      <w:r>
        <w:rPr>
          <w:rFonts w:ascii="Times New Roman" w:cs="Times New Roman" w:eastAsia="Times New Roman" w:hAnsi="Times New Roman"/>
          <w:sz w:val="17"/>
          <w:szCs w:val="17"/>
          <w:color w:val="auto"/>
        </w:rPr>
        <w:t>Counterparty’s Contact Details for Purpose of Giving Notice:</w:t>
      </w:r>
    </w:p>
    <w:p>
      <w:pPr>
        <w:spacing w:after="0" w:line="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Dealer’s Contact Details for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Purpose of Giving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provided by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-206375</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26"/>
          <w:szCs w:val="26"/>
          <w:color w:val="auto"/>
          <w:vertAlign w:val="superscript"/>
        </w:rPr>
        <w:t>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26"/>
          <w:szCs w:val="26"/>
          <w:color w:val="auto"/>
          <w:vertAlign w:val="superscript"/>
        </w:rPr>
        <w:t>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provided by Counterparty.</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26"/>
          <w:szCs w:val="26"/>
          <w:color w:val="auto"/>
          <w:vertAlign w:val="superscript"/>
        </w:rPr>
        <w:t>4</w:t>
      </w:r>
    </w:p>
    <w:p>
      <w:pPr>
        <w:spacing w:after="0" w:line="133" w:lineRule="exact"/>
        <w:rPr>
          <w:sz w:val="20"/>
          <w:szCs w:val="20"/>
          <w:color w:val="auto"/>
        </w:rPr>
      </w:pPr>
    </w:p>
    <w:p>
      <w:pPr>
        <w:sectPr>
          <w:pgSz w:w="11900" w:h="16838" w:orient="portrait"/>
          <w:cols w:equalWidth="0" w:num="2">
            <w:col w:w="2484" w:space="720"/>
            <w:col w:w="7800"/>
          </w:cols>
          <w:pgMar w:left="436" w:top="270" w:right="459" w:bottom="1440" w:gutter="0" w:footer="0" w:header="0"/>
        </w:sectPr>
      </w:pPr>
    </w:p>
    <w:p>
      <w:pPr>
        <w:ind w:left="4" w:hanging="4"/>
        <w:spacing w:after="0" w:line="269" w:lineRule="auto"/>
        <w:tabs>
          <w:tab w:leader="none" w:pos="18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Agent</w:t>
      </w:r>
      <w:r>
        <w:rPr>
          <w:rFonts w:ascii="Times New Roman" w:cs="Times New Roman" w:eastAsia="Times New Roman" w:hAnsi="Times New Roman"/>
          <w:sz w:val="17"/>
          <w:szCs w:val="17"/>
          <w:color w:val="auto"/>
        </w:rPr>
        <w:t>. Dealer. Whenever the Calculation Agent is required to act or to exercise judgment in any way with respect to any Transaction hereunder, it will do so in good faith and in a commercially reasonable manner. Following the occurrence and during the continuation of an Event of Default pursuant to Section 5(a)(vii) of the Agreement with respect to which Dealer is the Defaulting Party, Counterparty shall have the right to designate an independent, nationally recognized equity derivatives dealer to replace Dealer as Calculation Agent, and the parties shall work in good faith to execute any appropriate documentation required by such replacement Calculation Agent. Following any determination, adjustment or calculation by the Calculation Agent, the Hedging Party or the Determining Party hereunder, the Calculation Agent, the Hedging Party or the Determining Party, as the case may be, will within five Exchange Business Days of a request by Counterparty, provide to Counterparty a report (in a commonly used file format for the storage and manipulation of financial data without disclosing any proprietary or confidential models or other information that is subject to contractual, legal or regulatory obligations to not disclose such information) displaying in reasonable detail the basis for such determination, adjustment or calculation, as the case may be. Notwithstanding anything to the contrary in this Master Confirmation or any Supplemental Confirmation, the Calculation Agent shall not adjust the dates identified as Calculation Dates in the relevant Supplemental Confirmation for any Transaction.</w:t>
      </w:r>
    </w:p>
    <w:p>
      <w:pPr>
        <w:spacing w:after="0" w:line="181" w:lineRule="exact"/>
        <w:rPr>
          <w:rFonts w:ascii="Times New Roman" w:cs="Times New Roman" w:eastAsia="Times New Roman" w:hAnsi="Times New Roman"/>
          <w:sz w:val="17"/>
          <w:szCs w:val="17"/>
          <w:color w:val="auto"/>
        </w:rPr>
      </w:pPr>
    </w:p>
    <w:p>
      <w:pPr>
        <w:ind w:left="4" w:right="480" w:hanging="4"/>
        <w:spacing w:after="0" w:line="282"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Mutual Representations, Warranties and Covenants of Each Party</w:t>
      </w:r>
      <w:r>
        <w:rPr>
          <w:rFonts w:ascii="Times New Roman" w:cs="Times New Roman" w:eastAsia="Times New Roman" w:hAnsi="Times New Roman"/>
          <w:sz w:val="18"/>
          <w:szCs w:val="18"/>
          <w:color w:val="auto"/>
        </w:rPr>
        <w:t>. In addition to the representations, warranties and covenants in the Agreement, each party represents, warrants and covenants to the other party that:</w:t>
      </w:r>
    </w:p>
    <w:p>
      <w:pPr>
        <w:spacing w:after="0" w:line="161" w:lineRule="exact"/>
        <w:rPr>
          <w:rFonts w:ascii="Times New Roman" w:cs="Times New Roman" w:eastAsia="Times New Roman" w:hAnsi="Times New Roman"/>
          <w:sz w:val="18"/>
          <w:szCs w:val="18"/>
          <w:color w:val="auto"/>
        </w:rPr>
      </w:pPr>
    </w:p>
    <w:p>
      <w:pPr>
        <w:ind w:left="4" w:right="300" w:firstLine="436"/>
        <w:spacing w:after="0" w:line="266"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It is an “eligible contract participant”, as defined in the U.S. Commodity Exchange Act (as amended), and is entering into each Transaction hereunder as principal (and not as agent or in any other capacity, fiduciary or otherwise) and not for the benefit of any third party.</w:t>
      </w:r>
    </w:p>
    <w:p>
      <w:pPr>
        <w:spacing w:after="0" w:line="175"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Each party acknowledges that the offer and sale of each Transaction to it is intended to be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by virtue of Section 4(a)(2) thereof. Accordingly, each party represents and warrants to the other that (i) it has the financial ability to bear the economic risk of its investment in each Transaction and is able to bear a total loss of its investment, (ii) it is an “accredited investor” as that term is defined under Regulation D under the Securities Act and (iii) the disposition of each Transaction is restricted under this Master Confirmation, the Securities Act and state securities laws.</w:t>
      </w:r>
    </w:p>
    <w:p>
      <w:pPr>
        <w:spacing w:after="0" w:line="183" w:lineRule="exact"/>
        <w:rPr>
          <w:rFonts w:ascii="Times New Roman" w:cs="Times New Roman" w:eastAsia="Times New Roman" w:hAnsi="Times New Roman"/>
          <w:sz w:val="18"/>
          <w:szCs w:val="18"/>
          <w:color w:val="auto"/>
        </w:rPr>
      </w:pPr>
    </w:p>
    <w:p>
      <w:pPr>
        <w:ind w:left="4" w:hanging="4"/>
        <w:spacing w:after="0" w:line="282"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Warranties and Covenants of Counterparty</w:t>
      </w:r>
      <w:r>
        <w:rPr>
          <w:rFonts w:ascii="Times New Roman" w:cs="Times New Roman" w:eastAsia="Times New Roman" w:hAnsi="Times New Roman"/>
          <w:sz w:val="18"/>
          <w:szCs w:val="18"/>
          <w:color w:val="auto"/>
        </w:rPr>
        <w:t>. In addition to the representations, warranties and covenants in the Agreement, Counterparty represents, warrants and covenants to Dealer that:</w:t>
      </w:r>
    </w:p>
    <w:p>
      <w:pPr>
        <w:spacing w:after="0" w:line="161" w:lineRule="exact"/>
        <w:rPr>
          <w:rFonts w:ascii="Times New Roman" w:cs="Times New Roman" w:eastAsia="Times New Roman" w:hAnsi="Times New Roman"/>
          <w:sz w:val="18"/>
          <w:szCs w:val="18"/>
          <w:color w:val="auto"/>
        </w:rPr>
      </w:pPr>
    </w:p>
    <w:p>
      <w:pPr>
        <w:ind w:left="4" w:right="220" w:firstLine="436"/>
        <w:spacing w:after="0" w:line="281" w:lineRule="auto"/>
        <w:tabs>
          <w:tab w:leader="none" w:pos="68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entering into any Transaction (i) on the basis of, and is not aware of, any material non-public information regarding Counterparty or the Shares, (ii) in anticipation of, in connection with, or to facilitate, a distribution of its securities, a self-tender offer or a third-party tender offer or (iii) to create actual or apparent trading activity in the Shares (or any security convertible into or exchangeable for the Shares) or to raise or depress or otherwise manipulate the price of the Shares (or any security convertible into or exchangeable for the Shares) in violation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41"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provided by Dealer.</w:t>
      </w:r>
    </w:p>
    <w:p>
      <w:pPr>
        <w:ind w:left="424" w:hanging="424"/>
        <w:spacing w:after="0" w:line="180" w:lineRule="auto"/>
        <w:tabs>
          <w:tab w:leader="none" w:pos="424"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provided by Dealer.</w:t>
      </w:r>
    </w:p>
    <w:p>
      <w:pPr>
        <w:ind w:left="424" w:hanging="424"/>
        <w:spacing w:after="0" w:line="180" w:lineRule="auto"/>
        <w:tabs>
          <w:tab w:leader="none" w:pos="424"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provided by Dealer.</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type w:val="continuous"/>
        </w:sectPr>
      </w:pPr>
    </w:p>
    <w:bookmarkStart w:id="16" w:name="page17"/>
    <w:bookmarkEnd w:id="16"/>
    <w:p>
      <w:pPr>
        <w:ind w:right="380" w:firstLine="436"/>
        <w:spacing w:after="0" w:line="282"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purchase or writing of each Transaction and the transactions contemplated hereby will not violate Rule 13e-1 or Rule 13e-4 under the Exchange Act.</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is being entered into pursuant to a publicly disclosed Share buy-back program authorized by its Board of Directors.</w:t>
      </w:r>
    </w:p>
    <w:p>
      <w:pPr>
        <w:spacing w:after="0" w:line="225" w:lineRule="exact"/>
        <w:rPr>
          <w:rFonts w:ascii="Times New Roman" w:cs="Times New Roman" w:eastAsia="Times New Roman" w:hAnsi="Times New Roman"/>
          <w:sz w:val="18"/>
          <w:szCs w:val="18"/>
          <w:color w:val="auto"/>
        </w:rPr>
      </w:pPr>
    </w:p>
    <w:p>
      <w:pPr>
        <w:ind w:right="400" w:firstLine="436"/>
        <w:spacing w:after="0" w:line="261"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13.1 of the Equity Definitions, Counterparty acknowledges that neither Dealer nor any of its affiliates is making any representations or warranties or taking any position or expressing any view with respect to the treatment of any Transaction under any accounting standards including ASC Topic 260, Earnings Per Share, ASC Topic 815, Derivatives and Hedging, or ASC Topic 480, Distinguishing Liabilities from Equity and ASC 815-40, Derivatives and Hedging – Contracts in Entity’s Own Equity.</w:t>
      </w:r>
    </w:p>
    <w:p>
      <w:pPr>
        <w:spacing w:after="0" w:line="179" w:lineRule="exact"/>
        <w:rPr>
          <w:rFonts w:ascii="Times New Roman" w:cs="Times New Roman" w:eastAsia="Times New Roman" w:hAnsi="Times New Roman"/>
          <w:sz w:val="18"/>
          <w:szCs w:val="18"/>
          <w:color w:val="auto"/>
        </w:rPr>
      </w:pPr>
    </w:p>
    <w:p>
      <w:pPr>
        <w:ind w:right="80" w:firstLine="436"/>
        <w:spacing w:after="0" w:line="253"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not, and Counterparty will not cause the Shares to be, subject to a “restricted period” (as defined in Regulation M promulgated under the Exchange Act) at any time during any Regulation M Period (as defined below) for any Transaction unless Counterparty has provided written notice to Dealer of such restricted period not later than the Scheduled Trading Day immediately preceding the first day of such “restricted period.” Counterparty acknowledges that any such notice may cause a Disrupted Day to occur pursuant to Section 6 below. Accordingly, Counterparty acknowledges that its delivery of such notice must comply with the standards set forth in Section 7 below. “</w:t>
      </w:r>
      <w:r>
        <w:rPr>
          <w:rFonts w:ascii="Times New Roman" w:cs="Times New Roman" w:eastAsia="Times New Roman" w:hAnsi="Times New Roman"/>
          <w:sz w:val="18"/>
          <w:szCs w:val="18"/>
          <w:b w:val="1"/>
          <w:bCs w:val="1"/>
          <w:color w:val="auto"/>
        </w:rPr>
        <w:t>Regulation M Period</w:t>
      </w:r>
      <w:r>
        <w:rPr>
          <w:rFonts w:ascii="Times New Roman" w:cs="Times New Roman" w:eastAsia="Times New Roman" w:hAnsi="Times New Roman"/>
          <w:sz w:val="18"/>
          <w:szCs w:val="18"/>
          <w:color w:val="auto"/>
        </w:rPr>
        <w:t>” means, for any Transaction, (i) the Relevant Period (as defined below), (ii) the Settlement Valuation Period, if any, for such Transaction and (iii) the Seller Termination Purchase Period (as defined below), if any, for such Transaction. “</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 means, for any Transaction, the period commencing on the Calculation Period Start Date for such Transaction and ending on the earlier of (i) the Scheduled Termination Date and (ii) the last Additional Relevant Day (as specified in the related Supplemental Confirmation) for such Transaction, or such earlier day as elected by Dealer and communicated to Counterparty on such day.</w:t>
      </w:r>
    </w:p>
    <w:p>
      <w:pPr>
        <w:spacing w:after="0" w:line="8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(f)As of the Trade Date, the Prepayment Date and the Settlement Date for each Transaction, (i) the value of the total assets of Counterparty is greater than the sum of the total liabilities (including contingent liabilities) and the capital (as such terms are defined in Section 154 and Section 244 of the General Corporation Law of the State of Delaware) of Counterparty, (ii) the capital of Counterparty is adequate to conduct the business of Counterparty, and Counterparty’s entry into such Transaction will not impair its capital, (iii) Counterparty has the ability to pay its debts and obligations as such debts mature and does not intend to, or does not believe that it will, incur debt beyond its ability to pay as such debts mature, (iv) Counterparty will be able to continue as a going concern; (v)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(vi) Counterparty would be able to purchase a number of Shares with a value equal to the Prepayment Amount in compliance with the laws of the jurisdiction of Counterparty’s incorporation (including the adequate surplus and capital requirements of Sections 154 and 160 of the General Corporation Law of the State of Delaware).</w:t>
      </w:r>
    </w:p>
    <w:p>
      <w:pPr>
        <w:spacing w:after="0" w:line="188" w:lineRule="exact"/>
        <w:rPr>
          <w:sz w:val="20"/>
          <w:szCs w:val="20"/>
          <w:color w:val="auto"/>
        </w:rPr>
      </w:pPr>
    </w:p>
    <w:p>
      <w:pPr>
        <w:ind w:right="320" w:firstLine="436"/>
        <w:spacing w:after="0" w:line="28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any Transaction,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not entered, and will not enter, into agreements similar to the Transactions described herein where the relevant calculation or valuation dates in any initial hedge period, calculation period, relevant period, settlement valuation period or seller termination purchase period (each however defined) in such other transaction will overlap at any time (including as a result of extensions in such initial hedge period, calculation period, relevant period, settlement valuation period or seller termination purchase period as provided in the relevant agreements) with the Calculation Dates in any Relevant Period or, if applicable, the Calculation Dates in any Settlement Valuation Period or any Seller Termination Purchase Period under this Master Confirmation, except with the consent of Dealer or as provided in the Supplemental Confirmation for any Transaction. In the event that the relevant calculation or valuation dates in any initial hedge period, relevant period, calculation period, settlement valuation period or seller termination purchase period in any other similar transaction overlap with the Calculation Dates in any Relevant Period or, if applicable, the Calculation Dates in any Settlement Valuation Period or any Seller Termination Purchase Period under this Master Confirmation as a result of any postponement of the Scheduled Termination Date or extension of the Settlement Valuation Period pursuant to “Valuation Disruption” above, Counterparty shall promptly amend such transaction to avoid any such overlap. For the avoidance of doubt, the parties hereto acknowledge that entry into any Other Specified Repurchase Agreement (as defined below) shall not fall within the ambit of the two previous sentences.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7" w:name="page18"/>
    <w:bookmarkEnd w:id="17"/>
    <w:p>
      <w:pPr>
        <w:ind w:left="4" w:firstLine="436"/>
        <w:spacing w:after="0" w:line="289" w:lineRule="auto"/>
        <w:tabs>
          <w:tab w:leader="none" w:pos="65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50,000,000 as of the date hereof.</w:t>
      </w:r>
    </w:p>
    <w:p>
      <w:pPr>
        <w:spacing w:after="0" w:line="157" w:lineRule="exact"/>
        <w:rPr>
          <w:rFonts w:ascii="Times New Roman" w:cs="Times New Roman" w:eastAsia="Times New Roman" w:hAnsi="Times New Roman"/>
          <w:sz w:val="17"/>
          <w:szCs w:val="17"/>
          <w:color w:val="auto"/>
        </w:rPr>
      </w:pPr>
    </w:p>
    <w:p>
      <w:pPr>
        <w:ind w:left="4" w:right="100" w:hanging="4"/>
        <w:spacing w:after="0" w:line="266" w:lineRule="auto"/>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For each Transaction, Counterparty shall deliver to Dealer an opinion of counsel, dated as of the Trade Date, with respect to the matters set forth in Section 3(a) of the Agreement. Delivery of such opinion to Dealer shall be a condition precedent for the purpose of Section 2(a)(iii) of the Agreement with respect to each obligation of Dealer under Section 2(a)(i) of the Agreement.</w:t>
      </w:r>
    </w:p>
    <w:p>
      <w:pPr>
        <w:spacing w:after="0" w:line="175" w:lineRule="exact"/>
        <w:rPr>
          <w:rFonts w:ascii="Times New Roman" w:cs="Times New Roman" w:eastAsia="Times New Roman" w:hAnsi="Times New Roman"/>
          <w:sz w:val="18"/>
          <w:szCs w:val="18"/>
          <w:color w:val="auto"/>
        </w:rPr>
      </w:pPr>
    </w:p>
    <w:p>
      <w:pPr>
        <w:ind w:left="4" w:right="20" w:hanging="4"/>
        <w:spacing w:after="0" w:line="253" w:lineRule="auto"/>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Disruption</w:t>
      </w:r>
      <w:r>
        <w:rPr>
          <w:rFonts w:ascii="Times New Roman" w:cs="Times New Roman" w:eastAsia="Times New Roman" w:hAnsi="Times New Roman"/>
          <w:sz w:val="18"/>
          <w:szCs w:val="18"/>
          <w:color w:val="auto"/>
        </w:rPr>
        <w:t>. In the event that Dealer concludes, in its reasonable discretion that either (x) based on advice of counsel, that it is necessary or advisable with respect to any legal, regulatory or self-regulatory requirements or related policies and procedures (whether or not such requirements, policies or procedures are imposed by law or have been voluntarily adopted by Dealer) similarly applicable to accelerated share repurchase transactions and consistently applied or (y) that it is necessary in order to comply with Section 8(b) below, for it to refrain from or decrease any market activity, for the purpose of maintaining a commercially reasonable hedge position, on any Calculation Date(s) during the Calculation Period or, if applicable, the Settlement Valuation Period, Dealer may by written notice to Counterparty elect to deem that a Market Disruption Event has occurred and will be continuing on such Calculation Date(s) and each such Calculation Date shall be a Disrupted Day in full. Dealer shall promptly notify Counterparty upon exercising its rights pursuant to this provision and shall subsequently notify Counterparty in writing on the Calculation Date Dealer reasonably believes in good faith and upon the advice of counsel that it may resume its market activity. Dealer shall make its determination pursuant to the first sentence of this section in a manner consistent with determinations made with respect to other counterparties under similar facts and circumstances.</w:t>
      </w:r>
    </w:p>
    <w:p>
      <w:pPr>
        <w:spacing w:after="0" w:line="19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10b5-1 Plan</w:t>
      </w:r>
      <w:r>
        <w:rPr>
          <w:rFonts w:ascii="Times New Roman" w:cs="Times New Roman" w:eastAsia="Times New Roman" w:hAnsi="Times New Roman"/>
          <w:sz w:val="18"/>
          <w:szCs w:val="18"/>
          <w:color w:val="auto"/>
        </w:rPr>
        <w:t>. Counterparty represents, warrants and covenants to Dealer that:</w:t>
      </w:r>
    </w:p>
    <w:p>
      <w:pPr>
        <w:spacing w:after="0" w:line="225"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entering into this Master Confirmation and each Transaction hereunder in good faith and not as part of a plan or scheme to evade the prohibitions of Rule 10b5-1 under the Exchange Act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For the avoidance of doubt, the parties hereto acknowledge that entry into any Other Specified Repurchase Agreement or any Permitted OMR Transaction shall not fall within the ambit of the previous sentence. Counterparty acknowledges that it is the intent of the parties that each Transaction entered into under this Master Confirmation comply with the requirements of paragraphs (c)(1)(i)(A) and (B) of Rule 10b5-1 and each Transaction entered into under this Master Confirmation shall be interpreted to comply with the requirements of Rule 10b5-1(c). “</w:t>
      </w:r>
      <w:r>
        <w:rPr>
          <w:rFonts w:ascii="Times New Roman" w:cs="Times New Roman" w:eastAsia="Times New Roman" w:hAnsi="Times New Roman"/>
          <w:sz w:val="18"/>
          <w:szCs w:val="18"/>
          <w:b w:val="1"/>
          <w:bCs w:val="1"/>
          <w:color w:val="auto"/>
        </w:rPr>
        <w:t>Other Specified Repurchase Agreement</w:t>
      </w:r>
      <w:r>
        <w:rPr>
          <w:rFonts w:ascii="Times New Roman" w:cs="Times New Roman" w:eastAsia="Times New Roman" w:hAnsi="Times New Roman"/>
          <w:sz w:val="18"/>
          <w:szCs w:val="18"/>
          <w:color w:val="auto"/>
        </w:rPr>
        <w:t>” means, for any Transaction, any other fixed dollar accelerated share repurchase transaction entered into on the Trade Date for such Transaction that is intended to comply with the requirements of Rule 10b5-1(c) under the Exchange Act and with calculation dates that do not overlap with the Calculation Dates for such Transaction.</w:t>
      </w:r>
    </w:p>
    <w:p>
      <w:pPr>
        <w:spacing w:after="0" w:line="194"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Calculation Period and, if applicable, the Settlement Valuation Period for any Transaction and in connection with the delivery of any Alternative Delivery Units for any Transaction, Dealer (or its agent or affiliate) may effect transactions in Shares in connection with such Transaction. The timing of such transactions by Dealer, the price paid or received per Share pursuant to such transactions and the manner in which such transactions are made, including, without limitation, whether such transactions are made on any securities exchange or privately, shall be within the sole judgment of Dealer. Counterparty acknowledges and agrees that all such transactions shall be made in Dealer’s sole judgment and for Dealer’s own account.</w:t>
      </w:r>
    </w:p>
    <w:p>
      <w:pPr>
        <w:spacing w:after="0" w:line="18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not seek to control or influence Dealer’s decision to make any “purchases or sales” (within the meaning of Rule</w:t>
      </w:r>
    </w:p>
    <w:p>
      <w:pPr>
        <w:spacing w:after="0" w:line="27"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10b5-1(c)(1)(i)(B)(3)) under any Transaction entered into under this Master Confirmation, including, without limitation, Dealer’s decision to enter into any hedging transactions. Counterparty represents and warrants that it has consulted with its own advisors as to the legal aspects of its adoption and implementation of this Master Confirmation and each Supplemental Confirmation under Rule 10b5-1.</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8" w:name="page19"/>
    <w:bookmarkEnd w:id="18"/>
    <w:p>
      <w:pPr>
        <w:ind w:left="4" w:right="140" w:firstLine="436"/>
        <w:spacing w:after="0" w:line="276" w:lineRule="auto"/>
        <w:tabs>
          <w:tab w:leader="none" w:pos="69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Counterparty acknowledges and agrees that any amendment, modification, waiver or termination of this Master Confirmation or the relevant Supplemental Confirmation must be effected in accordance with the requirements for the amendment or termination of a “plan” as defined in Rule</w:t>
      </w:r>
    </w:p>
    <w:p>
      <w:pPr>
        <w:jc w:val="both"/>
        <w:ind w:left="4" w:right="1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10b5-1(c). Without limiting the generality of the foregoing, any such amendment, modification, waiver or termination shall be made in good faith and not as part of a plan or scheme to evade the prohibitions of Rule 10b-5, and no such amendment, modification, waiver or termination shall be made at any time at which Counterparty is aware of any material non-public information regarding Counterparty or the Shares.</w:t>
      </w:r>
    </w:p>
    <w:p>
      <w:pPr>
        <w:spacing w:after="0" w:line="185"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(or any “affiliated purchaser” as defined in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shall not, without the prior written consent of Dealer, directly or indirectly purchase any Shares (including by means of a derivative instrument) or listed contracts on the Shares (including, without limitation, any Rule 10b-18 purchases of blocks (as defined in Rule 10b-18)) during any Relevant Period or, if applicable, any Settlement Valuation Period or any Seller Termination Purchase Period, except pursuant to any Other Specified Repurchase Agreement. Nothing herein shall (i) limit Counterparty’s ability, pursuant to its employee incentive plans, to re-acquire Shares in connection with the related equity transactions, (ii) limit Counterparty’s ability to withhold shares to cover tax liabilities associated with such equity transactions or (iii) limit Counterparty’s ability to grant stock, restricted stock units and options to “affiliated purchasers” (as defined in Rule 10b-18) or the ability of such affiliated purchasers to acquire such stock, restricted stock units or options, in connection with the Counterparty’s compensation policies for directors, officers and employees and in connection with such purchase Counterparty will be deemed to represent to Dealer that such purchase does not constitute a “Rule 10b-18 Purchase” (as defined in Rule 10b-18).</w:t>
      </w:r>
    </w:p>
    <w:p>
      <w:pPr>
        <w:spacing w:after="0" w:line="189"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Relevant Period, any Settlement Valuation Period and any Seller Termination Purchase Period for any Transaction, Dealer shall, or, in the case of purchases made by its affiliate, shall cause such affiliate to, use good faith, commercially reasonable efforts to effect any purchases of Shares made by Dealer or any of its affiliates in connection with such Transaction entered into under this Master Confirmation (other than purchases made by Dealer or any affiliate thereof as part of its dynamic adjustment of its hedge of the options, including the duration option, embedded in such Transaction) in a manner that, if such purchases were made by Counterparty, would meet the requirements of paragraphs (b)(1), (2), (3) and (4) of Rule 10b-18 (taking into account any applicable Securities and Exchange Commission or the staff of the Securities and Exchange Commission no-action letters or interpretations as appropriate and subject to any delays between execution and reporting of a trade of the Shares on the applicable securities exchange or quotation system and other circumstances reasonably beyond Dealer’s or such affiliate’s control). Notwithstanding the foregoing, Dealer shall not be responsible for any failure to comply with (i) paragraph (b)(1) of Rule 10b-18 to the extent that Counterparty has failed to comply with Section 8(a) hereof or (ii) paragraph (b)(3) of Rule 10b-18 that would not have resulted if (i) a bid that was actually entered or deemed to be entered by or on behalf of Counterparty had instead been an “independent bid” for purposes of paragraph (b)(3) of Rule 10b-18, or (ii) a transaction that was actually executed or deemed to be executed by or on behalf of Counterparty had instead been an “independent transaction” within the meaning of paragraph (b)(3) of Rule 10b-18.</w:t>
      </w:r>
    </w:p>
    <w:p>
      <w:pPr>
        <w:spacing w:after="0" w:line="1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Provisions for Merger Transactions</w:t>
      </w:r>
      <w:r>
        <w:rPr>
          <w:rFonts w:ascii="Times New Roman" w:cs="Times New Roman" w:eastAsia="Times New Roman" w:hAnsi="Times New Roman"/>
          <w:sz w:val="18"/>
          <w:szCs w:val="18"/>
          <w:color w:val="auto"/>
        </w:rPr>
        <w:t>. Notwithstanding anything to the contrary herein or in the Equity Definitions:</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that it:</w:t>
      </w:r>
    </w:p>
    <w:p>
      <w:pPr>
        <w:spacing w:after="0" w:line="225" w:lineRule="exact"/>
        <w:rPr>
          <w:sz w:val="20"/>
          <w:szCs w:val="20"/>
          <w:color w:val="auto"/>
        </w:rPr>
      </w:pPr>
    </w:p>
    <w:p>
      <w:pPr>
        <w:ind w:left="4" w:right="40" w:firstLine="436"/>
        <w:spacing w:after="0" w:line="258" w:lineRule="auto"/>
        <w:tabs>
          <w:tab w:leader="none" w:pos="6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during the period commencing on the Trade Date for any Transaction through the end of the Relevant Period or, if applicable, the later of the last day of the Settlement Valuation Period and the last day of the Seller Termination Purchase Period for such Transaction make, or permit to be made (to the extent within Counterparty’s control and after using commercially reasonable efforts), any public announcement (as defined in Rule 165(f) under the Securities Act) of any Merger Transaction (a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unless such Public Announcement is made prior to the opening or after the close of the regular trading session on the Exchange for the Shares;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19" w:name="page20"/>
    <w:bookmarkEnd w:id="19"/>
    <w:p>
      <w:pPr>
        <w:ind w:left="444" w:right="80" w:firstLine="419"/>
        <w:spacing w:after="0" w:line="266" w:lineRule="auto"/>
        <w:tabs>
          <w:tab w:leader="none" w:pos="113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any Public Announcement that is within Counterparty’s control, shall promptly (but in any event prior to the next opening of the regular trading session on the Exchange) notify Dealer following any such Public Announcement that such Public Announcement has been made; and</w:t>
      </w:r>
    </w:p>
    <w:p>
      <w:pPr>
        <w:spacing w:after="0" w:line="67" w:lineRule="exact"/>
        <w:rPr>
          <w:rFonts w:ascii="Times New Roman" w:cs="Times New Roman" w:eastAsia="Times New Roman" w:hAnsi="Times New Roman"/>
          <w:sz w:val="18"/>
          <w:szCs w:val="18"/>
          <w:color w:val="auto"/>
        </w:rPr>
      </w:pPr>
    </w:p>
    <w:p>
      <w:pPr>
        <w:ind w:left="444" w:right="20" w:firstLine="419"/>
        <w:spacing w:after="0" w:line="255" w:lineRule="auto"/>
        <w:tabs>
          <w:tab w:leader="none" w:pos="118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date of any Public Announcement that were not effected through Dealer or its affiliates and (ii) the number of Shares purchased pursuant to the proviso in Rule 10b-18(b)(4) under the Exchange Act for the three full calendar months preceding the date of such Public Announcement. Such written notice shall be deemed to be a certification by Counterparty to Dealer that such information is true and correct. In addition, Counterparty shall promptly notify Dealer of the earlier to occur of the completion of the relevant Merger Transaction and the completion of the vote by target shareholders.</w:t>
      </w:r>
    </w:p>
    <w:p>
      <w:pPr>
        <w:spacing w:after="0" w:line="188"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that a Public Announcement or delivery of a notice with respect thereto may cause the terms of any Transaction to be adjusted. Accordingly, Counterparty acknowledges that its delivery of such notice must comply with the standards set forth in Section 7 above.</w:t>
      </w:r>
    </w:p>
    <w:p>
      <w:pPr>
        <w:spacing w:after="0" w:line="161" w:lineRule="exact"/>
        <w:rPr>
          <w:rFonts w:ascii="Times New Roman" w:cs="Times New Roman" w:eastAsia="Times New Roman" w:hAnsi="Times New Roman"/>
          <w:sz w:val="18"/>
          <w:szCs w:val="18"/>
          <w:color w:val="auto"/>
        </w:rPr>
      </w:pPr>
    </w:p>
    <w:p>
      <w:pPr>
        <w:ind w:left="4" w:right="200" w:firstLine="436"/>
        <w:spacing w:after="0" w:line="258" w:lineRule="auto"/>
        <w:tabs>
          <w:tab w:leader="none" w:pos="6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Public Announcement (whether made by Counterparty or a third party), the Calculation Agent shall in its good faith, commercially reasonable discretion make adjustments to the terms of any Transaction, including, without limitation, the Scheduled Termination Date or the Forward Price Adjustment Amount, to account for the economic effect of the Public Announcement on the theoretical value of such Transaction (including without limitation any change in volatility, stock loan rate or liquidity relevant to the Shares or to such Transaction), and/or suspend the Calculation Period and/or any Settlement Valuation Period.</w:t>
      </w:r>
    </w:p>
    <w:p>
      <w:pPr>
        <w:spacing w:after="0" w:line="179"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means any merger, acquisition or similar transaction involving a recapitalization as contemplated by Rule 10b-18(a)(13)(iv) under the Exchange Act, other than any such transaction in which the consideration consists solely of cash and there is no valuation period.</w:t>
      </w:r>
    </w:p>
    <w:p>
      <w:pPr>
        <w:spacing w:after="0" w:line="175" w:lineRule="exact"/>
        <w:rPr>
          <w:sz w:val="20"/>
          <w:szCs w:val="20"/>
          <w:color w:val="auto"/>
        </w:rPr>
      </w:pPr>
    </w:p>
    <w:p>
      <w:pPr>
        <w:ind w:left="4" w:right="80" w:hanging="4"/>
        <w:spacing w:after="0" w:line="255" w:lineRule="auto"/>
        <w:tabs>
          <w:tab w:leader="none" w:pos="2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Provisions for Acquisition Transaction Announcements</w:t>
      </w:r>
      <w:r>
        <w:rPr>
          <w:rFonts w:ascii="Times New Roman" w:cs="Times New Roman" w:eastAsia="Times New Roman" w:hAnsi="Times New Roman"/>
          <w:sz w:val="18"/>
          <w:szCs w:val="18"/>
          <w:color w:val="auto"/>
        </w:rPr>
        <w:t>. (a) If an Acquisition Transaction Announcement occurs on or prior to the Settlement Date for any Transaction, then the Calculation Agent shall make such adjustments to the exercise, settlement, payment or any other terms of such Transaction as the Calculation Agent determines appropriate in its good faith, commercially reasonable discretion (including, without limitation and for the avoidance of doubt, adjustments that would allow the Number of Shares to be Delivered to be less than zero), at such time or at multiple times as the Calculation Agent determines appropriate in its good faith, commercially reasonable discretion, to account for the economic effect on such Transaction of such event (including adjustments to account for changes in volatility, expected dividends, stock loan rate, value of any commercially reasonable Hedge Positions in connection with such Transaction and liquidity relevant to the Shares or to such Transaction).</w:t>
      </w:r>
    </w:p>
    <w:p>
      <w:pPr>
        <w:spacing w:after="0" w:line="184"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 Announcement</w:t>
      </w:r>
      <w:r>
        <w:rPr>
          <w:rFonts w:ascii="Times New Roman" w:cs="Times New Roman" w:eastAsia="Times New Roman" w:hAnsi="Times New Roman"/>
          <w:sz w:val="18"/>
          <w:szCs w:val="18"/>
          <w:color w:val="auto"/>
        </w:rPr>
        <w:t>” means (i) the announcement of an Acquisition Transaction by Counterparty or any of its subsidiaries or any other person that is a party to such Acquisition Transaction, (ii) an announcement that Counterparty or any of its subsidiaries has entered into an agreement, a letter of intent or an understanding that is reasonably likely to result in an Acquisition Transaction by Counterparty or any of its subsidiaries or any other party that is a party to such agreement or letter of intent, (iii) the announcement by Counterparty of the intention to solicit or enter into, or to explore strategic alternatives or other similar undertaking that in the Calculation Agent’s good faith, commercially reasonable discretion may include, an Acquisition Transaction, (iv) any other announcement by Counterparty that, if consummated, is reasonably likely to result in an Acquisition Transaction or (v) any announcement of any change or amendment to any previous Acquisition Transaction Announcement (including any announcement of the abandonment of any such previously announced Acquisition Transaction, agreement, letter of intent, understanding or intention).</w:t>
      </w:r>
    </w:p>
    <w:p>
      <w:pPr>
        <w:spacing w:after="0" w:line="188" w:lineRule="exact"/>
        <w:rPr>
          <w:rFonts w:ascii="Times New Roman" w:cs="Times New Roman" w:eastAsia="Times New Roman" w:hAnsi="Times New Roman"/>
          <w:sz w:val="18"/>
          <w:szCs w:val="18"/>
          <w:color w:val="auto"/>
        </w:rPr>
      </w:pPr>
    </w:p>
    <w:p>
      <w:pPr>
        <w:jc w:val="both"/>
        <w:ind w:left="4" w:right="60" w:firstLine="436"/>
        <w:spacing w:after="0" w:line="262" w:lineRule="auto"/>
        <w:tabs>
          <w:tab w:leader="none" w:pos="6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(i) any Merger Event (for purposes of this definition the definition of Merger Event shall be read with the references therein to “100%” being replaced by “30%” and without reference to the clause beginning immediately following the definition of Reverse Merger therein to the end of such definition), Tender Offer or Merger Transaction or any other transaction involving the merger of Counterparty with or into any third party, (ii) the sale or transfer of all or substantially all of the assets of Counterparty to a person or</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20" w:name="page21"/>
    <w:bookmarkEnd w:id="20"/>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other than Counterparty or a subsidiary of Counterparty, (iii) a recapitalization, reclassification, binding share exchange or other similar transaction with respect to Counterparty, (iv) any acquisition by Counterparty or any of its subsidiaries (other than an acquisition from Counterparty or a subsidiary of Counterparty) where the aggregate consideration transferable by Counterparty or its subsidiaries exceeds 30% of the market capitalization of Counterparty, (v) any lease, exchange, transfer, disposition (including by way of spin-off or distribution) of assets (including any capital stock or other ownership interests in subsidiaries) or other similar event by Counterparty or any of its subsidiaries (other than a lease, exchange, transfer, disposition or similar event between and/or among solely Counterparty and/or one or more subsidiaries of Counterparty) where the aggregate consideration transferable or receivable by or to Counterparty or its subsidiaries exceeds 30% of the market capitalization of Counterparty or (vi) any transaction in which Counterparty or its board of directors has a legal obligation to make a recommendation to its shareholders in respect of such transaction (whether pursuant to Rule 14e-2 under the Exchange Act or otherwise).</w:t>
      </w:r>
    </w:p>
    <w:p>
      <w:pPr>
        <w:spacing w:after="0" w:line="188" w:lineRule="exact"/>
        <w:rPr>
          <w:sz w:val="20"/>
          <w:szCs w:val="20"/>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(a) The parties hereto intend for:</w:t>
      </w:r>
    </w:p>
    <w:p>
      <w:pPr>
        <w:spacing w:after="0" w:line="117" w:lineRule="exact"/>
        <w:rPr>
          <w:rFonts w:ascii="Times New Roman" w:cs="Times New Roman" w:eastAsia="Times New Roman" w:hAnsi="Times New Roman"/>
          <w:sz w:val="18"/>
          <w:szCs w:val="18"/>
          <w:color w:val="auto"/>
        </w:rPr>
      </w:pPr>
    </w:p>
    <w:p>
      <w:pPr>
        <w:jc w:val="both"/>
        <w:ind w:left="444" w:firstLine="419"/>
        <w:spacing w:after="0" w:line="276" w:lineRule="auto"/>
        <w:tabs>
          <w:tab w:leader="none" w:pos="1082"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Transaction to be a “securities contract” as defined in Section 741(7) of the Bankruptcy Code and a “forward contract” as defined in Section 101(25) of the Bankruptcy Code, and the parties hereto to be entitled to the protections afforded by, among other Sections, Sections 362(b)</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 362(b)(27), 362(o), 546(e), 546(j), 555, 556, 560 and 561 of the Bankruptcy Code;</w:t>
      </w:r>
    </w:p>
    <w:p>
      <w:pPr>
        <w:spacing w:after="0" w:line="98" w:lineRule="exact"/>
        <w:rPr>
          <w:rFonts w:ascii="Times New Roman" w:cs="Times New Roman" w:eastAsia="Times New Roman" w:hAnsi="Times New Roman"/>
          <w:sz w:val="17"/>
          <w:szCs w:val="17"/>
          <w:color w:val="auto"/>
        </w:rPr>
      </w:pPr>
    </w:p>
    <w:p>
      <w:pPr>
        <w:ind w:left="1124" w:hanging="261"/>
        <w:spacing w:after="0"/>
        <w:tabs>
          <w:tab w:leader="none" w:pos="112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to be a “master netting agreement” as defined in Section 101(38A) of the Bankruptcy Code;</w:t>
      </w:r>
    </w:p>
    <w:p>
      <w:pPr>
        <w:spacing w:after="0" w:line="117" w:lineRule="exact"/>
        <w:rPr>
          <w:rFonts w:ascii="Times New Roman" w:cs="Times New Roman" w:eastAsia="Times New Roman" w:hAnsi="Times New Roman"/>
          <w:sz w:val="18"/>
          <w:szCs w:val="18"/>
          <w:color w:val="auto"/>
        </w:rPr>
      </w:pPr>
    </w:p>
    <w:p>
      <w:pPr>
        <w:jc w:val="both"/>
        <w:ind w:left="444" w:right="60" w:firstLine="419"/>
        <w:spacing w:after="0" w:line="261" w:lineRule="auto"/>
        <w:tabs>
          <w:tab w:leader="none" w:pos="118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party’s right to liquidate, terminate or accelerate any Transaction, net out or offset termination values or payment amounts, and to exercise any other remedies upon the occurrence of any Event of Default or Termination Event under the Agreement with respect to the other party or any Extraordinary Event that results in the termination or cancellation of any Transaction to constitute a “contractual right” (as defined in the Bankruptcy Code); and</w:t>
      </w:r>
    </w:p>
    <w:p>
      <w:pPr>
        <w:spacing w:after="0" w:line="71" w:lineRule="exact"/>
        <w:rPr>
          <w:rFonts w:ascii="Times New Roman" w:cs="Times New Roman" w:eastAsia="Times New Roman" w:hAnsi="Times New Roman"/>
          <w:sz w:val="18"/>
          <w:szCs w:val="18"/>
          <w:color w:val="auto"/>
        </w:rPr>
      </w:pPr>
    </w:p>
    <w:p>
      <w:pPr>
        <w:ind w:left="444" w:right="460" w:firstLine="419"/>
        <w:spacing w:after="0" w:line="266" w:lineRule="auto"/>
        <w:tabs>
          <w:tab w:leader="none" w:pos="117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under or in connection with each Transaction, all payments for the Shares (including, for the avoidance of doubt, payment of the Prepayment Amount) and the transfer of such Shares to constitute “settlement payments” and “transfers” (as defined in the Bankruptcy Code).</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that:</w:t>
      </w:r>
    </w:p>
    <w:p>
      <w:pPr>
        <w:spacing w:after="0" w:line="117" w:lineRule="exact"/>
        <w:rPr>
          <w:rFonts w:ascii="Times New Roman" w:cs="Times New Roman" w:eastAsia="Times New Roman" w:hAnsi="Times New Roman"/>
          <w:sz w:val="18"/>
          <w:szCs w:val="18"/>
          <w:color w:val="auto"/>
        </w:rPr>
      </w:pPr>
    </w:p>
    <w:p>
      <w:pPr>
        <w:ind w:left="444" w:right="340" w:firstLine="419"/>
        <w:spacing w:after="0" w:line="266" w:lineRule="auto"/>
        <w:tabs>
          <w:tab w:leader="none" w:pos="108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any Transaction, Dealer and its affiliates may buy or sell Shares or other securities or buy or sell options or futures contracts or enter into swaps or other derivative securities in order to establish, adjust or unwind its hedge position with respect to such Transaction;</w:t>
      </w:r>
    </w:p>
    <w:p>
      <w:pPr>
        <w:spacing w:after="0" w:line="67"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13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and its affiliates may also be active in the market for the Shares and derivatives linked to the Shares other than in connection with hedging activities in relation to any Transaction, including acting as agent or as principal and for its own account or on behalf of customers;</w:t>
      </w:r>
    </w:p>
    <w:p>
      <w:pPr>
        <w:spacing w:after="0" w:line="53" w:lineRule="exact"/>
        <w:rPr>
          <w:rFonts w:ascii="Times New Roman" w:cs="Times New Roman" w:eastAsia="Times New Roman" w:hAnsi="Times New Roman"/>
          <w:sz w:val="18"/>
          <w:szCs w:val="18"/>
          <w:color w:val="auto"/>
        </w:rPr>
      </w:pPr>
    </w:p>
    <w:p>
      <w:pPr>
        <w:ind w:left="444" w:right="200" w:firstLine="419"/>
        <w:spacing w:after="0" w:line="266" w:lineRule="auto"/>
        <w:tabs>
          <w:tab w:leader="none" w:pos="118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make its own determination as to whether, when or in what manner any hedging or market activities in Counterparty’s securities shall be conducted and shall do so in a manner that it deems appropriate to hedge its price and market risk with respect to the Forward Price and the VWAP Price;</w:t>
      </w:r>
    </w:p>
    <w:p>
      <w:pPr>
        <w:spacing w:after="0" w:line="67" w:lineRule="exact"/>
        <w:rPr>
          <w:rFonts w:ascii="Times New Roman" w:cs="Times New Roman" w:eastAsia="Times New Roman" w:hAnsi="Times New Roman"/>
          <w:sz w:val="18"/>
          <w:szCs w:val="18"/>
          <w:color w:val="auto"/>
        </w:rPr>
      </w:pPr>
    </w:p>
    <w:p>
      <w:pPr>
        <w:ind w:left="444" w:right="280" w:firstLine="419"/>
        <w:spacing w:after="0" w:line="282" w:lineRule="auto"/>
        <w:tabs>
          <w:tab w:leader="none" w:pos="117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Dealer and its affiliates with respect to the Shares may affect the market price and volatility of the Shares, as well as the Forward Price, VWAP Price and Settlement Price, each in a manner that may be adverse to Counterparty; and</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2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is a derivatives transaction in which it has granted Dealer an option; Dealer may purchase shares for its own account at an average price that may be greater than, or less than, the price paid by Counterparty under the terms of the related Transaction.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1" w:name="page22"/>
    <w:bookmarkEnd w:id="21"/>
    <w:p>
      <w:pPr>
        <w:ind w:left="4" w:right="140" w:hanging="4"/>
        <w:spacing w:after="0" w:line="282"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Support Documents</w:t>
      </w:r>
      <w:r>
        <w:rPr>
          <w:rFonts w:ascii="Times New Roman" w:cs="Times New Roman" w:eastAsia="Times New Roman" w:hAnsi="Times New Roman"/>
          <w:sz w:val="18"/>
          <w:szCs w:val="18"/>
          <w:color w:val="auto"/>
        </w:rPr>
        <w:t>. The parties hereto acknowledge that no Transaction hereunder is secured by any collateral that would otherwise secure the obligations of Counterparty herein or pursuant to the Agreement.</w:t>
      </w:r>
    </w:p>
    <w:p>
      <w:pPr>
        <w:spacing w:after="0" w:line="161" w:lineRule="exact"/>
        <w:rPr>
          <w:rFonts w:ascii="Times New Roman" w:cs="Times New Roman" w:eastAsia="Times New Roman" w:hAnsi="Times New Roman"/>
          <w:sz w:val="18"/>
          <w:szCs w:val="18"/>
          <w:color w:val="auto"/>
        </w:rPr>
      </w:pPr>
    </w:p>
    <w:p>
      <w:pPr>
        <w:ind w:left="4" w:right="20" w:hanging="4"/>
        <w:spacing w:after="0" w:line="25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Netting or Set-off</w:t>
      </w:r>
      <w:r>
        <w:rPr>
          <w:rFonts w:ascii="Times New Roman" w:cs="Times New Roman" w:eastAsia="Times New Roman" w:hAnsi="Times New Roman"/>
          <w:sz w:val="18"/>
          <w:szCs w:val="18"/>
          <w:color w:val="auto"/>
        </w:rPr>
        <w:t>. Obligations under any Transaction shall not be netted, recouped or set off (including pursuant to Section 6 of the Agreement) against any other obligations of the parties, whether arising under the Agreement, this Master Confirmation or any Supplemental Confirmation, or under any other agreement between the parties hereto, by operation of law or otherwise, and no other obligations of the parties shall be netted, recouped or set off (including pursuant to Section 6 of the Agreement) against obligations under any Transaction, whether arising under the Agreement, this Master Confirmation or any Supplemental Confirmation, or under any other agreement between the parties hereto, by operation of law or otherwise, and each party hereby waives any such right of setoff, netting or recoupment.</w:t>
      </w:r>
    </w:p>
    <w:p>
      <w:pPr>
        <w:spacing w:after="0" w:line="18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Notwithstanding anything to the contrary herein, Dealer may, by prior notice to Counterparty, satisfy its obligation to deliver any Shares or other securities on any date due (an “</w:t>
      </w:r>
      <w:r>
        <w:rPr>
          <w:rFonts w:ascii="Times New Roman" w:cs="Times New Roman" w:eastAsia="Times New Roman" w:hAnsi="Times New Roman"/>
          <w:sz w:val="18"/>
          <w:szCs w:val="18"/>
          <w:b w:val="1"/>
          <w:bCs w:val="1"/>
          <w:color w:val="auto"/>
        </w:rPr>
        <w:t>Original Delivery Date</w:t>
      </w:r>
      <w:r>
        <w:rPr>
          <w:rFonts w:ascii="Times New Roman" w:cs="Times New Roman" w:eastAsia="Times New Roman" w:hAnsi="Times New Roman"/>
          <w:sz w:val="18"/>
          <w:szCs w:val="18"/>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79" w:lineRule="exact"/>
        <w:rPr>
          <w:rFonts w:ascii="Times New Roman" w:cs="Times New Roman" w:eastAsia="Times New Roman" w:hAnsi="Times New Roman"/>
          <w:sz w:val="18"/>
          <w:szCs w:val="18"/>
          <w:color w:val="auto"/>
        </w:rPr>
      </w:pPr>
    </w:p>
    <w:p>
      <w:pPr>
        <w:ind w:left="4" w:hanging="4"/>
        <w:spacing w:after="0" w:line="251"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Termination</w:t>
      </w:r>
      <w:r>
        <w:rPr>
          <w:rFonts w:ascii="Times New Roman" w:cs="Times New Roman" w:eastAsia="Times New Roman" w:hAnsi="Times New Roman"/>
          <w:sz w:val="18"/>
          <w:szCs w:val="18"/>
          <w:color w:val="auto"/>
        </w:rPr>
        <w:t>. In the event that (i) an Early Termination Date (whether as a result of an Event of Default or a Termination Event) occurs or is designated with respect to any Transaction or (ii) any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if either party would owe any amount to the other 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Amount</w:t>
      </w:r>
      <w:r>
        <w:rPr>
          <w:rFonts w:ascii="Times New Roman" w:cs="Times New Roman" w:eastAsia="Times New Roman" w:hAnsi="Times New Roman"/>
          <w:sz w:val="18"/>
          <w:szCs w:val="18"/>
          <w:color w:val="auto"/>
        </w:rPr>
        <w:t>”), then, in lieu of any payment of such Payment Amount, unless Counterparty makes an election to the contrary no later than the Exchange Business Day immediately following the Early Termination Date or the Exchange Business Day immediately following the date on which such Transaction is terminated or cancelled, Counterparty or Dealer, as the case may be, shall deliver to the other party a number of Shares (or, in the case of a Nationalization, Insolvency or Merger Event, a number of units, each comprising the number or amount of the securities or property that a hypothetical holder of one Share would receive in such Nationalization, Insolvency or Merger Event, as the case may be (each such unit, an “</w:t>
      </w:r>
      <w:r>
        <w:rPr>
          <w:rFonts w:ascii="Times New Roman" w:cs="Times New Roman" w:eastAsia="Times New Roman" w:hAnsi="Times New Roman"/>
          <w:sz w:val="18"/>
          <w:szCs w:val="18"/>
          <w:b w:val="1"/>
          <w:bCs w:val="1"/>
          <w:color w:val="auto"/>
        </w:rPr>
        <w:t>Alternative Delivery Unit</w:t>
      </w:r>
      <w:r>
        <w:rPr>
          <w:rFonts w:ascii="Times New Roman" w:cs="Times New Roman" w:eastAsia="Times New Roman" w:hAnsi="Times New Roman"/>
          <w:sz w:val="18"/>
          <w:szCs w:val="18"/>
          <w:color w:val="auto"/>
        </w:rPr>
        <w:t xml:space="preserve">”)), with a value equal to the Payment Amount, as determined by the Calculation Agent over a commercially reasonable period of time (and the parties agree that, in making such determination of value, the Calculation Agent may take into account a number of factors, including the market price of the Shares or Alternative Delivery Units on the Early Termination Date or the date of early cancellation or termination, as the case may be, and, if such delivery is made by Dealer, the prices at which Dealer purchases Shares or Alternative Delivery Units on any Calculation Date in a commercially reasonable manner to unwind a commercially reasonable hedge position to fulfill its delivery obligations under this Section 15 (provided that such prices reflect the then-prevailing market prices of Shares or Alternative Delivery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determining the composition of any Alternative Delivery Unit, if the relevant Nationalization, Insolvency or Merger Event involves a choice of consideration to be received by holders, such holder shall be deemed to have elected to receive the maximum possible amount of cash;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Counterparty acknowledges its responsibilities under applicable securities laws, and in particular Sections 9 and 10(b) of the Exchange Act, and the rules and regulations promulgated thereunder, in connection with any election by Counterparty that the provisions of this Section 15 providing for the delivery of Shares or Alternative Delivery Units, as the case may be, shall not apply. If such delivery is made by Counterparty, paragraphs 2 through 7 of Annex A shall apply as if such delivery were a settlement of the Transaction to which Net Share Settlement applied, the Cash Settlement Payment Date were the Early Termination Date or the date of early cancellation or termination, as the case may be, and the Forward Cash Settlement Amount were zero (0)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Payment Amount owed by Counterparty. For the avoidance of doubt, if Counterparty validly elects for the provisions of this Section 15 relating to the delivery of Shares or Alternative Delivery Units, as the case may be, not to apply to any Payment Amount, the provisions of Article 12 of the Equity Definitions, or the provisions of Section 6(d)(ii) of the Agreement, as the case may be, shall apply. If delivery of Shares or Alternative Delivery Units, as the case may be, is to be made by Dealer pursuant to this Section 15, the period during which Dealer purchases Shares or Alternative Delivery Units to fulfill its delivery obligations under this Section 15 shall be referred to as the “</w:t>
      </w:r>
      <w:r>
        <w:rPr>
          <w:rFonts w:ascii="Times New Roman" w:cs="Times New Roman" w:eastAsia="Times New Roman" w:hAnsi="Times New Roman"/>
          <w:sz w:val="18"/>
          <w:szCs w:val="18"/>
          <w:b w:val="1"/>
          <w:bCs w:val="1"/>
          <w:color w:val="auto"/>
        </w:rPr>
        <w:t>Seller Termination Purchase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hereby agree that such purchases shall be made solely on Calculation Dates for the relevant Transaction.</w:t>
      </w:r>
    </w:p>
    <w:p>
      <w:pPr>
        <w:spacing w:after="0" w:line="13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22" w:name="page23"/>
    <w:bookmarkEnd w:id="22"/>
    <w:p>
      <w:pPr>
        <w:ind w:left="4" w:right="20" w:hanging="4"/>
        <w:spacing w:after="0" w:line="253"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Calculations and Payment Date upon Early Termination</w:t>
      </w:r>
      <w:r>
        <w:rPr>
          <w:rFonts w:ascii="Times New Roman" w:cs="Times New Roman" w:eastAsia="Times New Roman" w:hAnsi="Times New Roman"/>
          <w:sz w:val="18"/>
          <w:szCs w:val="18"/>
          <w:color w:val="auto"/>
        </w:rPr>
        <w:t xml:space="preserve">. The parties acknowledge and agree that in calculating (a) the Close-Out Amount pursuant to Section 6 of the Agreement and (b) the amount due upon cancellation or termination of any Transaction (whether in whole or in part) pursuant to Article 12 of the Equity Definitions as a result of an Extraordinary Event, Dealer may in a commercially and reasonable manner (but need not) determine such amount based on (i) expected losses or gains assuming a commercially reasonable (including, without limitation, with regard to reasonable legal and regulatory guidelines and taking into account the existence of any Other Specified Repurchase Transaction) risk bid were used to determine loss or gain or (ii) the price at which one or more market participants would offer to sell to the Seller a block of Shares equal in number to the Seller’s hedge position in relation to such Transaction. Notwithstanding anything to the contrary in Section 6(d)(ii) of the Agreement or Article 12 of the Equity Definitions, all amounts calculated as being due in respect of an Early Termination Date under Section 6(e) of the Agreement or upon cancellation or termination of the relevant Transaction under Article 12 of the Equity Definitions will be payable on the day that notice of the amount payable is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elects to receive or deliver Shares or Alternative Delivery Units in accordance with Section 15, such Shares or Alternative Delivery Units shall be delivered on a date selected by the Calculation Agent as promptly as practicable thereafter.</w:t>
      </w:r>
    </w:p>
    <w:p>
      <w:pPr>
        <w:spacing w:after="0" w:line="191" w:lineRule="exact"/>
        <w:rPr>
          <w:rFonts w:ascii="Times New Roman" w:cs="Times New Roman" w:eastAsia="Times New Roman" w:hAnsi="Times New Roman"/>
          <w:sz w:val="18"/>
          <w:szCs w:val="18"/>
          <w:color w:val="auto"/>
        </w:rPr>
      </w:pPr>
    </w:p>
    <w:p>
      <w:pPr>
        <w:ind w:left="4" w:right="60" w:hanging="4"/>
        <w:spacing w:after="0" w:line="261"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 Delivery</w:t>
      </w:r>
      <w:r>
        <w:rPr>
          <w:rFonts w:ascii="Times New Roman" w:cs="Times New Roman" w:eastAsia="Times New Roman" w:hAnsi="Times New Roman"/>
          <w:sz w:val="18"/>
          <w:szCs w:val="18"/>
          <w:color w:val="auto"/>
        </w:rPr>
        <w:t>. Notwithstanding anything to the contrary in this Master Confirmation, in no event shall Dealer be required to deliver any Shares, or any Alternative Delivery Units, in respect of any Transaction in excess of the Maximum Number of Shares set forth in the Supplemental Confirmation for such Transaction. Notwithstanding any other provision of this Master Confirmation or any Supplemental Confirmation, in no event shall the Maximum Number of Shares for any Transaction be increased, whether in connection with any adjustment to such Transaction or otherwise.</w:t>
      </w:r>
    </w:p>
    <w:p>
      <w:pPr>
        <w:spacing w:after="0" w:line="179" w:lineRule="exact"/>
        <w:rPr>
          <w:rFonts w:ascii="Times New Roman" w:cs="Times New Roman" w:eastAsia="Times New Roman" w:hAnsi="Times New Roman"/>
          <w:sz w:val="18"/>
          <w:szCs w:val="18"/>
          <w:color w:val="auto"/>
        </w:rPr>
      </w:pPr>
    </w:p>
    <w:p>
      <w:pPr>
        <w:ind w:left="4" w:hanging="4"/>
        <w:spacing w:after="0" w:line="261"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Price</w:t>
      </w:r>
      <w:r>
        <w:rPr>
          <w:rFonts w:ascii="Times New Roman" w:cs="Times New Roman" w:eastAsia="Times New Roman" w:hAnsi="Times New Roman"/>
          <w:sz w:val="18"/>
          <w:szCs w:val="18"/>
          <w:color w:val="auto"/>
        </w:rPr>
        <w:t>. Notwithstanding anything to the contrary in Section 6 of the Agreement, if a Termination Price is specified in any Supplemental Confirmation, then if the closing price per Share on the Exchange for any Calculation Date is below such Termination Price, Dealer may elect no later than such Calculation Date that an Additional Termination Event shall have occurred with Counterparty as the sole Affected Party and the Transaction to which such Supplemental Confirmation relates as the Affected Transaction.</w:t>
      </w:r>
    </w:p>
    <w:p>
      <w:pPr>
        <w:spacing w:after="0" w:line="179" w:lineRule="exact"/>
        <w:rPr>
          <w:rFonts w:ascii="Times New Roman" w:cs="Times New Roman" w:eastAsia="Times New Roman" w:hAnsi="Times New Roman"/>
          <w:sz w:val="18"/>
          <w:szCs w:val="18"/>
          <w:color w:val="auto"/>
        </w:rPr>
      </w:pPr>
    </w:p>
    <w:p>
      <w:pPr>
        <w:ind w:left="4" w:hanging="4"/>
        <w:spacing w:after="0" w:line="252"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Ownership</w:t>
      </w:r>
      <w:r>
        <w:rPr>
          <w:rFonts w:ascii="Times New Roman" w:cs="Times New Roman" w:eastAsia="Times New Roman" w:hAnsi="Times New Roman"/>
          <w:sz w:val="18"/>
          <w:szCs w:val="18"/>
          <w:color w:val="auto"/>
        </w:rPr>
        <w:t>. For any Transaction, at any time at which (1) the Equity Percentage exceeds 9.0% or (2) Dealer, Dealer Group (as defined below)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Section 203 of the Delaware General Corporation Law or organizational documents or contracts of Counterparty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but excluding reporting obligations arising under Section 13 of the Exchange Act as in effect on the Trade Date for such Transaction) of a Dealer Person under Applicable Restrictions and with respect to which such requirements have not been met or the relevant approval has not been received, or that would have any other adverse effect on a Dealer Person, under Applicable Restrictions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(either such condition described in clause (1) or (2),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may designate any Scheduled Trading Day as an Early Termination Date with respect to a portion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of such Transaction, such that an Excess Ownership Position would no longer exist following the resulting partial termination of such Transaction. The “</w:t>
      </w:r>
      <w:r>
        <w:rPr>
          <w:rFonts w:ascii="Times New Roman" w:cs="Times New Roman" w:eastAsia="Times New Roman" w:hAnsi="Times New Roman"/>
          <w:sz w:val="18"/>
          <w:szCs w:val="18"/>
          <w:b w:val="1"/>
          <w:bCs w:val="1"/>
          <w:color w:val="auto"/>
        </w:rPr>
        <w:t>Equity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(collectively, “</w:t>
      </w:r>
      <w:r>
        <w:rPr>
          <w:rFonts w:ascii="Times New Roman" w:cs="Times New Roman" w:eastAsia="Times New Roman" w:hAnsi="Times New Roman"/>
          <w:sz w:val="18"/>
          <w:szCs w:val="18"/>
          <w:b w:val="1"/>
          <w:bCs w:val="1"/>
          <w:color w:val="auto"/>
        </w:rPr>
        <w:t>Dealer Group</w:t>
      </w:r>
      <w:r>
        <w:rPr>
          <w:rFonts w:ascii="Times New Roman" w:cs="Times New Roman" w:eastAsia="Times New Roman" w:hAnsi="Times New Roman"/>
          <w:sz w:val="18"/>
          <w:szCs w:val="18"/>
          <w:color w:val="auto"/>
        </w:rPr>
        <w: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3" w:name="page24"/>
    <w:bookmarkEnd w:id="23"/>
    <w:p>
      <w:pPr>
        <w:ind w:left="4" w:right="100" w:hanging="4"/>
        <w:spacing w:after="0" w:line="277" w:lineRule="auto"/>
        <w:tabs>
          <w:tab w:leader="none" w:pos="27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Cash</w:t>
      </w:r>
      <w:r>
        <w:rPr>
          <w:rFonts w:ascii="Times New Roman" w:cs="Times New Roman" w:eastAsia="Times New Roman" w:hAnsi="Times New Roman"/>
          <w:sz w:val="17"/>
          <w:szCs w:val="17"/>
          <w:color w:val="auto"/>
        </w:rPr>
        <w:t xml:space="preserve">. For the avoidance of doubt, nothing in this Master Confirmation shall be interpreted as requiring Counterparty to deliver cash in respect of the settlement of the Transactions contemplated by this Master Confirmation following payment by Counterparty of the relevant Prepayment Amount, except in circumstances where the required cash settlement thereof is permitted for classification of the contract as equity by ASC 815-40, </w:t>
      </w:r>
      <w:r>
        <w:rPr>
          <w:rFonts w:ascii="Times New Roman" w:cs="Times New Roman" w:eastAsia="Times New Roman" w:hAnsi="Times New Roman"/>
          <w:sz w:val="17"/>
          <w:szCs w:val="17"/>
          <w:i w:val="1"/>
          <w:iCs w:val="1"/>
          <w:color w:val="auto"/>
        </w:rPr>
        <w:t>Derivatives and Hedging – Contracts in Entity’s Own Equity</w:t>
      </w:r>
      <w:r>
        <w:rPr>
          <w:rFonts w:ascii="Times New Roman" w:cs="Times New Roman" w:eastAsia="Times New Roman" w:hAnsi="Times New Roman"/>
          <w:sz w:val="17"/>
          <w:szCs w:val="17"/>
          <w:color w:val="auto"/>
        </w:rPr>
        <w:t>, as in effect on the relevant Trade Date (including, without limitation, where Counterparty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 elects to deliver cash or fails timely to elect to deliver Shares or Alternative Delivery Units in respect of the settlement of such Transactions).</w:t>
      </w:r>
    </w:p>
    <w:p>
      <w:pPr>
        <w:spacing w:after="0" w:line="167"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4" w:right="40" w:hanging="4"/>
        <w:spacing w:after="0" w:line="258" w:lineRule="auto"/>
        <w:tabs>
          <w:tab w:leader="none" w:pos="2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 in Bankruptcy</w:t>
      </w:r>
      <w:r>
        <w:rPr>
          <w:rFonts w:ascii="Times New Roman" w:cs="Times New Roman" w:eastAsia="Times New Roman" w:hAnsi="Times New Roman"/>
          <w:sz w:val="18"/>
          <w:szCs w:val="18"/>
          <w:color w:val="auto"/>
        </w:rPr>
        <w:t xml:space="preserve">. Dealer acknowledges and agrees that neither this Master Confirmation nor any Supplemental Confirmation is intended to convey to it rights with respect to the Transactions that are senior to the claims of common stockholders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any Transaction;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any Transaction.</w:t>
      </w:r>
    </w:p>
    <w:p>
      <w:pPr>
        <w:spacing w:after="0" w:line="183" w:lineRule="exact"/>
        <w:rPr>
          <w:rFonts w:ascii="Times New Roman" w:cs="Times New Roman" w:eastAsia="Times New Roman" w:hAnsi="Times New Roman"/>
          <w:sz w:val="18"/>
          <w:szCs w:val="18"/>
          <w:color w:val="auto"/>
        </w:rPr>
      </w:pPr>
    </w:p>
    <w:p>
      <w:pPr>
        <w:ind w:left="4" w:right="100" w:hanging="4"/>
        <w:spacing w:after="0" w:line="277" w:lineRule="auto"/>
        <w:tabs>
          <w:tab w:leader="none" w:pos="27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 Non-confidentiality</w:t>
      </w:r>
      <w:r>
        <w:rPr>
          <w:rFonts w:ascii="Times New Roman" w:cs="Times New Roman" w:eastAsia="Times New Roman" w:hAnsi="Times New Roman"/>
          <w:sz w:val="17"/>
          <w:szCs w:val="17"/>
          <w:color w:val="auto"/>
        </w:rPr>
        <w:t>. Counterparty shall not, directly or indirectly, communicate any material non-public information relating to Counterparty or the Shares (including, without limitation, any notices of a Public Announcement) to any employee of Dealer, other than any designee confirmed in writing by Dealer. Dealer and Counterparty hereby acknowledge and agree that, subject to the immediately preceding sentence, each is authorized to disclose every aspect of this Master Confirmation, any Supplemental Confirmation and the transactions contemplated hereby and thereby to any and all persons, without limitation of any kind, and there are no express or implied agreements, arrangements or understandings to the contrary.</w:t>
      </w:r>
    </w:p>
    <w:p>
      <w:pPr>
        <w:spacing w:after="0" w:line="167" w:lineRule="exact"/>
        <w:rPr>
          <w:rFonts w:ascii="Times New Roman" w:cs="Times New Roman" w:eastAsia="Times New Roman" w:hAnsi="Times New Roman"/>
          <w:sz w:val="17"/>
          <w:szCs w:val="17"/>
          <w:color w:val="auto"/>
        </w:rPr>
      </w:pPr>
    </w:p>
    <w:p>
      <w:pPr>
        <w:ind w:left="4" w:right="240" w:hanging="4"/>
        <w:spacing w:after="0" w:line="261" w:lineRule="auto"/>
        <w:tabs>
          <w:tab w:leader="none" w:pos="2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Agreement, this Master Confirmation, each Supplemental Confirmation and all matters arising in connection with the Agreement, this Master Confirmation and each Supplemental Confirmation shall be governed by, and construed and enforced in accordance with, the laws of the State of New York (without reference to its choice of laws doctrine other than Title 14 of Article 5 of the New York General Obligations Law).</w:t>
      </w:r>
    </w:p>
    <w:p>
      <w:pPr>
        <w:spacing w:after="0" w:line="7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3(f) of the Agreement, Dealer represents to Counterparty that it is a domestic corporation for U.S. federal income tax</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left="4" w:right="20" w:firstLine="436"/>
        <w:spacing w:after="0" w:line="276"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Section 4(a) of the Agreement, Dealer agrees to deliver to Counterparty a valid, accurate and complete U.S. Internal Revenue Service Form W-9 (or any successor form) (A) upon execution of this Master Confirmation, (B) promptly upon reasonable demand by Counterparty and</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promptly upon learning that any Form W-9 (or any successor thereto) previously provided by Dealer has become obsolete, invalid or incorrect.</w:t>
      </w:r>
    </w:p>
    <w:p>
      <w:pPr>
        <w:spacing w:after="0" w:line="206" w:lineRule="exact"/>
        <w:rPr>
          <w:rFonts w:ascii="Times New Roman" w:cs="Times New Roman" w:eastAsia="Times New Roman" w:hAnsi="Times New Roman"/>
          <w:sz w:val="17"/>
          <w:szCs w:val="17"/>
          <w:color w:val="auto"/>
        </w:rPr>
      </w:pPr>
    </w:p>
    <w:p>
      <w:pPr>
        <w:ind w:left="684" w:hanging="244"/>
        <w:spacing w:after="0"/>
        <w:tabs>
          <w:tab w:leader="none" w:pos="68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3(f) of the Agreement, Counterparty represents to Dealer that it is a domestic corporation for U.S. federal income tax</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left="4" w:right="80" w:firstLine="436"/>
        <w:spacing w:after="0" w:line="276"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Section 4(a) of the Agreement, Counterparty agrees to deliver to Dealer a valid, accurate and complete U.S. Internal Revenue Service Form W-9 (or any successor form) (A) upon execution of this Master Confirmation, (B) promptly upon reasonable demand by Dealer and</w:t>
      </w:r>
    </w:p>
    <w:p>
      <w:pPr>
        <w:ind w:left="4" w:right="6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promptly upon learning that any Form W-9 (or any successor thereto) previously provided by Counterparty has become obsolete, invalid or incorrect.</w:t>
      </w:r>
    </w:p>
    <w:p>
      <w:pPr>
        <w:spacing w:after="0" w:line="181" w:lineRule="exact"/>
        <w:rPr>
          <w:rFonts w:ascii="Times New Roman" w:cs="Times New Roman" w:eastAsia="Times New Roman" w:hAnsi="Times New Roman"/>
          <w:sz w:val="17"/>
          <w:szCs w:val="17"/>
          <w:color w:val="auto"/>
        </w:rPr>
      </w:pPr>
    </w:p>
    <w:p>
      <w:pPr>
        <w:ind w:left="4" w:firstLine="436"/>
        <w:spacing w:after="0" w:line="254" w:lineRule="auto"/>
        <w:tabs>
          <w:tab w:leader="none" w:pos="6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“Indemnifiable Tax” as defined in Section 14 of the Agreement shall not include (i) any U.S. federal withholding tax imposed or collected pursuant to Sections 1471 through 1474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Withholding Tax</w:t>
      </w:r>
      <w:r>
        <w:rPr>
          <w:rFonts w:ascii="Times New Roman" w:cs="Times New Roman" w:eastAsia="Times New Roman" w:hAnsi="Times New Roman"/>
          <w:sz w:val="18"/>
          <w:szCs w:val="18"/>
          <w:color w:val="auto"/>
        </w:rPr>
        <w:t>”) or (ii) any tax imposed on amounts treated as dividends from sources within the United States under Section 871(m) of the Code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Treasury Regulations or other guidance issued thereunder) (a “</w:t>
      </w:r>
      <w:r>
        <w:rPr>
          <w:rFonts w:ascii="Times New Roman" w:cs="Times New Roman" w:eastAsia="Times New Roman" w:hAnsi="Times New Roman"/>
          <w:sz w:val="18"/>
          <w:szCs w:val="18"/>
          <w:b w:val="1"/>
          <w:bCs w:val="1"/>
          <w:color w:val="auto"/>
        </w:rPr>
        <w:t>Section 871(m) Withholding Tax</w:t>
      </w:r>
      <w:r>
        <w:rPr>
          <w:rFonts w:ascii="Times New Roman" w:cs="Times New Roman" w:eastAsia="Times New Roman" w:hAnsi="Times New Roman"/>
          <w:sz w:val="18"/>
          <w:szCs w:val="18"/>
          <w:color w:val="auto"/>
        </w:rPr>
        <w:t>”). For the avoidance of doubt, a FATCA Withholding Tax and a Section 871(m) Withholding Tax is a Tax the deduction or withholding of which is required by applicable law for the purposes of Section 2(d) of the Agreement.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24" w:name="page25"/>
    <w:bookmarkEnd w:id="24"/>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each Transaction is: [______].</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each Transaction is: 300 Renaissance Center, Detroit, Michigan 48265-3000.</w:t>
      </w:r>
    </w:p>
    <w:p>
      <w:pPr>
        <w:spacing w:after="0" w:line="22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PARTY WAIVES, TO THE FULLEST EXTENT PERMITTED BY APPLICABLE LAW, ANY AND ALL</w:t>
      </w:r>
    </w:p>
    <w:p>
      <w:pPr>
        <w:spacing w:after="0" w:line="31" w:lineRule="exact"/>
        <w:rPr>
          <w:rFonts w:ascii="Times New Roman" w:cs="Times New Roman" w:eastAsia="Times New Roman" w:hAnsi="Times New Roman"/>
          <w:sz w:val="18"/>
          <w:szCs w:val="18"/>
          <w:color w:val="auto"/>
        </w:rPr>
      </w:pPr>
    </w:p>
    <w:p>
      <w:pPr>
        <w:ind w:left="4" w:right="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IT MAY HAVE TO A TRIAL BY JURY IN RESPECT OF ANY SUIT, ACTION OR PROCEEDING ARISING OUT OF OR RELATING TO THE AGREEMENT, THIS MASTER CONFIRMATION, ANY SUPPLEMENTAL CONFIRMATION, ANY TRANSACTION HEREUNDER AND/OR ALL MATTERS ARISING IN CONNECTION WITH THE AGREEMENT, THIS MASTER CONFIRMATION, ANY SUPPLEMENTAL CONFIRMATION AND/OR ANY TRANSACTION HEREUNDER.</w:t>
      </w:r>
    </w:p>
    <w:p>
      <w:pPr>
        <w:spacing w:after="0" w:line="184"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PARTIES HERETO IRREVOCABLY SUBMIT TO THE EXCLUSIVE JURISDICTION OF THE</w:t>
      </w:r>
    </w:p>
    <w:p>
      <w:pPr>
        <w:spacing w:after="0" w:line="31" w:lineRule="exact"/>
        <w:rPr>
          <w:rFonts w:ascii="Times New Roman" w:cs="Times New Roman" w:eastAsia="Times New Roman" w:hAnsi="Times New Roman"/>
          <w:sz w:val="18"/>
          <w:szCs w:val="18"/>
          <w:color w:val="auto"/>
        </w:rPr>
      </w:pPr>
    </w:p>
    <w:p>
      <w:pPr>
        <w:jc w:val="both"/>
        <w:ind w:left="4"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FEDERAL AND STATE COURTS LOCATED IN THE BOROUGH OF MANHATTAN, IN THE CITY OF NEW YORK, IN ANY SUIT OR PROCEEDING ARISING OUT OF OR RELATING TO THE AGREEMENT, THIS MASTER CONFIRMATION, ANY SUPPLEMENTAL CONFIRMATION AND/OR ANY TRANSACTION HEREUNDER.</w:t>
      </w:r>
    </w:p>
    <w:p>
      <w:pPr>
        <w:spacing w:after="0" w:line="185" w:lineRule="exact"/>
        <w:rPr>
          <w:rFonts w:ascii="Times New Roman" w:cs="Times New Roman" w:eastAsia="Times New Roman" w:hAnsi="Times New Roman"/>
          <w:sz w:val="18"/>
          <w:szCs w:val="18"/>
          <w:color w:val="auto"/>
        </w:rPr>
      </w:pPr>
    </w:p>
    <w:p>
      <w:pPr>
        <w:ind w:left="4" w:right="160" w:hanging="4"/>
        <w:spacing w:after="0" w:line="282" w:lineRule="auto"/>
        <w:tabs>
          <w:tab w:leader="none" w:pos="2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Master Confirmation may be executed in any number of counterparts, all of which shall constitute one and the same instrument, and any party hereto may execute this Master Confirmation by signing and delivering one or more counterparts.</w:t>
      </w:r>
    </w:p>
    <w:p>
      <w:pPr>
        <w:spacing w:after="0" w:line="161" w:lineRule="exact"/>
        <w:rPr>
          <w:rFonts w:ascii="Times New Roman" w:cs="Times New Roman" w:eastAsia="Times New Roman" w:hAnsi="Times New Roman"/>
          <w:sz w:val="18"/>
          <w:szCs w:val="18"/>
          <w:color w:val="auto"/>
        </w:rPr>
      </w:pPr>
    </w:p>
    <w:p>
      <w:pPr>
        <w:ind w:left="4" w:right="100" w:hanging="4"/>
        <w:spacing w:after="0" w:line="261" w:lineRule="auto"/>
        <w:tabs>
          <w:tab w:leader="none" w:pos="2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by Dealer</w:t>
      </w:r>
      <w:r>
        <w:rPr>
          <w:rFonts w:ascii="Times New Roman" w:cs="Times New Roman" w:eastAsia="Times New Roman" w:hAnsi="Times New Roman"/>
          <w:sz w:val="18"/>
          <w:szCs w:val="18"/>
          <w:color w:val="auto"/>
        </w:rPr>
        <w:t>. Notwithstanding any other provision in this Master Confirmation to the contrary requiring or allowing Dealer to purchase, sell, receive or deliver any Shares or other securities to or from Counterparty, Dealer may designate any of its U.S. affiliates to purchase, sell, receive or deliver such Shares or other securities and otherwise to perform Dealer obligations in respect of any Transaction hereunder and any such designee may assume such obligations. Dealer shall be discharged of its obligations to Counterparty only to the extent of any such performance.</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[Insert relevant Dealer agency language, if any.]</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[Insert relevant Dealer QFC Stay Rule language, if any.]</w:t>
      </w:r>
    </w:p>
    <w:p>
      <w:pPr>
        <w:spacing w:after="0" w:line="225" w:lineRule="exact"/>
        <w:rPr>
          <w:rFonts w:ascii="Times New Roman" w:cs="Times New Roman" w:eastAsia="Times New Roman" w:hAnsi="Times New Roman"/>
          <w:sz w:val="18"/>
          <w:szCs w:val="18"/>
          <w:color w:val="auto"/>
        </w:rPr>
      </w:pPr>
    </w:p>
    <w:p>
      <w:pPr>
        <w:ind w:left="4" w:hanging="4"/>
        <w:spacing w:after="0" w:line="252" w:lineRule="auto"/>
        <w:tabs>
          <w:tab w:leader="none" w:pos="2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CARES Act.</w:t>
      </w:r>
      <w:r>
        <w:rPr>
          <w:rFonts w:ascii="Times New Roman" w:cs="Times New Roman" w:eastAsia="Times New Roman" w:hAnsi="Times New Roman"/>
          <w:sz w:val="18"/>
          <w:szCs w:val="18"/>
          <w:color w:val="auto"/>
        </w:rPr>
        <w:t xml:space="preserve"> Counterparty represents and warrants that it has not applied, and throughout the term of any Transaction shall not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(howsoever defined) under any program or facility that (a) is established under applicable law (whether in existence as of the Trade Date for such Transaction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may apply for Restricted Financial Assistance if Counterparty either</w:t>
      </w:r>
    </w:p>
    <w:p>
      <w:pPr>
        <w:spacing w:after="0" w:line="6" w:lineRule="exact"/>
        <w:rPr>
          <w:rFonts w:ascii="Times New Roman" w:cs="Times New Roman" w:eastAsia="Times New Roman" w:hAnsi="Times New Roman"/>
          <w:sz w:val="18"/>
          <w:szCs w:val="18"/>
          <w:color w:val="auto"/>
        </w:rPr>
      </w:pPr>
    </w:p>
    <w:p>
      <w:pPr>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determines based on the advice of outside counsel of national standing that the terms of such Transaction would not cause Counterparty to fail to satisfy any condition for application for or receipt or retention of such Restricted Financial Assistance based on the terms of the program or facility as of the date of such advice or (b) delivers to Dealer evidence or other guidance from</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5" w:name="page26"/>
    <w:bookmarkEnd w:id="2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governmental authority with jurisdiction for such program or facility that such Transaction is permitted under such program or facility (either by specific reference to such Transaction or by general reference to transactions with the attributes of such Transaction in all relevant respects). Counterparty further represents and warrants that the Prepayment Amount for any Transaction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for such Transaction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Shares pursuant to any Transaction (either by specific reference thereto or by general reference to transactions with the attributes thereof in all relevant respects).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that the foregoing correctly sets forth the terms of our agreement by executing this Master Confirmation and returning it to us.</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40"/>
          </w:cols>
          <w:pgMar w:left="440" w:top="270" w:right="819" w:bottom="1440" w:gutter="0" w:footer="0" w:header="0"/>
        </w:sectPr>
      </w:pPr>
    </w:p>
    <w:bookmarkStart w:id="27" w:name="page28"/>
    <w:bookmarkEnd w:id="27"/>
    <w:p>
      <w:pPr>
        <w:ind w:left="98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SUPPLEMENTAL CONFIRMATION</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Dealer/Dealer’s Address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604"/>
        <w:spacing w:after="0"/>
        <w:rPr>
          <w:sz w:val="20"/>
          <w:szCs w:val="20"/>
          <w:color w:val="auto"/>
        </w:rPr>
      </w:pPr>
      <w:r>
        <w:rPr>
          <w:rFonts w:ascii="Times New Roman" w:cs="Times New Roman" w:eastAsia="Times New Roman" w:hAnsi="Times New Roman"/>
          <w:sz w:val="18"/>
          <w:szCs w:val="18"/>
          <w:color w:val="auto"/>
        </w:rPr>
        <w:t>[________], 20[__]</w:t>
      </w:r>
    </w:p>
    <w:p>
      <w:pPr>
        <w:spacing w:after="0" w:line="25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tab/>
        <w:t>General Motors Company</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23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tab/>
        <w:t>Supplemental Confirmation—Uncollared Accelerated Share Repurchase</w:t>
      </w:r>
    </w:p>
    <w:p>
      <w:pPr>
        <w:spacing w:after="0" w:line="223" w:lineRule="exact"/>
        <w:rPr>
          <w:sz w:val="20"/>
          <w:szCs w:val="20"/>
          <w:color w:val="auto"/>
        </w:rPr>
      </w:pPr>
    </w:p>
    <w:p>
      <w:pPr>
        <w:ind w:left="4" w:right="200" w:firstLine="440"/>
        <w:spacing w:after="0" w:line="290" w:lineRule="auto"/>
        <w:rPr>
          <w:sz w:val="20"/>
          <w:szCs w:val="20"/>
          <w:color w:val="auto"/>
        </w:rPr>
      </w:pPr>
      <w:r>
        <w:rPr>
          <w:rFonts w:ascii="Times New Roman" w:cs="Times New Roman" w:eastAsia="Times New Roman" w:hAnsi="Times New Roman"/>
          <w:sz w:val="17"/>
          <w:szCs w:val="17"/>
          <w:color w:val="auto"/>
        </w:rPr>
        <w:t>The purpose of this Supplemental Confirmation is to confirm the terms and conditions of the Transaction entered into between [</w:t>
      </w:r>
      <w:r>
        <w:rPr>
          <w:rFonts w:ascii="Times New Roman" w:cs="Times New Roman" w:eastAsia="Times New Roman" w:hAnsi="Times New Roman"/>
          <w:sz w:val="17"/>
          <w:szCs w:val="17"/>
          <w:i w:val="1"/>
          <w:iCs w:val="1"/>
          <w:color w:val="auto"/>
        </w:rPr>
        <w:t>Dealer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Dealer</w:t>
      </w:r>
      <w:r>
        <w:rPr>
          <w:rFonts w:ascii="Times New Roman" w:cs="Times New Roman" w:eastAsia="Times New Roman" w:hAnsi="Times New Roman"/>
          <w:sz w:val="17"/>
          <w:szCs w:val="17"/>
          <w:color w:val="auto"/>
        </w:rPr>
        <w:t>”) and General Motors Company (“</w:t>
      </w:r>
      <w:r>
        <w:rPr>
          <w:rFonts w:ascii="Times New Roman" w:cs="Times New Roman" w:eastAsia="Times New Roman" w:hAnsi="Times New Roman"/>
          <w:sz w:val="17"/>
          <w:szCs w:val="17"/>
          <w:b w:val="1"/>
          <w:bCs w:val="1"/>
          <w:color w:val="auto"/>
        </w:rPr>
        <w:t>Counterparty</w:t>
      </w:r>
      <w:r>
        <w:rPr>
          <w:rFonts w:ascii="Times New Roman" w:cs="Times New Roman" w:eastAsia="Times New Roman" w:hAnsi="Times New Roman"/>
          <w:sz w:val="17"/>
          <w:szCs w:val="17"/>
          <w:color w:val="auto"/>
        </w:rPr>
        <w:t>”) (together, the “</w:t>
      </w:r>
      <w:r>
        <w:rPr>
          <w:rFonts w:ascii="Times New Roman" w:cs="Times New Roman" w:eastAsia="Times New Roman" w:hAnsi="Times New Roman"/>
          <w:sz w:val="17"/>
          <w:szCs w:val="17"/>
          <w:b w:val="1"/>
          <w:bCs w:val="1"/>
          <w:color w:val="auto"/>
        </w:rPr>
        <w:t>Contracting Parties</w:t>
      </w:r>
      <w:r>
        <w:rPr>
          <w:rFonts w:ascii="Times New Roman" w:cs="Times New Roman" w:eastAsia="Times New Roman" w:hAnsi="Times New Roman"/>
          <w:sz w:val="17"/>
          <w:szCs w:val="17"/>
          <w:color w:val="auto"/>
        </w:rPr>
        <w:t>”) on the Trade Date specified below. This Supplemental Confirmation is a binding contract between Dealer and Counterparty as of the relevant Trade Date for the Transaction referenced below.</w:t>
      </w:r>
    </w:p>
    <w:p>
      <w:pPr>
        <w:spacing w:after="0" w:line="153" w:lineRule="exact"/>
        <w:rPr>
          <w:sz w:val="20"/>
          <w:szCs w:val="20"/>
          <w:color w:val="auto"/>
        </w:rPr>
      </w:pPr>
    </w:p>
    <w:p>
      <w:pPr>
        <w:ind w:left="4" w:right="40" w:hanging="4"/>
        <w:spacing w:after="0" w:line="268"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Confirmation supplements, forms part of, and is subject to the Master Confirmation dated as of November 29, 2023 (the “</w:t>
      </w:r>
      <w:r>
        <w:rPr>
          <w:rFonts w:ascii="Times New Roman" w:cs="Times New Roman" w:eastAsia="Times New Roman" w:hAnsi="Times New Roman"/>
          <w:sz w:val="18"/>
          <w:szCs w:val="18"/>
          <w:b w:val="1"/>
          <w:bCs w:val="1"/>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between the Contracting Parties, as amended and supplemented from time to time. All provisions contained in the Master Confirmation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 this Supplemental Confirmation except as expressly modified below.</w:t>
      </w:r>
    </w:p>
    <w:p>
      <w:pPr>
        <w:spacing w:after="0" w:line="17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to which this Supplemental Confirmation relates are as follows: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Adjustment Amount:</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USD [ ]</w:t>
            </w:r>
          </w:p>
        </w:tc>
        <w:tc>
          <w:tcPr>
            <w:tcW w:w="500" w:type="dxa"/>
            <w:vAlign w:val="bottom"/>
          </w:tcPr>
          <w:p>
            <w:pPr>
              <w:spacing w:after="0"/>
              <w:rPr>
                <w:sz w:val="24"/>
                <w:szCs w:val="24"/>
                <w:color w:val="auto"/>
              </w:rPr>
            </w:pP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Calculation Period Start Date:</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Scheduled Termination Date:</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First Acceleration Date:</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Prepayment Amount:</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USD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Prepayment Date:</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66" w:right="4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Initial Shares:</w:t>
            </w: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 xml:space="preserve">A number of Shares equal to (i) Prepayment Amount </w:t>
            </w:r>
            <w:r>
              <w:rPr>
                <w:rFonts w:ascii="Times New Roman" w:cs="Times New Roman" w:eastAsia="Times New Roman" w:hAnsi="Times New Roman"/>
                <w:sz w:val="18"/>
                <w:szCs w:val="18"/>
                <w:i w:val="1"/>
                <w:iCs w:val="1"/>
                <w:color w:val="auto"/>
                <w:w w:val="99"/>
              </w:rPr>
              <w:t>divided by</w:t>
            </w:r>
            <w:r>
              <w:rPr>
                <w:rFonts w:ascii="Times New Roman" w:cs="Times New Roman" w:eastAsia="Times New Roman" w:hAnsi="Times New Roman"/>
                <w:sz w:val="18"/>
                <w:szCs w:val="18"/>
                <w:color w:val="auto"/>
                <w:w w:val="99"/>
              </w:rPr>
              <w:t xml:space="preserve"> Relevant Closing Price (ii) </w:t>
            </w:r>
            <w:r>
              <w:rPr>
                <w:rFonts w:ascii="Times New Roman" w:cs="Times New Roman" w:eastAsia="Times New Roman" w:hAnsi="Times New Roman"/>
                <w:sz w:val="18"/>
                <w:szCs w:val="18"/>
                <w:i w:val="1"/>
                <w:iCs w:val="1"/>
                <w:color w:val="auto"/>
                <w:w w:val="99"/>
              </w:rPr>
              <w:t>multiplied</w:t>
            </w:r>
          </w:p>
        </w:tc>
      </w:tr>
      <w:tr>
        <w:trPr>
          <w:trHeight w:val="218"/>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[__]%, rounded down to the nearest whole Share;</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in connection with the</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Transaction, Dealer is unable to borrow or otherwise acquire a number of Shares equal to the Initial</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Shares for delivery to Counterparty on the Initial Share Delivery Date, the Initial Shares delivered on</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Initial Share Delivery Date shall be reduced to such number of Shares that Dealer is able to so</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borrow or otherwise acquire in order to establish and maintain a commercially reasonable hedge</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position and thereafter Dealer shall continue to use commercially reasonable efforts to borrow or</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otherwise acquire a number of Shares, at a stock borrow cost no greater than the Initial Stock Loan</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Rate, equal to the shortfall in the Initial Share Delivery and to deliver such additional Shares as soon</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as reasonably practicable (it being understood, for the avoidance of doubt, that in using such</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commercially reasonable efforts Dealer shall act in good faith and in accordance with its then current</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policies, practices and procedures (including without limitation any policies, practices or procedures</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relating to counterparty risk, market risk, reputational risk, credit, documentation, legal, regulatory</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capital, compliance and collateral), and shall not be required to enter into any securities lending</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transaction or transact with any potential securities lender if such transaction would not be in</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accordance with such policies, practices and procedures). For the avoidance of doubt, the aggregate of</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all shares delivered to Counterparty in respect of the Transaction pursuant to this paragraph shall be</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“number of Initial Shares” for purposes of “Number of Shares to be Delivered” in the Master</w:t>
            </w:r>
          </w:p>
        </w:tc>
      </w:tr>
      <w:tr>
        <w:trPr>
          <w:trHeight w:val="234"/>
        </w:trPr>
        <w:tc>
          <w:tcPr>
            <w:tcW w:w="3000" w:type="dxa"/>
            <w:vAlign w:val="bottom"/>
          </w:tcPr>
          <w:p>
            <w:pPr>
              <w:spacing w:after="0"/>
              <w:rPr>
                <w:sz w:val="20"/>
                <w:szCs w:val="20"/>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Confirmation.</w:t>
            </w:r>
          </w:p>
        </w:tc>
      </w:tr>
      <w:tr>
        <w:trPr>
          <w:trHeight w:val="30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Relevant Closing Price:</w:t>
            </w: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closing price per Share for the regular trading session (including any extensions thereof) of the</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Exchange on the Determination Date, as determined by the Calculation Agent based on Bloomberg</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page “GM &lt;equity&gt; QR &lt;GO&gt;” (or any successor thereto) at 4:15 p.m. New York City time (or 15</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minutes following the end of any extension of the regular trading session of the Exchange) on such</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Exchange Business Day, or if such Exchange Business Day is a Disrupted Day (determined pursuant</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 the Equity Definitions without any amendment or modification), if such price is not so reported on</w:t>
            </w:r>
          </w:p>
        </w:tc>
      </w:tr>
      <w:tr>
        <w:trPr>
          <w:trHeight w:val="216"/>
        </w:trPr>
        <w:tc>
          <w:tcPr>
            <w:tcW w:w="3000" w:type="dxa"/>
            <w:vAlign w:val="bottom"/>
          </w:tcPr>
          <w:p>
            <w:pPr>
              <w:spacing w:after="0"/>
              <w:rPr>
                <w:sz w:val="18"/>
                <w:szCs w:val="18"/>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such Exchange Business Day for any reason or the reported price is clearly erroneous, the Relevant</w:t>
            </w:r>
          </w:p>
        </w:tc>
      </w:tr>
      <w:tr>
        <w:trPr>
          <w:trHeight w:val="234"/>
        </w:trPr>
        <w:tc>
          <w:tcPr>
            <w:tcW w:w="3000" w:type="dxa"/>
            <w:vAlign w:val="bottom"/>
          </w:tcPr>
          <w:p>
            <w:pPr>
              <w:spacing w:after="0"/>
              <w:rPr>
                <w:sz w:val="20"/>
                <w:szCs w:val="20"/>
                <w:color w:val="auto"/>
              </w:rPr>
            </w:pP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Closing Price shall be as determined by the Calculation Agent in a commercially reasonable manner.</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 Date:</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jc w:val="right"/>
              <w:ind w:right="65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Initial Share Delivery Date:</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jc w:val="right"/>
              <w:ind w:right="65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Ordinary Dividend Amount:</w:t>
            </w: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 any calendar quarter, USD [   ]</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Scheduled Ex-Dividend Date(s):</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jc w:val="right"/>
              <w:ind w:right="661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Termination Price:</w:t>
            </w:r>
          </w:p>
        </w:tc>
        <w:tc>
          <w:tcPr>
            <w:tcW w:w="8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USD [   ] per Share</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Shares:</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jc w:val="right"/>
              <w:ind w:right="675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Relevant Day:</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None</w:t>
            </w:r>
          </w:p>
        </w:tc>
        <w:tc>
          <w:tcPr>
            <w:tcW w:w="6940" w:type="dxa"/>
            <w:vAlign w:val="bottom"/>
          </w:tcPr>
          <w:p>
            <w:pPr>
              <w:spacing w:after="0"/>
              <w:rPr>
                <w:sz w:val="24"/>
                <w:szCs w:val="24"/>
                <w:color w:val="auto"/>
              </w:rPr>
            </w:pP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Reserved Shares:</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jc w:val="right"/>
              <w:ind w:right="675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Maximum Stock Loan Rate:</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jc w:val="right"/>
              <w:ind w:right="675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Initial Stock Loan Rate:</w:t>
            </w: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jc w:val="right"/>
              <w:ind w:right="675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3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4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22</w:t>
            </w:r>
          </w:p>
        </w:tc>
      </w:tr>
    </w:tbl>
    <w:p>
      <w:pPr>
        <w:jc w:val="right"/>
        <w:ind w:right="5310"/>
        <w:spacing w:after="0"/>
        <w:rPr>
          <w:sz w:val="20"/>
          <w:szCs w:val="20"/>
          <w:color w:val="auto"/>
        </w:rPr>
        <w:sectPr>
          <w:pgSz w:w="11900" w:h="16838" w:orient="portrait"/>
          <w:cols w:equalWidth="0" w:num="1">
            <w:col w:w="11000"/>
          </w:cols>
          <w:pgMar w:left="440" w:top="37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 w:name="page30"/>
    <w:bookmarkEnd w:id="29"/>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3. Calculation Dates:</w:t>
            </w:r>
          </w:p>
        </w:tc>
        <w:tc>
          <w:tcPr>
            <w:tcW w:w="206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4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8.</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11.</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12.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14.</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15.</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17.</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18.</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21.</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23.</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24.</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26.</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27.</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29.</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30.</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32.</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33.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35.</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36.</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38.</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39.</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41.</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42.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44.</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45.</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47.</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48.</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50.</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51.</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53.</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54.</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56.</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57.</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59.</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60.</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62.</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63.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65.</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66.</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68.</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69.</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70.</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71.</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72.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74.</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75.</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20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77.</w:t>
            </w:r>
          </w:p>
        </w:tc>
        <w:tc>
          <w:tcPr>
            <w:tcW w:w="3040" w:type="dxa"/>
            <w:vAlign w:val="bottom"/>
          </w:tcPr>
          <w:p>
            <w:pPr>
              <w:ind w:left="2820"/>
              <w:spacing w:after="0"/>
              <w:rPr>
                <w:sz w:val="20"/>
                <w:szCs w:val="20"/>
                <w:color w:val="auto"/>
              </w:rPr>
            </w:pPr>
            <w:r>
              <w:rPr>
                <w:rFonts w:ascii="Times New Roman" w:cs="Times New Roman" w:eastAsia="Times New Roman" w:hAnsi="Times New Roman"/>
                <w:sz w:val="18"/>
                <w:szCs w:val="18"/>
                <w:color w:val="auto"/>
                <w:w w:val="88"/>
              </w:rPr>
              <w:t>78.</w:t>
            </w:r>
          </w:p>
        </w:tc>
      </w:tr>
      <w:tr>
        <w:trPr>
          <w:trHeight w:val="364"/>
        </w:trPr>
        <w:tc>
          <w:tcPr>
            <w:tcW w:w="2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w:t>
            </w:r>
          </w:p>
        </w:tc>
      </w:tr>
    </w:tbl>
    <w:p>
      <w:pPr>
        <w:ind w:left="62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 w:name="page31"/>
    <w:bookmarkEnd w:id="30"/>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Calculation Agent may add additional Calculation Dates to reflect any extension or postponement contemplated in the Master Confirmation (including, without limitation, pursuant to “Valuation Disruption” therein) beginning with [_______] and continuing with every fourth Scheduled Trading Day thereafter.</w:t>
      </w:r>
    </w:p>
    <w:p>
      <w:pPr>
        <w:spacing w:after="0" w:line="176" w:lineRule="exact"/>
        <w:rPr>
          <w:sz w:val="20"/>
          <w:szCs w:val="20"/>
          <w:color w:val="auto"/>
        </w:rPr>
      </w:pPr>
    </w:p>
    <w:p>
      <w:pPr>
        <w:ind w:left="184" w:hanging="184"/>
        <w:spacing w:after="0"/>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of the Master Confirmation is hereby amended by inserting the following proviso at the end of the first sentence thereto:</w:t>
      </w:r>
    </w:p>
    <w:p>
      <w:pPr>
        <w:spacing w:after="0" w:line="115" w:lineRule="exact"/>
        <w:rPr>
          <w:rFonts w:ascii="Times New Roman" w:cs="Times New Roman" w:eastAsia="Times New Roman" w:hAnsi="Times New Roman"/>
          <w:sz w:val="18"/>
          <w:szCs w:val="18"/>
          <w:color w:val="auto"/>
        </w:rPr>
      </w:pPr>
    </w:p>
    <w:p>
      <w:pPr>
        <w:ind w:left="444" w:right="20" w:hanging="4"/>
        <w:spacing w:after="0" w:line="253" w:lineRule="auto"/>
        <w:tabs>
          <w:tab w:leader="none" w:pos="53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solely with respect to, and to the extent of, a reduction in ADTV (as defined in Rule 10b-18(a)(1)), it shall not be a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 Event hereunder unless the ADTV (as defined in Rule 10b-18(a)(1)) of the Shares is less than 75% (or, following March 7, 2024, less than 60%) of the lesser of (i) the average ADTV (as defined in Rule 10b-18(a)(1)) from (and including) November 6, 2023 to (and including) November 17, 2023 and (ii) the average of the average daily trading volume for each day in the period from (and including) December 4, 2023 to (and including) December 15, 2023 (such lesser amount described in clause (i) and clause (ii), the “</w:t>
      </w:r>
      <w:r>
        <w:rPr>
          <w:rFonts w:ascii="Times New Roman" w:cs="Times New Roman" w:eastAsia="Times New Roman" w:hAnsi="Times New Roman"/>
          <w:sz w:val="18"/>
          <w:szCs w:val="18"/>
          <w:b w:val="1"/>
          <w:bCs w:val="1"/>
          <w:color w:val="auto"/>
        </w:rPr>
        <w:t>Baseline Level</w:t>
      </w:r>
      <w:r>
        <w:rPr>
          <w:rFonts w:ascii="Times New Roman" w:cs="Times New Roman" w:eastAsia="Times New Roman" w:hAnsi="Times New Roman"/>
          <w:sz w:val="18"/>
          <w:szCs w:val="18"/>
          <w:color w:val="auto"/>
        </w:rPr>
        <w:t>”, and such occurrence, an “</w:t>
      </w:r>
      <w:r>
        <w:rPr>
          <w:rFonts w:ascii="Times New Roman" w:cs="Times New Roman" w:eastAsia="Times New Roman" w:hAnsi="Times New Roman"/>
          <w:sz w:val="18"/>
          <w:szCs w:val="18"/>
          <w:b w:val="1"/>
          <w:bCs w:val="1"/>
          <w:color w:val="auto"/>
        </w:rPr>
        <w:t>ADTV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through and including December 15, 2023, the Baseline Level shall be the amount described in clause (i)), in which case Dealer may by written notice to Counterparty elect to deem that a Market Disruption Event has occurred on such Calculation Date(s) and each such Calculation Date shall either be a Disrupted Day in full or in part, as determined by the Calculation Agent (subject to “Valuation Disruption” above)[;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Scheduled Termination Date may not be postponed pursuant to “Valuation Disruption” solely as the result of an ADTV Event by more than 10 Calculation Dates unless Dealer concludes, in its reasonable discretion that either (x) based on advice of counsel, that it is necessary or advisable to postpone for a longer period with respect to any legal, regulatory or self-regulatory requirements or related policies and procedures (whether or not such requirements, policies or procedures are imposed by law or have been voluntarily adopted by Dealer) similarly applicable to accelerated share repurchase transactions and consistently applied or (y) that it is necessary in order to comply with Section 8(b) below].</w:t>
      </w:r>
    </w:p>
    <w:p>
      <w:pPr>
        <w:spacing w:after="0" w:line="187" w:lineRule="exact"/>
        <w:rPr>
          <w:rFonts w:ascii="Times New Roman" w:cs="Times New Roman" w:eastAsia="Times New Roman" w:hAnsi="Times New Roman"/>
          <w:sz w:val="18"/>
          <w:szCs w:val="18"/>
          <w:color w:val="auto"/>
        </w:rPr>
      </w:pPr>
    </w:p>
    <w:p>
      <w:pPr>
        <w:ind w:left="4" w:right="20" w:hanging="4"/>
        <w:spacing w:after="0" w:line="267" w:lineRule="auto"/>
        <w:tabs>
          <w:tab w:leader="none" w:pos="18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Section 8(a) of the Master Confirmation or anything herein to the contrary, after March 7, 2024, (i) Counterparty may purchase Shares on any Calculation Date pursuant to a Rule 10b5-1 or Rule 10b-18 repurchase plan entered into with Dealer or an affiliate of Dealer, so long as, on any Calculation Date, purchases under all such repurchase plans do not in the aggregate exceed 3% of the ADTV (as defined in Rule 10b-18(a)(1));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(x) during the pendency of an ADTV Event, purchases under all such repurchase plans shall not in the aggregate exceed 1% of the ADTV</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 defined in Rule 10b-18(a)(1)) and (y) notwithstanding clause (x), at any time the ADTV (as defined in Rule 10b-18(a)(1)) is less than 40% of the Baseline Level, purchases under all such repurchase plans shall not in the aggregate exceed 0% of the ADTV (as defined in Rule 10b-18(a)(1)), (ii) Counterparty may purchase Shares on any Scheduled Trading Day that is not a Calculation Date pursuant to a Rule 10b5-1 or Rule 10b-18 repurchase plan entered into with the counterparty on the Other Specified Repurchase Agreement or an affiliate of such counterparty (or, following final settlement of the Other Specified Repurchase Agreement, another financial institution), so long as, on any such Scheduled Trading Day, purchases under all such repurchase plans do not in the aggregate exceed 3% of the ADTV (as defined in Rule 10b-18(a)(1));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during the pendency of an ADTV Event, purchases under all such repurchase plans shall not in the aggregate exceed 1% of the ADTV (as defined in Rule 10b-18(a)(1)) and</w:t>
      </w:r>
    </w:p>
    <w:p>
      <w:pPr>
        <w:spacing w:after="0" w:line="2" w:lineRule="exact"/>
        <w:rPr>
          <w:rFonts w:ascii="Times New Roman" w:cs="Times New Roman" w:eastAsia="Times New Roman" w:hAnsi="Times New Roman"/>
          <w:sz w:val="17"/>
          <w:szCs w:val="17"/>
          <w:color w:val="auto"/>
        </w:rPr>
      </w:pPr>
    </w:p>
    <w:p>
      <w:pPr>
        <w:ind w:left="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notwithstanding clause (x), at any time the ADTV (as defined in Rule 10b-18(a)(1)) is less than 40% of the Baseline Level, purchases under all such repurchase plans shall not in the aggregate exceed 0% of the ADTV (as defined in Rule 10b-18(a)(1)) (any transaction described in clause (i) or this clause (ii), a “</w:t>
      </w:r>
      <w:r>
        <w:rPr>
          <w:rFonts w:ascii="Times New Roman" w:cs="Times New Roman" w:eastAsia="Times New Roman" w:hAnsi="Times New Roman"/>
          <w:sz w:val="18"/>
          <w:szCs w:val="18"/>
          <w:b w:val="1"/>
          <w:bCs w:val="1"/>
          <w:color w:val="auto"/>
        </w:rPr>
        <w:t>Permitted OMR Transaction</w:t>
      </w:r>
      <w:r>
        <w:rPr>
          <w:rFonts w:ascii="Times New Roman" w:cs="Times New Roman" w:eastAsia="Times New Roman" w:hAnsi="Times New Roman"/>
          <w:sz w:val="18"/>
          <w:szCs w:val="18"/>
          <w:color w:val="auto"/>
        </w:rPr>
        <w:t>”), (iii) an agent independent of Counterparty may purchase Shares effected by or for an issuer plan of Issuer in accordance with the requirements of Section 10b-18(a)(13)(ii) under the Exchange Act (with “issuer plan” and “agent independent of the Counterparty” each being used herein as defined in Rule 10b-18) and (iv) Counterparty or any “affiliated purchaser” (as defined in Rule 10b-18) may purchase Shares in (x) unsolicited transactions or (y) privately negotiated (off-market) transactions, in each case, that are not expected to result in market purchases, in each case, without Dealer’s consent.]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1" w:name="page32"/>
    <w:bookmarkEnd w:id="31"/>
    <w:p>
      <w:pPr>
        <w:ind w:left="4" w:hanging="4"/>
        <w:spacing w:after="0" w:line="266"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Counterparty represents and warrants to Dealer that neither it nor any “affiliated purchaser” (as defined in Rule 10b-18 under the Exchange Act) has made any purchases of blocks pursuant to the proviso in Rule 10b-18(b)(4) under the Exchange Act during either (i) the four full calendar weeks immediately preceding the Trade Date or (ii) during the calendar week in which the Trade Date occurs.</w:t>
      </w:r>
    </w:p>
    <w:p>
      <w:pPr>
        <w:spacing w:after="0" w:line="175" w:lineRule="exact"/>
        <w:rPr>
          <w:rFonts w:ascii="Times New Roman" w:cs="Times New Roman" w:eastAsia="Times New Roman" w:hAnsi="Times New Roman"/>
          <w:sz w:val="18"/>
          <w:szCs w:val="18"/>
          <w:color w:val="auto"/>
        </w:rPr>
      </w:pPr>
    </w:p>
    <w:p>
      <w:pPr>
        <w:ind w:left="4" w:right="20" w:hanging="4"/>
        <w:spacing w:after="0" w:line="282"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Supplemental Confirmation may be executed in any number of counterparts, all of which shall constitute one and the same instrument, and any party hereto may execute this Supplemental Confirmation by signing and delivering one or more counterparts.</w:t>
      </w:r>
    </w:p>
    <w:p>
      <w:pPr>
        <w:spacing w:after="0" w:line="94"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64"/>
          </w:cols>
          <w:pgMar w:left="436" w:top="270" w:right="59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that the foregoing correctly sets forth the terms of our agreement by executing this Supplemental Confirmation and returning it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440" w:top="270" w:right="5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00" w:lineRule="exact"/>
        <w:rPr>
          <w:sz w:val="20"/>
          <w:szCs w:val="20"/>
          <w:color w:val="auto"/>
        </w:rPr>
      </w:pPr>
    </w:p>
    <w:p>
      <w:pPr>
        <w:spacing w:after="0" w:line="24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COUNTERPARTY SETTLEMENT PROVISIONS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The following Counterparty Settlement Provisions shall apply to the extent indicated under the Master Confirmation:</w:t>
      </w:r>
    </w:p>
    <w:p>
      <w:pPr>
        <w:spacing w:after="0" w:line="360"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Settlement Currency:</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Settlement Method Election:</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Section 7.1 of the Equity Definitions is hereby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amended by deleting the word “Physical” in the sixth line thereof and replacing it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with the words “Net Share” and (ii) Counterparty acknowledges its</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responsibilities under applicable securities laws, and in particular Sections 9 and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10(b) of the Exchange Act, and the rules and regulations promulgated thereunder,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 connection with any election by the Electing Party of a settlement method</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than the Default Settlement Method).</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Electing Party:</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Counterparty</w:t>
            </w:r>
          </w:p>
        </w:tc>
        <w:tc>
          <w:tcPr>
            <w:tcW w:w="0" w:type="dxa"/>
            <w:vAlign w:val="bottom"/>
          </w:tcPr>
          <w:p>
            <w:pPr>
              <w:spacing w:after="0"/>
              <w:rPr>
                <w:sz w:val="1"/>
                <w:szCs w:val="1"/>
                <w:color w:val="auto"/>
              </w:rPr>
            </w:pP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Settlement Method</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Election Date:</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earlier of (i) the Scheduled Termination Date and (ii) the second Exchange</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Business Day immediately following the Accelerated Termination Date (in which</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case the election under Section 7.1 of the Equity Definitions shall be made no</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later than 10 minutes prior to the open of trading on the Exchange on such</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second Exchange Business Day), as the case may be.</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Default Settlement Method:</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Settlement</w:t>
            </w:r>
          </w:p>
        </w:tc>
        <w:tc>
          <w:tcPr>
            <w:tcW w:w="0" w:type="dxa"/>
            <w:vAlign w:val="bottom"/>
          </w:tcPr>
          <w:p>
            <w:pPr>
              <w:spacing w:after="0"/>
              <w:rPr>
                <w:sz w:val="1"/>
                <w:szCs w:val="1"/>
                <w:color w:val="auto"/>
              </w:rPr>
            </w:pP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Forward Cash Settlement</w:t>
            </w:r>
          </w:p>
        </w:tc>
        <w:tc>
          <w:tcPr>
            <w:tcW w:w="63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 xml:space="preserve">The Number of Shares to be Delivered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Settlement Price.</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6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Settlement Price:</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arithmetic average of the VWAP Prices for the Calculation Dates in the</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Settlement Valuation Period, subject to Valuation Disruption as specified in the</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Master Confirmation.</w:t>
            </w:r>
          </w:p>
        </w:tc>
        <w:tc>
          <w:tcPr>
            <w:tcW w:w="0" w:type="dxa"/>
            <w:vAlign w:val="bottom"/>
          </w:tcPr>
          <w:p>
            <w:pPr>
              <w:spacing w:after="0"/>
              <w:rPr>
                <w:sz w:val="1"/>
                <w:szCs w:val="1"/>
                <w:color w:val="auto"/>
              </w:rPr>
            </w:pP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Settlement Valuation Period:</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number of Scheduled Trading Days during which Dealer, or an affiliate</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thereof, completes the unwind of a commercially reasonable hedge position with</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 to the Transaction, beginning on the Scheduled Trading Day immediately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following the earlier of (i) the Scheduled Termination Date or (ii) the Exchange</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Business Day immediately following the Termination Date.</w:t>
            </w:r>
          </w:p>
        </w:tc>
        <w:tc>
          <w:tcPr>
            <w:tcW w:w="0" w:type="dxa"/>
            <w:vAlign w:val="bottom"/>
          </w:tcPr>
          <w:p>
            <w:pPr>
              <w:spacing w:after="0"/>
              <w:rPr>
                <w:sz w:val="1"/>
                <w:szCs w:val="1"/>
                <w:color w:val="auto"/>
              </w:rPr>
            </w:pP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If Cash Settlement is applicable, then Buyer shall pay to Seller the absolute value</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the Forward Cash Settlement Amount on the Cash Settlement Payment Date.</w:t>
            </w:r>
          </w:p>
        </w:tc>
        <w:tc>
          <w:tcPr>
            <w:tcW w:w="0" w:type="dxa"/>
            <w:vAlign w:val="bottom"/>
          </w:tcPr>
          <w:p>
            <w:pPr>
              <w:spacing w:after="0"/>
              <w:rPr>
                <w:sz w:val="1"/>
                <w:szCs w:val="1"/>
                <w:color w:val="auto"/>
              </w:rPr>
            </w:pP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Payment Date:</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date one Settlement Cycle following the last day of the Settlement Valuation</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30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6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Procedures:</w:t>
            </w: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If Net Share Settlement is applicable, Net Share Settlement shall be made in</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6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accordance with paragraphs 2 through 7 below.</w:t>
            </w:r>
          </w:p>
        </w:tc>
        <w:tc>
          <w:tcPr>
            <w:tcW w:w="0" w:type="dxa"/>
            <w:vAlign w:val="bottom"/>
          </w:tcPr>
          <w:p>
            <w:pPr>
              <w:spacing w:after="0"/>
              <w:rPr>
                <w:sz w:val="1"/>
                <w:szCs w:val="1"/>
                <w:color w:val="auto"/>
              </w:rPr>
            </w:pPr>
          </w:p>
        </w:tc>
      </w:tr>
      <w:tr>
        <w:trPr>
          <w:trHeight w:val="364"/>
        </w:trPr>
        <w:tc>
          <w:tcPr>
            <w:tcW w:w="2480" w:type="dxa"/>
            <w:vAlign w:val="bottom"/>
          </w:tcPr>
          <w:p>
            <w:pPr>
              <w:spacing w:after="0"/>
              <w:rPr>
                <w:sz w:val="24"/>
                <w:szCs w:val="24"/>
                <w:color w:val="auto"/>
              </w:rPr>
            </w:pPr>
          </w:p>
        </w:tc>
        <w:tc>
          <w:tcPr>
            <w:tcW w:w="6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AA-1</w:t>
            </w:r>
          </w:p>
        </w:tc>
        <w:tc>
          <w:tcPr>
            <w:tcW w:w="0" w:type="dxa"/>
            <w:vAlign w:val="bottom"/>
          </w:tcPr>
          <w:p>
            <w:pPr>
              <w:spacing w:after="0"/>
              <w:rPr>
                <w:sz w:val="1"/>
                <w:szCs w:val="1"/>
                <w:color w:val="auto"/>
              </w:rPr>
            </w:pPr>
          </w:p>
        </w:tc>
      </w:tr>
    </w:tbl>
    <w:p>
      <w:pPr>
        <w:sectPr>
          <w:pgSz w:w="11900" w:h="16838" w:orient="portrait"/>
          <w:cols w:equalWidth="0" w:num="1">
            <w:col w:w="10020"/>
          </w:cols>
          <w:pgMar w:left="1440" w:top="266" w:right="439" w:bottom="1440" w:gutter="0" w:footer="0" w:header="0"/>
        </w:sectPr>
      </w:pPr>
    </w:p>
    <w:bookmarkStart w:id="34" w:name="page35"/>
    <w:bookmarkEnd w:id="34"/>
    <w:p>
      <w:pPr>
        <w:ind w:left="-20" w:right="80" w:firstLine="987"/>
        <w:spacing w:after="0" w:line="254" w:lineRule="auto"/>
        <w:tabs>
          <w:tab w:leader="none" w:pos="11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Share Settlement shall be made by delivery on the Cash Settlement Payment Date of a number of Shares satisfying the conditions set forth in paragraph 3 below (the “</w:t>
      </w:r>
      <w:r>
        <w:rPr>
          <w:rFonts w:ascii="Times New Roman" w:cs="Times New Roman" w:eastAsia="Times New Roman" w:hAnsi="Times New Roman"/>
          <w:sz w:val="18"/>
          <w:szCs w:val="18"/>
          <w:b w:val="1"/>
          <w:bCs w:val="1"/>
          <w:color w:val="auto"/>
        </w:rPr>
        <w:t>Registered Settlement Shares</w:t>
      </w:r>
      <w:r>
        <w:rPr>
          <w:rFonts w:ascii="Times New Roman" w:cs="Times New Roman" w:eastAsia="Times New Roman" w:hAnsi="Times New Roman"/>
          <w:sz w:val="18"/>
          <w:szCs w:val="18"/>
          <w:color w:val="auto"/>
        </w:rPr>
        <w:t>”), or a number of Shares not satisfying such conditions (the “</w:t>
      </w:r>
      <w:r>
        <w:rPr>
          <w:rFonts w:ascii="Times New Roman" w:cs="Times New Roman" w:eastAsia="Times New Roman" w:hAnsi="Times New Roman"/>
          <w:sz w:val="18"/>
          <w:szCs w:val="18"/>
          <w:b w:val="1"/>
          <w:bCs w:val="1"/>
          <w:color w:val="auto"/>
        </w:rPr>
        <w:t>Unregistered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Shares</w:t>
      </w:r>
      <w:r>
        <w:rPr>
          <w:rFonts w:ascii="Times New Roman" w:cs="Times New Roman" w:eastAsia="Times New Roman" w:hAnsi="Times New Roman"/>
          <w:sz w:val="18"/>
          <w:szCs w:val="18"/>
          <w:color w:val="auto"/>
        </w:rPr>
        <w:t>”), in either case with a value equal to the absolute value of the Forward Cash Settlement Amount (which value shall, in the case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Unregistered Settlement Shares, take into account a commercially reasonable illiquidity discount), in each case as determined by the Calculation Agent. For the avoidance of doubt, Counterparty shall not be required to pay any underwriting spread, commission, private placement fee or similar fee to Dealer, any Affiliate thereof or an underwriter(s) in connection with the delivery or subsequent resale of Registered Settlement Shares or Unregistered Settlement Shares, as the case may be, pursuant to this Annex A. If all of the conditions for delivery of either Registered Settlement Shares or Unregistered Settlement Shares that are within the control of Counterparty have not been satisfied, Cash Settlement shall be applicable in accordance with paragraph 1 above.</w:t>
      </w:r>
    </w:p>
    <w:p>
      <w:pPr>
        <w:spacing w:after="0" w:line="188" w:lineRule="exact"/>
        <w:rPr>
          <w:rFonts w:ascii="Times New Roman" w:cs="Times New Roman" w:eastAsia="Times New Roman" w:hAnsi="Times New Roman"/>
          <w:sz w:val="18"/>
          <w:szCs w:val="18"/>
          <w:color w:val="auto"/>
        </w:rPr>
      </w:pPr>
    </w:p>
    <w:p>
      <w:pPr>
        <w:ind w:left="1140" w:hanging="17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only deliver Registered Settlement Shares pursuant to paragraph 2 above if:</w:t>
      </w:r>
    </w:p>
    <w:p>
      <w:pPr>
        <w:spacing w:after="0" w:line="221" w:lineRule="exact"/>
        <w:rPr>
          <w:sz w:val="20"/>
          <w:szCs w:val="20"/>
          <w:color w:val="auto"/>
        </w:rPr>
      </w:pPr>
    </w:p>
    <w:p>
      <w:pPr>
        <w:ind w:left="-20" w:right="180" w:firstLine="987"/>
        <w:spacing w:after="0" w:line="259" w:lineRule="auto"/>
        <w:tabs>
          <w:tab w:leader="none" w:pos="1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public resale of the Registered Settlement Shares by Dealer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any prospectus supplement thereto,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have been delivered to Dealer, in such quantities as Dealer shall reasonably have requested, on or prior to the date of delivery;</w:t>
      </w:r>
    </w:p>
    <w:p>
      <w:pPr>
        <w:spacing w:after="0" w:line="183"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content of the Registration Statement and the Prospectus (including, without limitation, any sections describing the plan of distribution) shall be reasonably satisfactory to Dealer;</w:t>
      </w:r>
    </w:p>
    <w:p>
      <w:pPr>
        <w:spacing w:after="0" w:line="161" w:lineRule="exact"/>
        <w:rPr>
          <w:rFonts w:ascii="Times New Roman" w:cs="Times New Roman" w:eastAsia="Times New Roman" w:hAnsi="Times New Roman"/>
          <w:sz w:val="18"/>
          <w:szCs w:val="18"/>
          <w:color w:val="auto"/>
        </w:rPr>
      </w:pPr>
    </w:p>
    <w:p>
      <w:pPr>
        <w:ind w:left="-20" w:right="60" w:firstLine="987"/>
        <w:spacing w:after="0" w:line="266" w:lineRule="auto"/>
        <w:tabs>
          <w:tab w:leader="none" w:pos="1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Dealer and its agents shall have been afforded a reasonable opportunity to conduct a due diligence investigation with respect to Counterparty customary in scope for underwritten offerings of equity securities by issuers of comparable size to Counterparty and in the same industry as Counterparty and the results of such investigation are satisfactory to Dealer, in its good faith discretion; and</w:t>
      </w:r>
    </w:p>
    <w:p>
      <w:pPr>
        <w:spacing w:after="0" w:line="171"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delivery, an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shall have been entered into with Dealer in connection with the public resale of the Registered Settlement Shares by Dealer substantially similar to underwriting agreements customary for underwritten offerings of equity securities by issuers of comparable size to Counterparty and in the same industry as Counterparty, in form and substance reasonably satisfactory to Dealer, which Underwriting Agreement shall include, without limitation, provisions substantially similar to those contained in such underwriting agreements relating, without limitation, to the indemnification of, and contribution in connection with the liability of, Dealer and its affiliates and the provision of customary opinions, accountants’ comfort letters and lawyers’ negative assurance letters.</w:t>
      </w:r>
    </w:p>
    <w:p>
      <w:pPr>
        <w:spacing w:after="0" w:line="1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 If Counterparty delivers Unregistered Settlement Shares pursuant to paragraph 2 above:</w:t>
      </w:r>
    </w:p>
    <w:p>
      <w:pPr>
        <w:spacing w:after="0" w:line="225" w:lineRule="exact"/>
        <w:rPr>
          <w:sz w:val="20"/>
          <w:szCs w:val="20"/>
          <w:color w:val="auto"/>
        </w:rPr>
      </w:pPr>
    </w:p>
    <w:p>
      <w:pPr>
        <w:ind w:left="-20" w:right="640" w:firstLine="987"/>
        <w:spacing w:after="0" w:line="282" w:lineRule="auto"/>
        <w:tabs>
          <w:tab w:leader="none" w:pos="12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Unregistered Settlement Shares shall be delivered to Dealer (or any affiliate of Dealer designated by Dealer) pursuant to the exemption from the registration requirements of the Securities Act provided by Section 4(a)(2) thereof;</w:t>
      </w:r>
    </w:p>
    <w:p>
      <w:pPr>
        <w:spacing w:after="0" w:line="161"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or prior to the date of delivery, Dealer and any potential purchaser of any such shares from Dealer (or any affiliate of Dealer designated by Dealer) identified by Dealer shall be afforded a commercially reasonable opportunity to conduct a due diligence investigation with respect to Counterparty customary in scope for private placements of equity securities by issuers of comparable size to Counterparty and in the same industry as Counterparty (including, without limitation, the right to have made available to them for inspection all financial and other records, pertinent corporate documents and other information reasonably requested by them);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AA-2</w:t>
      </w:r>
    </w:p>
    <w:p>
      <w:pPr>
        <w:sectPr>
          <w:pgSz w:w="11900" w:h="16838" w:orient="portrait"/>
          <w:cols w:equalWidth="0" w:num="1">
            <w:col w:w="10980"/>
          </w:cols>
          <w:pgMar w:left="460" w:top="270" w:right="459" w:bottom="1440" w:gutter="0" w:footer="0" w:header="0"/>
        </w:sectPr>
      </w:pPr>
    </w:p>
    <w:bookmarkStart w:id="35" w:name="page36"/>
    <w:bookmarkEnd w:id="35"/>
    <w:p>
      <w:pPr>
        <w:ind w:left="-20" w:right="20" w:firstLine="987"/>
        <w:spacing w:after="0" w:line="254" w:lineRule="auto"/>
        <w:tabs>
          <w:tab w:leader="none" w:pos="1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of delivery, Counterparty shall enter into an agreement (a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with Dealer (or any affiliate of Dealer designated by Dealer) in connection with the private placement of such shares by Counterparty to Dealer (or any such affiliate) and the private resale of such shares by Dealer (or any such affiliate), substantially similar to private placement purchase agreements customary for private placements of equity securities by issuers of comparable size to Counterparty and in the same industry as Counterparty, in form and substance reasonably satisfactory to Dealer, which Private Placement Agreement shall include, without limitation, provisions substantially similar to those contained in such private placement purchase agreements relating, without limitation, to the indemnification of, and contribution in connection with the liability of, Dealer and its affiliates (but shall not provide for the delivery of accountants’ comfort letters or lawyers’ negative assurance letters) and shall provide for the payment by Counterparty of all reasonable, out-of-pocket fees and expenses of Dealer (and any such affiliate) in connection with such resale, including all reasonable fees and expenses of outside counsel for Dealer, and shall contain representations, warranties, covenants and agreements of Counterparty reasonably necessary or advisable to establish and maintain the availability of an exemption from the registration requirements of the Securities Act for such resales; and</w:t>
      </w:r>
    </w:p>
    <w:p>
      <w:pPr>
        <w:spacing w:after="0" w:line="186"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private placement of such shares by Counterparty to Dealer (or any such affiliate) and the private resale of such shares by Dealer (or any such affiliate), Counterparty shall, if so requested by Dealer, prepare, in cooperation with Dealer, a private placement memorandum in form and substance reasonably satisfactory to Dealer.</w:t>
      </w:r>
    </w:p>
    <w:p>
      <w:pPr>
        <w:spacing w:after="0" w:line="172" w:lineRule="exact"/>
        <w:rPr>
          <w:sz w:val="20"/>
          <w:szCs w:val="20"/>
          <w:color w:val="auto"/>
        </w:rPr>
      </w:pPr>
    </w:p>
    <w:p>
      <w:pPr>
        <w:ind w:left="-20" w:firstLine="987"/>
        <w:spacing w:after="0" w:line="270" w:lineRule="auto"/>
        <w:tabs>
          <w:tab w:leader="none" w:pos="115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 itself or through an affiliate (the “</w:t>
      </w:r>
      <w:r>
        <w:rPr>
          <w:rFonts w:ascii="Times New Roman" w:cs="Times New Roman" w:eastAsia="Times New Roman" w:hAnsi="Times New Roman"/>
          <w:sz w:val="17"/>
          <w:szCs w:val="17"/>
          <w:b w:val="1"/>
          <w:bCs w:val="1"/>
          <w:color w:val="auto"/>
        </w:rPr>
        <w:t>Selling Agent</w:t>
      </w:r>
      <w:r>
        <w:rPr>
          <w:rFonts w:ascii="Times New Roman" w:cs="Times New Roman" w:eastAsia="Times New Roman" w:hAnsi="Times New Roman"/>
          <w:sz w:val="17"/>
          <w:szCs w:val="17"/>
          <w:color w:val="auto"/>
        </w:rPr>
        <w:t>”) or any underwriter(s), will sell in a commercially reasonable manner all, or such lesser portion as may be required hereunder, of the Registered Settlement Shares or Unregistered Settlement Shares and any Makewhole Shares (as defined below) (together, the “</w:t>
      </w:r>
      <w:r>
        <w:rPr>
          <w:rFonts w:ascii="Times New Roman" w:cs="Times New Roman" w:eastAsia="Times New Roman" w:hAnsi="Times New Roman"/>
          <w:sz w:val="17"/>
          <w:szCs w:val="17"/>
          <w:b w:val="1"/>
          <w:bCs w:val="1"/>
          <w:color w:val="auto"/>
        </w:rPr>
        <w:t>Settlement Shares</w:t>
      </w:r>
      <w:r>
        <w:rPr>
          <w:rFonts w:ascii="Times New Roman" w:cs="Times New Roman" w:eastAsia="Times New Roman" w:hAnsi="Times New Roman"/>
          <w:sz w:val="17"/>
          <w:szCs w:val="17"/>
          <w:color w:val="auto"/>
        </w:rPr>
        <w:t>”) delivered by Counterparty to Dealer pursuant to paragraph 6 below as promptly as reasonably practicable commencing on the Cash Settlement Payment Date and continuing until the date on which the aggregate Net Proceeds (as such term is defined below) of such sales is equal to the absolute value of the Forward Cash Settlement Amount (such date, the “</w:t>
      </w:r>
      <w:r>
        <w:rPr>
          <w:rFonts w:ascii="Times New Roman" w:cs="Times New Roman" w:eastAsia="Times New Roman" w:hAnsi="Times New Roman"/>
          <w:sz w:val="17"/>
          <w:szCs w:val="17"/>
          <w:b w:val="1"/>
          <w:bCs w:val="1"/>
          <w:color w:val="auto"/>
        </w:rPr>
        <w:t>Final Resale Date</w:t>
      </w:r>
      <w:r>
        <w:rPr>
          <w:rFonts w:ascii="Times New Roman" w:cs="Times New Roman" w:eastAsia="Times New Roman" w:hAnsi="Times New Roman"/>
          <w:sz w:val="17"/>
          <w:szCs w:val="17"/>
          <w:color w:val="auto"/>
        </w:rPr>
        <w:t>”). Once the proceeds of any sale(s) made by Dealer, the Selling Agent or any underwriter(s) net of any commercially reasonable fees and commissions (including, without limitation, underwriting or placement fees) customary for similar transactions under the circumstances at the time of the offering, together with commercially reasonable carrying charges and expenses incurred in connection with the offer and sale of the Shares (including, without limitation, the covering of any over-allotment or short position (syndicate or otherwise)) (the “</w:t>
      </w:r>
      <w:r>
        <w:rPr>
          <w:rFonts w:ascii="Times New Roman" w:cs="Times New Roman" w:eastAsia="Times New Roman" w:hAnsi="Times New Roman"/>
          <w:sz w:val="17"/>
          <w:szCs w:val="17"/>
          <w:b w:val="1"/>
          <w:bCs w:val="1"/>
          <w:color w:val="auto"/>
        </w:rPr>
        <w:t>Net Proceeds</w:t>
      </w:r>
      <w:r>
        <w:rPr>
          <w:rFonts w:ascii="Times New Roman" w:cs="Times New Roman" w:eastAsia="Times New Roman" w:hAnsi="Times New Roman"/>
          <w:sz w:val="17"/>
          <w:szCs w:val="17"/>
          <w:color w:val="auto"/>
        </w:rPr>
        <w:t>”) equal the absolute value of the Forward Cash Settlement Amount, Dealer, the Selling Agent and any such underwriter(s) shall immediately cease selling any Settlement Shares at such time and shall return to Counterparty no later than the third Currency Business Day following the Final Resale Date the portion of the Settlement Shares that remains unsold.</w:t>
      </w:r>
    </w:p>
    <w:p>
      <w:pPr>
        <w:spacing w:after="0" w:line="176" w:lineRule="exact"/>
        <w:rPr>
          <w:rFonts w:ascii="Times New Roman" w:cs="Times New Roman" w:eastAsia="Times New Roman" w:hAnsi="Times New Roman"/>
          <w:sz w:val="17"/>
          <w:szCs w:val="17"/>
          <w:color w:val="auto"/>
        </w:rPr>
      </w:pPr>
    </w:p>
    <w:p>
      <w:pPr>
        <w:ind w:left="-20" w:right="40" w:firstLine="987"/>
        <w:spacing w:after="0" w:line="253" w:lineRule="auto"/>
        <w:tabs>
          <w:tab w:leader="none" w:pos="11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that the Net Proceeds received from the sale of the Registered Settlement Shares or Unregistered Settlement Shares or any Makewhole Shares, if any, pursuant to this paragraph 6 are less than the absolute value of the Forward Cash Settlement Amount (the amount in USD by which the Net Proceeds are less than the absolute value of the Forward Cash Settlement Amount being the “</w:t>
      </w:r>
      <w:r>
        <w:rPr>
          <w:rFonts w:ascii="Times New Roman" w:cs="Times New Roman" w:eastAsia="Times New Roman" w:hAnsi="Times New Roman"/>
          <w:sz w:val="18"/>
          <w:szCs w:val="18"/>
          <w:b w:val="1"/>
          <w:bCs w:val="1"/>
          <w:color w:val="auto"/>
        </w:rPr>
        <w:t>Shortfall</w:t>
      </w:r>
      <w:r>
        <w:rPr>
          <w:rFonts w:ascii="Times New Roman" w:cs="Times New Roman" w:eastAsia="Times New Roman" w:hAnsi="Times New Roman"/>
          <w:sz w:val="18"/>
          <w:szCs w:val="18"/>
          <w:color w:val="auto"/>
        </w:rPr>
        <w:t>” and the date on which such determination is made, the “</w:t>
      </w:r>
      <w:r>
        <w:rPr>
          <w:rFonts w:ascii="Times New Roman" w:cs="Times New Roman" w:eastAsia="Times New Roman" w:hAnsi="Times New Roman"/>
          <w:sz w:val="18"/>
          <w:szCs w:val="18"/>
          <w:b w:val="1"/>
          <w:bCs w:val="1"/>
          <w:color w:val="auto"/>
        </w:rPr>
        <w:t>Deficiency Determination Date</w:t>
      </w:r>
      <w:r>
        <w:rPr>
          <w:rFonts w:ascii="Times New Roman" w:cs="Times New Roman" w:eastAsia="Times New Roman" w:hAnsi="Times New Roman"/>
          <w:sz w:val="18"/>
          <w:szCs w:val="18"/>
          <w:color w:val="auto"/>
        </w:rPr>
        <w:t>”), Counterparty shall on the Exchange Business Day next succeeding the Deficiency Determination Date (the “</w:t>
      </w:r>
      <w:r>
        <w:rPr>
          <w:rFonts w:ascii="Times New Roman" w:cs="Times New Roman" w:eastAsia="Times New Roman" w:hAnsi="Times New Roman"/>
          <w:sz w:val="18"/>
          <w:szCs w:val="18"/>
          <w:b w:val="1"/>
          <w:bCs w:val="1"/>
          <w:color w:val="auto"/>
        </w:rPr>
        <w:t>Makewhole Notice Date</w:t>
      </w:r>
      <w:r>
        <w:rPr>
          <w:rFonts w:ascii="Times New Roman" w:cs="Times New Roman" w:eastAsia="Times New Roman" w:hAnsi="Times New Roman"/>
          <w:sz w:val="18"/>
          <w:szCs w:val="18"/>
          <w:color w:val="auto"/>
        </w:rPr>
        <w:t>”) deliver to Dealer, through the Selling Agent, a notice of Counterparty’s election that Counterparty shall either (i) pay an amount in cash equal to the Shortfall on the day that is one (1) Currency Business Day after the Makewhole Notice Date, or (ii) deliver additional Shares. If Counterparty elects to deliver to Dealer additional Shares, then Counterparty shall deliver additional Shares in compliance with the terms and conditions of paragraph 3 or paragraph 4 above, as the case may be (the “</w:t>
      </w:r>
      <w:r>
        <w:rPr>
          <w:rFonts w:ascii="Times New Roman" w:cs="Times New Roman" w:eastAsia="Times New Roman" w:hAnsi="Times New Roman"/>
          <w:sz w:val="18"/>
          <w:szCs w:val="18"/>
          <w:b w:val="1"/>
          <w:bCs w:val="1"/>
          <w:color w:val="auto"/>
        </w:rPr>
        <w:t>Makewhole Shares</w:t>
      </w:r>
      <w:r>
        <w:rPr>
          <w:rFonts w:ascii="Times New Roman" w:cs="Times New Roman" w:eastAsia="Times New Roman" w:hAnsi="Times New Roman"/>
          <w:sz w:val="18"/>
          <w:szCs w:val="18"/>
          <w:color w:val="auto"/>
        </w:rPr>
        <w:t xml:space="preserve">”), on the third Clearance System Business Day that is also an Exchange Business Day following the Makewhole Notice Date in such number as the Calculation Agent determines would have a market value on that Exchange Business Day equal to the Shortfall. Such Makewhole Shares shall be sold by Dealer in accordance with the provisions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sum of the Net Proceeds from the sale of the originally delivered Shares and the Net Proceeds from the sale of any Makewhole Shares is less than the absolute value of the Forward Cash Settlement Amount then Counterparty shall, at its election, either make such cash payment or deliver to Dealer further Makewhole Shares until such Shortfall has been reduced to zero.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AA-3</w:t>
      </w:r>
    </w:p>
    <w:p>
      <w:pPr>
        <w:sectPr>
          <w:pgSz w:w="11900" w:h="16838" w:orient="portrait"/>
          <w:cols w:equalWidth="0" w:num="1">
            <w:col w:w="10980"/>
          </w:cols>
          <w:pgMar w:left="460" w:top="266" w:right="459" w:bottom="1440" w:gutter="0" w:footer="0" w:header="0"/>
        </w:sectPr>
      </w:pPr>
    </w:p>
    <w:bookmarkStart w:id="36" w:name="page37"/>
    <w:bookmarkEnd w:id="36"/>
    <w:p>
      <w:pPr>
        <w:ind w:left="-180" w:right="40" w:firstLine="987"/>
        <w:spacing w:after="0" w:line="258" w:lineRule="auto"/>
        <w:tabs>
          <w:tab w:leader="none" w:pos="99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in no event shall the aggregate number of Settlement Shares for any Transaction be greater than the Reserved Shares for such Transaction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any Shares actually delivered by Counterparty under any other Transaction(s) under this Master Confirmation (the result of such calculation, the “</w:t>
      </w:r>
      <w:r>
        <w:rPr>
          <w:rFonts w:ascii="Times New Roman" w:cs="Times New Roman" w:eastAsia="Times New Roman" w:hAnsi="Times New Roman"/>
          <w:sz w:val="18"/>
          <w:szCs w:val="18"/>
          <w:b w:val="1"/>
          <w:bCs w:val="1"/>
          <w:color w:val="auto"/>
        </w:rPr>
        <w:t>Capped Number</w:t>
      </w:r>
      <w:r>
        <w:rPr>
          <w:rFonts w:ascii="Times New Roman" w:cs="Times New Roman" w:eastAsia="Times New Roman" w:hAnsi="Times New Roman"/>
          <w:sz w:val="18"/>
          <w:szCs w:val="18"/>
          <w:color w:val="auto"/>
        </w:rPr>
        <w:t>”). Counterparty represents and warrants (which shall be deemed to be repeated on each day that a Transaction is outstanding) that the Capped Number is equal to or less than the number of Shares determined according to the following formula: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B</w:t>
      </w:r>
    </w:p>
    <w:p>
      <w:pPr>
        <w:spacing w:after="0" w:line="252" w:lineRule="exact"/>
        <w:rPr>
          <w:sz w:val="20"/>
          <w:szCs w:val="20"/>
          <w:color w:val="auto"/>
        </w:rPr>
      </w:pPr>
    </w:p>
    <w:p>
      <w:pPr>
        <w:ind w:left="1440" w:right="240" w:hanging="639"/>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Where</w:t>
        <w:tab/>
        <w:t>A = the number of authorized but unissued shares of Counterparty that are not reserved for future issuance on the date of the determination of the Capped Number; and</w:t>
      </w:r>
    </w:p>
    <w:p>
      <w:pPr>
        <w:spacing w:after="0" w:line="162" w:lineRule="exact"/>
        <w:rPr>
          <w:sz w:val="20"/>
          <w:szCs w:val="20"/>
          <w:color w:val="auto"/>
        </w:rPr>
      </w:pPr>
    </w:p>
    <w:p>
      <w:pPr>
        <w:ind w:left="1460"/>
        <w:spacing w:after="0" w:line="266" w:lineRule="auto"/>
        <w:rPr>
          <w:sz w:val="20"/>
          <w:szCs w:val="20"/>
          <w:color w:val="auto"/>
        </w:rPr>
      </w:pPr>
      <w:r>
        <w:rPr>
          <w:rFonts w:ascii="Times New Roman" w:cs="Times New Roman" w:eastAsia="Times New Roman" w:hAnsi="Times New Roman"/>
          <w:sz w:val="18"/>
          <w:szCs w:val="18"/>
          <w:color w:val="auto"/>
        </w:rPr>
        <w:t>B = the maximum number of Shares required to be delivered to third parties if Counterparty elected Net Share Settlement of all transactions in the Shares (other than Transactions in the Shares under this Master Confirmation) with all third parties that are then currently outstanding and unexercised.</w:t>
      </w:r>
    </w:p>
    <w:p>
      <w:pPr>
        <w:spacing w:after="0" w:line="1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Shares</w:t>
      </w:r>
      <w:r>
        <w:rPr>
          <w:rFonts w:ascii="Times New Roman" w:cs="Times New Roman" w:eastAsia="Times New Roman" w:hAnsi="Times New Roman"/>
          <w:sz w:val="18"/>
          <w:szCs w:val="18"/>
          <w:color w:val="auto"/>
        </w:rPr>
        <w:t>” for any Transaction shall be as set forth in the Supplemental Confirmation for such Transaction.</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AA-4</w:t>
      </w:r>
    </w:p>
    <w:p>
      <w:pPr>
        <w:sectPr>
          <w:pgSz w:w="11900" w:h="16838" w:orient="portrait"/>
          <w:cols w:equalWidth="0" w:num="1">
            <w:col w:w="10640"/>
          </w:cols>
          <w:pgMar w:left="620" w:top="270" w:right="639" w:bottom="1440" w:gutter="0" w:footer="0" w:header="0"/>
        </w:sectPr>
      </w:pPr>
    </w:p>
    <w:bookmarkStart w:id="37" w:name="page38"/>
    <w:bookmarkEnd w:id="37"/>
    <w:p>
      <w:pPr>
        <w:ind w:left="100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CERTAIN IDENTIFIED INFORMAITON HAS BEEN EXCLUDED FROM THIS EXHIBIT BECAUSE IT IS NOT MATERIAL AND WOULD LIKELY CUASE COMPETITIVE HARM TO THE REGISTRANT IF PUBLICLY DISCLOSED. [***] INDICATES THAT INFORMATION HAS BEEN REDACTED.</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Published Deal CUSIP number: 37045PAX1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Published DDTL Facility CUSIP number: 37045PAY9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364-DAY DELAYED DRAW TERM LOAN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SEVERAL LENDERS FROM TIME TO TIME PARTIES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November 29,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BANK OF AMERICA, N.A.</w:t>
            </w:r>
          </w:p>
        </w:tc>
        <w:tc>
          <w:tcPr>
            <w:tcW w:w="5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GOLDMAN SACHS BANK USA</w:t>
            </w:r>
          </w:p>
        </w:tc>
      </w:tr>
      <w:tr>
        <w:trPr>
          <w:trHeight w:val="216"/>
        </w:trPr>
        <w:tc>
          <w:tcPr>
            <w:tcW w:w="5320" w:type="dxa"/>
            <w:vAlign w:val="bottom"/>
          </w:tcPr>
          <w:p>
            <w:pPr>
              <w:jc w:val="center"/>
              <w:ind w:left="230"/>
              <w:spacing w:after="0"/>
              <w:rPr>
                <w:sz w:val="20"/>
                <w:szCs w:val="20"/>
                <w:color w:val="auto"/>
              </w:rPr>
            </w:pPr>
            <w:r>
              <w:rPr>
                <w:rFonts w:ascii="Times New Roman" w:cs="Times New Roman" w:eastAsia="Times New Roman" w:hAnsi="Times New Roman"/>
                <w:sz w:val="18"/>
                <w:szCs w:val="18"/>
                <w:i w:val="1"/>
                <w:iCs w:val="1"/>
                <w:color w:val="auto"/>
                <w:w w:val="99"/>
              </w:rPr>
              <w:t xml:space="preserve">as Administrative Agent, and </w:t>
            </w:r>
            <w:r>
              <w:rPr>
                <w:rFonts w:ascii="Times New Roman" w:cs="Times New Roman" w:eastAsia="Times New Roman" w:hAnsi="Times New Roman"/>
                <w:sz w:val="18"/>
                <w:szCs w:val="18"/>
                <w:color w:val="auto"/>
                <w:w w:val="99"/>
              </w:rPr>
              <w:t>BOFA</w:t>
            </w:r>
          </w:p>
        </w:tc>
        <w:tc>
          <w:tcPr>
            <w:tcW w:w="5700" w:type="dxa"/>
            <w:vAlign w:val="bottom"/>
          </w:tcPr>
          <w:p>
            <w:pPr>
              <w:jc w:val="center"/>
              <w:ind w:left="310"/>
              <w:spacing w:after="0"/>
              <w:rPr>
                <w:sz w:val="20"/>
                <w:szCs w:val="20"/>
                <w:color w:val="auto"/>
              </w:rPr>
            </w:pPr>
            <w:r>
              <w:rPr>
                <w:rFonts w:ascii="Times New Roman" w:cs="Times New Roman" w:eastAsia="Times New Roman" w:hAnsi="Times New Roman"/>
                <w:sz w:val="18"/>
                <w:szCs w:val="18"/>
                <w:i w:val="1"/>
                <w:iCs w:val="1"/>
                <w:color w:val="auto"/>
                <w:w w:val="99"/>
              </w:rPr>
              <w:t>as Syndication Agent, Joint Lead Arranger and Joint Bookrunner</w:t>
            </w:r>
          </w:p>
        </w:tc>
      </w:tr>
      <w:tr>
        <w:trPr>
          <w:trHeight w:val="216"/>
        </w:trPr>
        <w:tc>
          <w:tcPr>
            <w:tcW w:w="53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 xml:space="preserve">SECURITIES, INC., </w:t>
            </w:r>
            <w:r>
              <w:rPr>
                <w:rFonts w:ascii="Times New Roman" w:cs="Times New Roman" w:eastAsia="Times New Roman" w:hAnsi="Times New Roman"/>
                <w:sz w:val="18"/>
                <w:szCs w:val="18"/>
                <w:i w:val="1"/>
                <w:iCs w:val="1"/>
                <w:color w:val="auto"/>
                <w:w w:val="99"/>
              </w:rPr>
              <w:t>as Joint Lead Arranger and</w:t>
            </w:r>
          </w:p>
        </w:tc>
        <w:tc>
          <w:tcPr>
            <w:tcW w:w="5700" w:type="dxa"/>
            <w:vAlign w:val="bottom"/>
          </w:tcPr>
          <w:p>
            <w:pPr>
              <w:spacing w:after="0"/>
              <w:rPr>
                <w:sz w:val="18"/>
                <w:szCs w:val="18"/>
                <w:color w:val="auto"/>
              </w:rPr>
            </w:pPr>
          </w:p>
        </w:tc>
      </w:tr>
      <w:tr>
        <w:trPr>
          <w:trHeight w:val="236"/>
        </w:trPr>
        <w:tc>
          <w:tcPr>
            <w:tcW w:w="5320" w:type="dxa"/>
            <w:vAlign w:val="bottom"/>
          </w:tcPr>
          <w:p>
            <w:pPr>
              <w:jc w:val="center"/>
              <w:ind w:left="210"/>
              <w:spacing w:after="0"/>
              <w:rPr>
                <w:sz w:val="20"/>
                <w:szCs w:val="20"/>
                <w:color w:val="auto"/>
              </w:rPr>
            </w:pPr>
            <w:r>
              <w:rPr>
                <w:rFonts w:ascii="Times New Roman" w:cs="Times New Roman" w:eastAsia="Times New Roman" w:hAnsi="Times New Roman"/>
                <w:sz w:val="18"/>
                <w:szCs w:val="18"/>
                <w:i w:val="1"/>
                <w:iCs w:val="1"/>
                <w:color w:val="auto"/>
                <w:w w:val="99"/>
              </w:rPr>
              <w:t>Joint Bookrunner</w:t>
            </w:r>
          </w:p>
        </w:tc>
        <w:tc>
          <w:tcPr>
            <w:tcW w:w="5700" w:type="dxa"/>
            <w:vAlign w:val="bottom"/>
          </w:tcPr>
          <w:p>
            <w:pPr>
              <w:spacing w:after="0"/>
              <w:rPr>
                <w:sz w:val="20"/>
                <w:szCs w:val="20"/>
                <w:color w:val="auto"/>
              </w:rPr>
            </w:pPr>
          </w:p>
        </w:tc>
      </w:tr>
      <w:tr>
        <w:trPr>
          <w:trHeight w:val="317"/>
        </w:trPr>
        <w:tc>
          <w:tcPr>
            <w:tcW w:w="53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BARCLAYS BANK PLC</w:t>
            </w:r>
          </w:p>
        </w:tc>
        <w:tc>
          <w:tcPr>
            <w:tcW w:w="5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CITIBANK, N.A.</w:t>
            </w:r>
          </w:p>
        </w:tc>
      </w:tr>
      <w:tr>
        <w:trPr>
          <w:trHeight w:val="216"/>
        </w:trPr>
        <w:tc>
          <w:tcPr>
            <w:tcW w:w="5320" w:type="dxa"/>
            <w:vAlign w:val="bottom"/>
          </w:tcPr>
          <w:p>
            <w:pPr>
              <w:jc w:val="center"/>
              <w:ind w:left="210"/>
              <w:spacing w:after="0"/>
              <w:rPr>
                <w:sz w:val="20"/>
                <w:szCs w:val="20"/>
                <w:color w:val="auto"/>
              </w:rPr>
            </w:pPr>
            <w:r>
              <w:rPr>
                <w:rFonts w:ascii="Times New Roman" w:cs="Times New Roman" w:eastAsia="Times New Roman" w:hAnsi="Times New Roman"/>
                <w:sz w:val="18"/>
                <w:szCs w:val="18"/>
                <w:i w:val="1"/>
                <w:iCs w:val="1"/>
                <w:color w:val="auto"/>
                <w:w w:val="99"/>
              </w:rPr>
              <w:t>as Co-Documentation Agent, Joint Lead Arranger</w:t>
            </w:r>
          </w:p>
        </w:tc>
        <w:tc>
          <w:tcPr>
            <w:tcW w:w="5700" w:type="dxa"/>
            <w:vAlign w:val="bottom"/>
          </w:tcPr>
          <w:p>
            <w:pPr>
              <w:jc w:val="center"/>
              <w:ind w:left="310"/>
              <w:spacing w:after="0"/>
              <w:rPr>
                <w:sz w:val="20"/>
                <w:szCs w:val="20"/>
                <w:color w:val="auto"/>
              </w:rPr>
            </w:pPr>
            <w:r>
              <w:rPr>
                <w:rFonts w:ascii="Times New Roman" w:cs="Times New Roman" w:eastAsia="Times New Roman" w:hAnsi="Times New Roman"/>
                <w:sz w:val="18"/>
                <w:szCs w:val="18"/>
                <w:i w:val="1"/>
                <w:iCs w:val="1"/>
                <w:color w:val="auto"/>
                <w:w w:val="99"/>
              </w:rPr>
              <w:t>as Co-Documentation Agent, Joint Lead Arranger</w:t>
            </w:r>
          </w:p>
        </w:tc>
      </w:tr>
      <w:tr>
        <w:trPr>
          <w:trHeight w:val="236"/>
        </w:trPr>
        <w:tc>
          <w:tcPr>
            <w:tcW w:w="5320" w:type="dxa"/>
            <w:vAlign w:val="bottom"/>
          </w:tcPr>
          <w:p>
            <w:pPr>
              <w:jc w:val="center"/>
              <w:ind w:left="210"/>
              <w:spacing w:after="0"/>
              <w:rPr>
                <w:sz w:val="20"/>
                <w:szCs w:val="20"/>
                <w:color w:val="auto"/>
              </w:rPr>
            </w:pPr>
            <w:r>
              <w:rPr>
                <w:rFonts w:ascii="Times New Roman" w:cs="Times New Roman" w:eastAsia="Times New Roman" w:hAnsi="Times New Roman"/>
                <w:sz w:val="18"/>
                <w:szCs w:val="18"/>
                <w:i w:val="1"/>
                <w:iCs w:val="1"/>
                <w:color w:val="auto"/>
                <w:w w:val="99"/>
              </w:rPr>
              <w:t>and Joint Bookrunner</w:t>
            </w:r>
          </w:p>
        </w:tc>
        <w:tc>
          <w:tcPr>
            <w:tcW w:w="5700" w:type="dxa"/>
            <w:vAlign w:val="bottom"/>
          </w:tcPr>
          <w:p>
            <w:pPr>
              <w:jc w:val="center"/>
              <w:ind w:left="310"/>
              <w:spacing w:after="0"/>
              <w:rPr>
                <w:sz w:val="20"/>
                <w:szCs w:val="20"/>
                <w:color w:val="auto"/>
              </w:rPr>
            </w:pPr>
            <w:r>
              <w:rPr>
                <w:rFonts w:ascii="Times New Roman" w:cs="Times New Roman" w:eastAsia="Times New Roman" w:hAnsi="Times New Roman"/>
                <w:sz w:val="18"/>
                <w:szCs w:val="18"/>
                <w:i w:val="1"/>
                <w:iCs w:val="1"/>
                <w:color w:val="auto"/>
                <w:w w:val="99"/>
              </w:rPr>
              <w:t>and Joint Bookrunner</w:t>
            </w:r>
          </w:p>
        </w:tc>
      </w:tr>
      <w:tr>
        <w:trPr>
          <w:trHeight w:val="270"/>
        </w:trPr>
        <w:tc>
          <w:tcPr>
            <w:tcW w:w="5320" w:type="dxa"/>
            <w:vAlign w:val="bottom"/>
            <w:tcBorders>
              <w:bottom w:val="single" w:sz="8" w:color="auto"/>
            </w:tcBorders>
          </w:tcPr>
          <w:p>
            <w:pPr>
              <w:spacing w:after="0"/>
              <w:rPr>
                <w:sz w:val="23"/>
                <w:szCs w:val="23"/>
                <w:color w:val="auto"/>
              </w:rPr>
            </w:pPr>
          </w:p>
        </w:tc>
        <w:tc>
          <w:tcPr>
            <w:tcW w:w="5700" w:type="dxa"/>
            <w:vAlign w:val="bottom"/>
            <w:tcBorders>
              <w:bottom w:val="single" w:sz="8" w:color="auto"/>
            </w:tcBorders>
          </w:tcPr>
          <w:p>
            <w:pPr>
              <w:spacing w:after="0"/>
              <w:rPr>
                <w:sz w:val="23"/>
                <w:szCs w:val="23"/>
                <w:color w:val="auto"/>
              </w:rPr>
            </w:pPr>
          </w:p>
        </w:tc>
      </w:tr>
      <w:tr>
        <w:trPr>
          <w:trHeight w:val="48"/>
        </w:trPr>
        <w:tc>
          <w:tcPr>
            <w:tcW w:w="532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117" w:right="439"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78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08"/>
        </w:trPr>
        <w:tc>
          <w:tcPr>
            <w:tcW w:w="7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Foreign Currencies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Procedure for Borrowing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Prepayments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on Term Benchmark Tranches and Daily Simple SOFR Borrowings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2.18.</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2.19.</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 Rata Treatment and Payments; Evidence of Debt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2.20.</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Requirements of Law</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2.21.</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2.23.</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Applicable Lending Office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2.24.</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Replacement/Termination of Lenders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2.25.</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w:t>
            </w:r>
          </w:p>
        </w:tc>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Reallocation of Payments for the Account of Defaulting Lenders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65"/>
        </w:trPr>
        <w:tc>
          <w:tcPr>
            <w:tcW w:w="760" w:type="dxa"/>
            <w:vAlign w:val="bottom"/>
          </w:tcPr>
          <w:p>
            <w:pPr>
              <w:spacing w:after="0"/>
              <w:rPr>
                <w:sz w:val="24"/>
                <w:szCs w:val="24"/>
                <w:color w:val="auto"/>
              </w:rPr>
            </w:pPr>
          </w:p>
        </w:tc>
        <w:tc>
          <w:tcPr>
            <w:tcW w:w="78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i</w:t>
            </w:r>
          </w:p>
        </w:tc>
        <w:tc>
          <w:tcPr>
            <w:tcW w:w="234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[RESERVED]</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Condition</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Change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Existence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Legal Bar</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Default</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of Property</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Regulations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 Act</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Solvency</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Effective Date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each Funding Date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Certificates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Business; Existence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of Insurance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Guarantors, etc.</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Books and Records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Ratings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Minimum Liquidity</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Indebtedness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 Sale Restrictions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Fundamental Changes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4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64"/>
        </w:trPr>
        <w:tc>
          <w:tcPr>
            <w:tcW w:w="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12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960"/>
          </w:cols>
          <w:pgMar w:left="440" w:top="378" w:right="49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ADMINISTRATIVE AGENT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as a Lender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Exculpatory Provisions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of Duties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Non-Reliance on the Administrative Agent, the Arrangers and the Other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Duties, Etc.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ERISA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Expenses; Limitation of Liability; Indemnity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Judgment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10.15.</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Releases of Guarantees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10.16.</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WAIVERS OF JURY TRIAL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10.18.</w:t>
            </w:r>
          </w:p>
        </w:tc>
        <w:tc>
          <w:tcPr>
            <w:tcW w:w="7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 and the Beneficial Ownership Regulation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65"/>
        </w:trPr>
        <w:tc>
          <w:tcPr>
            <w:tcW w:w="860" w:type="dxa"/>
            <w:vAlign w:val="bottom"/>
          </w:tcPr>
          <w:p>
            <w:pPr>
              <w:spacing w:after="0"/>
              <w:rPr>
                <w:sz w:val="24"/>
                <w:szCs w:val="24"/>
                <w:color w:val="auto"/>
              </w:rPr>
            </w:pPr>
          </w:p>
        </w:tc>
        <w:tc>
          <w:tcPr>
            <w:tcW w:w="7880" w:type="dxa"/>
            <w:vAlign w:val="bottom"/>
          </w:tcPr>
          <w:p>
            <w:pPr>
              <w:ind w:left="4560"/>
              <w:spacing w:after="0"/>
              <w:rPr>
                <w:sz w:val="20"/>
                <w:szCs w:val="20"/>
                <w:color w:val="auto"/>
              </w:rPr>
            </w:pPr>
            <w:r>
              <w:rPr>
                <w:rFonts w:ascii="Times New Roman" w:cs="Times New Roman" w:eastAsia="Times New Roman" w:hAnsi="Times New Roman"/>
                <w:sz w:val="18"/>
                <w:szCs w:val="18"/>
                <w:color w:val="auto"/>
              </w:rPr>
              <w:t>iii</w:t>
            </w:r>
          </w:p>
        </w:tc>
        <w:tc>
          <w:tcPr>
            <w:tcW w:w="2220" w:type="dxa"/>
            <w:vAlign w:val="bottom"/>
          </w:tcPr>
          <w:p>
            <w:pPr>
              <w:spacing w:after="0"/>
              <w:rPr>
                <w:sz w:val="24"/>
                <w:szCs w:val="24"/>
                <w:color w:val="auto"/>
              </w:rPr>
            </w:pPr>
          </w:p>
        </w:tc>
      </w:tr>
    </w:tbl>
    <w:p>
      <w:pPr>
        <w:sectPr>
          <w:pgSz w:w="11900" w:h="16838" w:orient="portrait"/>
          <w:cols w:equalWidth="0" w:num="1">
            <w:col w:w="10960"/>
          </w:cols>
          <w:pgMar w:left="440" w:top="378" w:right="49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10.19.</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10.20.</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10.21.</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10.22.</w:t>
            </w:r>
          </w:p>
        </w:tc>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Rate Limitations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64"/>
        </w:trPr>
        <w:tc>
          <w:tcPr>
            <w:tcW w:w="520" w:type="dxa"/>
            <w:vAlign w:val="bottom"/>
          </w:tcPr>
          <w:p>
            <w:pPr>
              <w:spacing w:after="0"/>
              <w:rPr>
                <w:sz w:val="24"/>
                <w:szCs w:val="24"/>
                <w:color w:val="auto"/>
              </w:rPr>
            </w:pPr>
          </w:p>
        </w:tc>
        <w:tc>
          <w:tcPr>
            <w:tcW w:w="782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iv</w:t>
            </w:r>
          </w:p>
        </w:tc>
        <w:tc>
          <w:tcPr>
            <w:tcW w:w="2460" w:type="dxa"/>
            <w:vAlign w:val="bottom"/>
          </w:tcPr>
          <w:p>
            <w:pPr>
              <w:spacing w:after="0"/>
              <w:rPr>
                <w:sz w:val="24"/>
                <w:szCs w:val="24"/>
                <w:color w:val="auto"/>
              </w:rPr>
            </w:pPr>
          </w:p>
        </w:tc>
      </w:tr>
    </w:tbl>
    <w:p>
      <w:pPr>
        <w:sectPr>
          <w:pgSz w:w="11900" w:h="16838" w:orient="portrait"/>
          <w:cols w:equalWidth="0" w:num="1">
            <w:col w:w="10800"/>
          </w:cols>
          <w:pgMar w:left="440" w:top="378" w:right="659" w:bottom="1440" w:gutter="0" w:footer="0" w:header="0"/>
        </w:sectPr>
      </w:pPr>
    </w:p>
    <w:bookmarkStart w:id="42" w:name="page43"/>
    <w:bookmarkEnd w:id="4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1.1A</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1.1B</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Initial Excluded Subsidiaries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1.1C</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Applicable Pricing Grid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1.1D</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1.1E</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Excluded Subsidiary Businesses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784" w:hanging="784"/>
        <w:spacing w:after="0"/>
        <w:tabs>
          <w:tab w:leader="none" w:pos="7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Guarantee</w:t>
      </w:r>
    </w:p>
    <w:p>
      <w:pPr>
        <w:spacing w:after="0" w:line="27" w:lineRule="exact"/>
        <w:rPr>
          <w:sz w:val="20"/>
          <w:szCs w:val="20"/>
          <w:color w:val="auto"/>
        </w:rPr>
      </w:pPr>
    </w:p>
    <w:p>
      <w:pPr>
        <w:ind w:left="784" w:hanging="784"/>
        <w:spacing w:after="0"/>
        <w:tabs>
          <w:tab w:leader="none" w:pos="7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784" w:hanging="784"/>
        <w:spacing w:after="0"/>
        <w:tabs>
          <w:tab w:leader="none" w:pos="7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784" w:hanging="784"/>
        <w:spacing w:after="0"/>
        <w:tabs>
          <w:tab w:leader="none" w:pos="7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784" w:hanging="784"/>
        <w:spacing w:after="0"/>
        <w:tabs>
          <w:tab w:leader="none" w:pos="7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784" w:hanging="784"/>
        <w:spacing w:after="0"/>
        <w:tabs>
          <w:tab w:leader="none" w:pos="7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Closing Certificate</w:t>
      </w:r>
    </w:p>
    <w:p>
      <w:pPr>
        <w:spacing w:after="0" w:line="9" w:lineRule="exact"/>
        <w:rPr>
          <w:sz w:val="20"/>
          <w:szCs w:val="20"/>
          <w:color w:val="auto"/>
        </w:rPr>
      </w:pPr>
    </w:p>
    <w:p>
      <w:pPr>
        <w:ind w:left="784" w:hanging="784"/>
        <w:spacing w:after="0"/>
        <w:tabs>
          <w:tab w:leader="none" w:pos="7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Assumption</w:t>
      </w:r>
    </w:p>
    <w:p>
      <w:pPr>
        <w:spacing w:after="0" w:line="9" w:lineRule="exact"/>
        <w:rPr>
          <w:sz w:val="20"/>
          <w:szCs w:val="20"/>
          <w:color w:val="auto"/>
        </w:rPr>
      </w:pPr>
    </w:p>
    <w:p>
      <w:pPr>
        <w:ind w:left="784" w:hanging="784"/>
        <w:spacing w:after="0"/>
        <w:tabs>
          <w:tab w:leader="none" w:pos="7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I-1</w:t>
      </w:r>
      <w:r>
        <w:rPr>
          <w:sz w:val="20"/>
          <w:szCs w:val="20"/>
          <w:color w:val="auto"/>
        </w:rPr>
        <w:tab/>
      </w:r>
      <w:r>
        <w:rPr>
          <w:rFonts w:ascii="Times New Roman" w:cs="Times New Roman" w:eastAsia="Times New Roman" w:hAnsi="Times New Roman"/>
          <w:sz w:val="18"/>
          <w:szCs w:val="18"/>
          <w:color w:val="auto"/>
        </w:rPr>
        <w:t>Form of Exemption Certificate for Non-Partnership Non-U.S. Lenders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I-2</w:t>
      </w:r>
      <w:r>
        <w:rPr>
          <w:sz w:val="20"/>
          <w:szCs w:val="20"/>
          <w:color w:val="auto"/>
        </w:rPr>
        <w:tab/>
      </w:r>
      <w:r>
        <w:rPr>
          <w:rFonts w:ascii="Times New Roman" w:cs="Times New Roman" w:eastAsia="Times New Roman" w:hAnsi="Times New Roman"/>
          <w:sz w:val="17"/>
          <w:szCs w:val="17"/>
          <w:color w:val="auto"/>
        </w:rPr>
        <w:t>Form of Exemption Certificate for Partnership Non-U.S. Lenders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I-3</w:t>
      </w:r>
      <w:r>
        <w:rPr>
          <w:sz w:val="20"/>
          <w:szCs w:val="20"/>
          <w:color w:val="auto"/>
        </w:rPr>
        <w:tab/>
      </w:r>
      <w:r>
        <w:rPr>
          <w:rFonts w:ascii="Times New Roman" w:cs="Times New Roman" w:eastAsia="Times New Roman" w:hAnsi="Times New Roman"/>
          <w:sz w:val="17"/>
          <w:szCs w:val="17"/>
          <w:color w:val="auto"/>
        </w:rPr>
        <w:t>Form of Exemption Certificate for Non-Partnership Non-U.S. Participants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I-4</w:t>
      </w:r>
      <w:r>
        <w:rPr>
          <w:sz w:val="20"/>
          <w:szCs w:val="20"/>
          <w:color w:val="auto"/>
        </w:rPr>
        <w:tab/>
      </w:r>
      <w:r>
        <w:rPr>
          <w:rFonts w:ascii="Times New Roman" w:cs="Times New Roman" w:eastAsia="Times New Roman" w:hAnsi="Times New Roman"/>
          <w:sz w:val="18"/>
          <w:szCs w:val="18"/>
          <w:color w:val="auto"/>
        </w:rPr>
        <w:t>Form of Exemption Certificate for Partnership Non-U.S. Participants</w:t>
      </w:r>
    </w:p>
    <w:p>
      <w:pPr>
        <w:spacing w:after="0" w:line="9" w:lineRule="exact"/>
        <w:rPr>
          <w:sz w:val="20"/>
          <w:szCs w:val="20"/>
          <w:color w:val="auto"/>
        </w:rPr>
      </w:pPr>
    </w:p>
    <w:p>
      <w:pPr>
        <w:ind w:left="784" w:hanging="784"/>
        <w:spacing w:after="0"/>
        <w:tabs>
          <w:tab w:leader="none" w:pos="7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ind w:left="784" w:hanging="784"/>
        <w:spacing w:after="0"/>
        <w:tabs>
          <w:tab w:leader="none" w:pos="7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Note</w:t>
      </w:r>
    </w:p>
    <w:p>
      <w:pPr>
        <w:spacing w:after="0" w:line="9" w:lineRule="exact"/>
        <w:rPr>
          <w:sz w:val="20"/>
          <w:szCs w:val="20"/>
          <w:color w:val="auto"/>
        </w:rPr>
      </w:pPr>
    </w:p>
    <w:p>
      <w:pPr>
        <w:ind w:left="784" w:hanging="784"/>
        <w:spacing w:after="0"/>
        <w:tabs>
          <w:tab w:leader="none" w:pos="7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Borrowing Request</w:t>
      </w:r>
    </w:p>
    <w:p>
      <w:pPr>
        <w:spacing w:after="0" w:line="139"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23"/>
          </w:cols>
          <w:pgMar w:left="436" w:top="270" w:right="1440" w:bottom="1440" w:gutter="0" w:footer="0" w:header="0"/>
        </w:sectPr>
      </w:pPr>
    </w:p>
    <w:bookmarkStart w:id="43" w:name="page44"/>
    <w:bookmarkEnd w:id="43"/>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364-DAY DELAYED DRAW TERM LOAN CREDIT AGREEMENT, dated as of November 29, 2023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several banks and other financial institutions or entities from time to time parties hereto, as lenders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BANK OF AMERICA, N.A. (and any of its branches and affiliates acting on its behalf in such capacity),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GOLDMAN SACHS BANK USA as syndication agent (in such capacity, the “</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and BARCLAYS BANK PLC and CITIBANK, N.A., each as co-documentation agent (in such capacity, the “</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parties hereto hereby agree that on the Effective Date (as defined below), this Agreement shall be effective as follows: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SECTION 1</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DEFINITIONS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terms listed in this Section 1.1 shall have the respective meanings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2022 10-K</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ind w:right="14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2023 364-Day Revolving Credit Agreement</w:t>
      </w:r>
      <w:r>
        <w:rPr>
          <w:rFonts w:ascii="Times New Roman" w:cs="Times New Roman" w:eastAsia="Times New Roman" w:hAnsi="Times New Roman"/>
          <w:sz w:val="17"/>
          <w:szCs w:val="17"/>
          <w:color w:val="auto"/>
        </w:rPr>
        <w:t>” means (i) that certain Fifth Amended and Restated 364-Day Revolving Credit Agreement, dated as of March 31, 2023, among the Company, GMF, certain other subsidiaries of the Company from time to time party thereto as borrowers, the several banks and other financial institutions or entities from time to time parties thereto, as lenders, JPMorgan Chase Bank, N.A., as administrative agent, Citibank, N.A., as syndication agent and Bank of America, N.A., as co-syndication agent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2023 364-Day Revolving Credit Agreement referred to in clause (i) above or any other agreement or instrument referred to in this clause (ii) unless the Company notifies the Administrative Agent that it is not intended to be a “2023 364-Day Revolving Credit Agreement” hereunder. All references to the “2023 364-Day Revolving Credit Agreement” in this Agreement shall refer to any 2023 364-Day Revolving Credit Agreement then extant.</w:t>
      </w:r>
    </w:p>
    <w:p>
      <w:pPr>
        <w:spacing w:after="0" w:line="177"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364-Day Total Available Commitments</w:t>
      </w:r>
      <w:r>
        <w:rPr>
          <w:rFonts w:ascii="Times New Roman" w:cs="Times New Roman" w:eastAsia="Times New Roman" w:hAnsi="Times New Roman"/>
          <w:sz w:val="18"/>
          <w:szCs w:val="18"/>
          <w:color w:val="auto"/>
        </w:rPr>
        <w:t>” means the “Total Available Commitments” (or equivalent term) under, and as defined in, the 2023 364-Day Revolving Credit Agreement (it being understood that if there is more than one 2023 364-Day Revolving Credit Agreement in effect at any time, references hereunder to “2023 364-Day Total Available Commitments” shall be deemed to mean the sum of the “2023 364-Day Total Available Commitments” (as defined above) under each such agreement).</w:t>
      </w:r>
    </w:p>
    <w:p>
      <w:pPr>
        <w:spacing w:after="0" w:line="18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Revolving Credit Agreement</w:t>
      </w:r>
      <w:r>
        <w:rPr>
          <w:rFonts w:ascii="Times New Roman" w:cs="Times New Roman" w:eastAsia="Times New Roman" w:hAnsi="Times New Roman"/>
          <w:sz w:val="18"/>
          <w:szCs w:val="18"/>
          <w:color w:val="auto"/>
        </w:rPr>
        <w:t>” means (i) that certain Fifth Amended and Restated Three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w:t>
      </w:r>
    </w:p>
    <w:p>
      <w:pPr>
        <w:sectPr>
          <w:pgSz w:w="11900" w:h="16838" w:orient="portrait"/>
          <w:cols w:equalWidth="0" w:num="1">
            <w:col w:w="10980"/>
          </w:cols>
          <w:pgMar w:left="440" w:top="270" w:right="479" w:bottom="1440" w:gutter="0" w:footer="0" w:header="0"/>
        </w:sectPr>
      </w:pPr>
    </w:p>
    <w:bookmarkStart w:id="44" w:name="page45"/>
    <w:bookmarkEnd w:id="4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incurred to extend, replace, renew, defease, exchange, repay, refinance or refund in whole or in part the Indebtedness and other obligations outstanding under the Fifth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83"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Total Available Commitments</w:t>
      </w:r>
      <w:r>
        <w:rPr>
          <w:rFonts w:ascii="Times New Roman" w:cs="Times New Roman" w:eastAsia="Times New Roman" w:hAnsi="Times New Roman"/>
          <w:sz w:val="18"/>
          <w:szCs w:val="18"/>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80"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Revolving Credit Agreement</w:t>
      </w:r>
      <w:r>
        <w:rPr>
          <w:rFonts w:ascii="Times New Roman" w:cs="Times New Roman" w:eastAsia="Times New Roman" w:hAnsi="Times New Roman"/>
          <w:sz w:val="18"/>
          <w:szCs w:val="18"/>
          <w:color w:val="auto"/>
        </w:rPr>
        <w:t>” means (i) that certain Fourth Amended and Restated Five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Fourth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94"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Total Available Commitments</w:t>
      </w:r>
      <w:r>
        <w:rPr>
          <w:rFonts w:ascii="Times New Roman" w:cs="Times New Roman" w:eastAsia="Times New Roman" w:hAnsi="Times New Roman"/>
          <w:sz w:val="18"/>
          <w:szCs w:val="18"/>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80" w:lineRule="exact"/>
        <w:rPr>
          <w:sz w:val="20"/>
          <w:szCs w:val="20"/>
          <w:color w:val="auto"/>
        </w:rPr>
      </w:pPr>
    </w:p>
    <w:p>
      <w:pPr>
        <w:ind w:firstLine="991"/>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1.00% and (c) the Adjusted Term SOFR Rate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45" w:name="page46"/>
    <w:bookmarkEnd w:id="4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ABR Loans</w:t>
      </w:r>
      <w:r>
        <w:rPr>
          <w:rFonts w:ascii="Times New Roman" w:cs="Times New Roman" w:eastAsia="Times New Roman" w:hAnsi="Times New Roman"/>
          <w:sz w:val="18"/>
          <w:szCs w:val="18"/>
          <w:color w:val="auto"/>
        </w:rPr>
        <w:t>” means Loans the rate of interest applicable to which is based upon the ABR.</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10.8.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and the UK Bribery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any Lender, such Lender’s office, branch or affiliate designated for Term Benchmark Loans, Daily Simple SOFR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8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Daily Simple SOFR Loan or Term Benchmark Loan, as the case may be, the applicable rate per annum set forth under the relevant column heading in the Applicable Pricing Grid, based upon the Applicable Rating in effect on such day.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Pricing Grid</w:t>
      </w:r>
      <w:r>
        <w:rPr>
          <w:rFonts w:ascii="Times New Roman" w:cs="Times New Roman" w:eastAsia="Times New Roman" w:hAnsi="Times New Roman"/>
          <w:sz w:val="18"/>
          <w:szCs w:val="18"/>
          <w:color w:val="auto"/>
        </w:rPr>
        <w:t>” means the table set forth on Schedule 1.1C.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Rating</w:t>
      </w:r>
      <w:r>
        <w:rPr>
          <w:rFonts w:ascii="Times New Roman" w:cs="Times New Roman" w:eastAsia="Times New Roman" w:hAnsi="Times New Roman"/>
          <w:sz w:val="18"/>
          <w:szCs w:val="18"/>
          <w:color w:val="auto"/>
        </w:rPr>
        <w:t>” means the Index Debt Rating.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10.2(b).</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46" w:name="page47"/>
    <w:bookmarkEnd w:id="46"/>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the Syndication Agent, Bookrunners, Lead Arrangers, Co-Documentation Agents, or other agents identified on the cover page to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has the meaning assigned to such term in Section 10.6(b).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G.</w:t>
      </w:r>
    </w:p>
    <w:p>
      <w:pPr>
        <w:spacing w:after="0" w:line="225" w:lineRule="exact"/>
        <w:rPr>
          <w:sz w:val="20"/>
          <w:szCs w:val="20"/>
          <w:color w:val="auto"/>
        </w:rPr>
      </w:pPr>
    </w:p>
    <w:p>
      <w:pPr>
        <w:ind w:right="3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83"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III</w:t>
      </w:r>
      <w:r>
        <w:rPr>
          <w:rFonts w:ascii="Times New Roman" w:cs="Times New Roman" w:eastAsia="Times New Roman" w:hAnsi="Times New Roman"/>
          <w:sz w:val="18"/>
          <w:szCs w:val="18"/>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with respect to any (i) Daily Simple SOFR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2.18.</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7" w:name="page48"/>
    <w:bookmarkEnd w:id="47"/>
    <w:p>
      <w:pPr>
        <w:ind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Benchmark Replacement</w:t>
      </w:r>
      <w:r>
        <w:rPr>
          <w:rFonts w:ascii="Times New Roman" w:cs="Times New Roman" w:eastAsia="Times New Roman" w:hAnsi="Times New Roman"/>
          <w:sz w:val="17"/>
          <w:szCs w:val="17"/>
          <w:color w:val="auto"/>
        </w:rPr>
        <w:t>”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68"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4" w:lineRule="exact"/>
        <w:rPr>
          <w:sz w:val="20"/>
          <w:szCs w:val="20"/>
          <w:color w:val="auto"/>
        </w:rPr>
      </w:pPr>
    </w:p>
    <w:p>
      <w:pPr>
        <w:ind w:left="440" w:right="40" w:firstLine="419"/>
        <w:spacing w:after="0" w:line="266"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58"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48" w:name="page49"/>
    <w:bookmarkEnd w:id="48"/>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ind w:left="440" w:firstLine="419"/>
        <w:spacing w:after="0" w:line="261"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54"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8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49" w:name="page50"/>
    <w:bookmarkEnd w:id="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Benefitted Lender</w:t>
      </w:r>
      <w:r>
        <w:rPr>
          <w:rFonts w:ascii="Times New Roman" w:cs="Times New Roman" w:eastAsia="Times New Roman" w:hAnsi="Times New Roman"/>
          <w:sz w:val="18"/>
          <w:szCs w:val="18"/>
          <w:color w:val="auto"/>
        </w:rPr>
        <w:t>” has the meaning assigned to such term in Section 10.7.</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Term Benchmark Loans, as to which a single Interest Period is in effect.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Company for a Loan in substantially the form of Exhibit L.</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in addition to the foregoing, a Business Day shall be (a) in relation to Daily Simple SOFR Loans and any interest rate setting, fundings, disbursements, settlements or payments of any such Daily Simple SOFR Loan, or any other dealings of such Daily Simple SOFR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0" w:name="page51"/>
    <w:bookmarkEnd w:id="5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events: (a) any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(as such terms are used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13(d) and 14(d) of the Exchange Act) shall become, or obtain rights (whether by means of warrants, options or otherwise) to become,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(as defined in Rules 13(d)-3 and 13(d) -5 under the Exchange Act), directly or indirectly, of more than 50% of the outstanding Voting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Company or (b) Continuing Directors cease to constitute at least a majority of the members of the board of directors of the Company.</w:t>
      </w:r>
    </w:p>
    <w:p>
      <w:pPr>
        <w:spacing w:after="0" w:line="20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w:t>
      </w:r>
      <w:r>
        <w:rPr>
          <w:rFonts w:ascii="Times New Roman" w:cs="Times New Roman" w:eastAsia="Times New Roman" w:hAnsi="Times New Roman"/>
          <w:sz w:val="18"/>
          <w:szCs w:val="18"/>
          <w:color w:val="auto"/>
        </w:rPr>
        <w:t>” means any person that is primarily engaged in the issuance of securities based on, collateralized by or otherwise backed by one or more pools of assets consisting primarily of bank loans.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has the meaning assigned to such term in Section 2.10(a).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means, for each day, the rate per annum equal to [***]%.</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means June 28, 2024, or, if earlier, the date of termination in whole of the Commitments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2.11.</w:t>
      </w:r>
    </w:p>
    <w:p>
      <w:pPr>
        <w:spacing w:after="0" w:line="20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jc w:val="center"/>
        <w:ind w:right="16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duly executed by a Responsible Officer, substantially in the form of Exhibit J. 8</w:t>
      </w:r>
    </w:p>
    <w:p>
      <w:pPr>
        <w:sectPr>
          <w:pgSz w:w="11900" w:h="16838" w:orient="portrait"/>
          <w:cols w:equalWidth="0" w:num="1">
            <w:col w:w="11000"/>
          </w:cols>
          <w:pgMar w:left="440" w:top="270" w:right="459" w:bottom="1440" w:gutter="0" w:footer="0" w:header="0"/>
        </w:sectPr>
      </w:pPr>
    </w:p>
    <w:bookmarkStart w:id="51" w:name="page52"/>
    <w:bookmarkEnd w:id="51"/>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Domestic Liquidity</w:t>
      </w:r>
      <w:r>
        <w:rPr>
          <w:rFonts w:ascii="Times New Roman" w:cs="Times New Roman" w:eastAsia="Times New Roman" w:hAnsi="Times New Roman"/>
          <w:sz w:val="18"/>
          <w:szCs w:val="18"/>
          <w:color w:val="auto"/>
        </w:rPr>
        <w:t xml:space="preserve">” means, as of any date of determination, the sum of (a) the 3-Year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2023 364-Day Total Available Commitments plus (d) the Total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the total available commitments (after giving effect to any applicable borrowing base limitations) under other then-effective committed credit facilities of the Company or any Domestic Subsidiary,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9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Global Liquidity</w:t>
      </w:r>
      <w:r>
        <w:rPr>
          <w:rFonts w:ascii="Times New Roman" w:cs="Times New Roman" w:eastAsia="Times New Roman" w:hAnsi="Times New Roman"/>
          <w:sz w:val="18"/>
          <w:szCs w:val="18"/>
          <w:color w:val="auto"/>
        </w:rPr>
        <w:t xml:space="preserve">” means as of any date of determination, the sum of (a) the 3-Year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5-Year Total Available Commitments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2023 364-Day Total Available Commitments plus (d) the Total Commitments at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the total available commitments (after giving effect to any applicable borrowing base limitations) under other then-effective committed credit facilities of the Company or any of its Subsidiaries, but excluding any warehouse facility of GMF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89"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76" w:lineRule="exact"/>
        <w:rPr>
          <w:sz w:val="20"/>
          <w:szCs w:val="20"/>
          <w:color w:val="auto"/>
        </w:rPr>
      </w:pPr>
    </w:p>
    <w:p>
      <w:pPr>
        <w:jc w:val="both"/>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an individual (a) who is a member of the board of directors of the Company on the Effective Date or (b) who has been nominated or appointed to be a member of such board of directors, or approved or otherwise ratified, by a majority of the other Continuing Directors then in office.</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5460" w:right="2520" w:hanging="4601"/>
        <w:spacing w:after="0" w:line="454" w:lineRule="auto"/>
        <w:tabs>
          <w:tab w:leader="none" w:pos="10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 9</w:t>
      </w:r>
    </w:p>
    <w:p>
      <w:pPr>
        <w:sectPr>
          <w:pgSz w:w="11900" w:h="16838" w:orient="portrait"/>
          <w:cols w:equalWidth="0" w:num="1">
            <w:col w:w="11000"/>
          </w:cols>
          <w:pgMar w:left="440" w:top="270" w:right="459" w:bottom="1440" w:gutter="0" w:footer="0" w:header="0"/>
        </w:sectPr>
      </w:pPr>
    </w:p>
    <w:bookmarkStart w:id="52" w:name="page53"/>
    <w:bookmarkEnd w:id="52"/>
    <w:p>
      <w:pPr>
        <w:ind w:left="1120" w:hanging="261"/>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the aggregate principal amount of its outstanding Commitment and Extensions of Credit at such time.</w:t>
      </w:r>
    </w:p>
    <w:p>
      <w:pPr>
        <w:spacing w:after="0" w:line="162"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8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Incurrence</w:t>
      </w:r>
      <w:r>
        <w:rPr>
          <w:rFonts w:ascii="Times New Roman" w:cs="Times New Roman" w:eastAsia="Times New Roman" w:hAnsi="Times New Roman"/>
          <w:sz w:val="18"/>
          <w:szCs w:val="18"/>
          <w:color w:val="auto"/>
        </w:rPr>
        <w:t>” means any incurrence of Indebtedness by the Company or any of its Subsidiaries, whether pursuant to a public offering or in a Rule 144A or other private placement of debt securities (including debt securities convertible into equity securities) other than (a) any Indebtedness incurred by any Subsidiary of the Company that is organized outside the United States (whether or not guaranteed by the Company or any of its Subsidiaries), (b) Indebtedness incurred under a warehouse facility of GMF or indebtedness incurred by a Finance Subsidiary in the ordinary course of its business and (c) Indebtedness the proceeds of which are intended to refinance Indebtedness existing on the Effective Date in respect of any senior unsecured notes of the Company maturing prior to October 31, 2025, in each case, that does not increase the aggregate principal amount thereof (plus accrued unpaid interest and premium thereon and underwriting discounts, fees, commissions and expenses).</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of the events specified in Section 8, whether or not any requirement for the giving of notice, the lapse of time, or both, has been satisfied.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3" w:name="page54"/>
    <w:bookmarkEnd w:id="53"/>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Designated Principal Trade Name</w:t>
      </w:r>
      <w:r>
        <w:rPr>
          <w:rFonts w:ascii="Times New Roman" w:cs="Times New Roman" w:eastAsia="Times New Roman" w:hAnsi="Times New Roman"/>
          <w:sz w:val="18"/>
          <w:szCs w:val="18"/>
          <w:color w:val="auto"/>
        </w:rPr>
        <w:t xml:space="preserve">” means a Principal Trade Name, designated by the Company as the “Designated Principal Trade Name” in a written notice to the Administrative Agent pursuant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only one Principal Trade Name may be designated as a “Designated Principal Trade Name” during the term of this Agreement.</w:t>
      </w:r>
    </w:p>
    <w:p>
      <w:pPr>
        <w:spacing w:after="0" w:line="176" w:lineRule="exact"/>
        <w:rPr>
          <w:sz w:val="20"/>
          <w:szCs w:val="20"/>
          <w:color w:val="auto"/>
        </w:rPr>
      </w:pPr>
    </w:p>
    <w:p>
      <w:pPr>
        <w:jc w:val="both"/>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means, with respect to any property, any sale, transfer or other disposition thereof; and the terms “Dispose” and “Disposed of” shall have correlative meanings;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w:t>
      </w:r>
    </w:p>
    <w:p>
      <w:pPr>
        <w:spacing w:after="0" w:line="27" w:lineRule="exact"/>
        <w:rPr>
          <w:sz w:val="20"/>
          <w:szCs w:val="20"/>
          <w:color w:val="auto"/>
        </w:rPr>
      </w:pPr>
    </w:p>
    <w:p>
      <w:pPr>
        <w:ind w:left="4" w:right="120" w:hanging="4"/>
        <w:spacing w:after="0" w:line="253"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the United States.</w:t>
      </w:r>
    </w:p>
    <w:p>
      <w:pPr>
        <w:spacing w:after="0" w:line="225" w:lineRule="exact"/>
        <w:rPr>
          <w:sz w:val="20"/>
          <w:szCs w:val="20"/>
          <w:color w:val="auto"/>
        </w:rPr>
      </w:pPr>
    </w:p>
    <w:p>
      <w:pPr>
        <w:jc w:val="both"/>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76"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5.1 are satisfied.</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54" w:name="page55"/>
    <w:bookmarkEnd w:id="54"/>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76"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Default</w:t>
      </w:r>
      <w:r>
        <w:rPr>
          <w:rFonts w:ascii="Times New Roman" w:cs="Times New Roman" w:eastAsia="Times New Roman" w:hAnsi="Times New Roman"/>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w:t>
      </w:r>
    </w:p>
    <w:p>
      <w:pPr>
        <w:spacing w:after="0" w:line="4" w:lineRule="exact"/>
        <w:rPr>
          <w:sz w:val="20"/>
          <w:szCs w:val="20"/>
          <w:color w:val="auto"/>
        </w:rPr>
      </w:pPr>
    </w:p>
    <w:p>
      <w:pPr>
        <w:ind w:left="4" w:right="300" w:hanging="4"/>
        <w:spacing w:after="0" w:line="255" w:lineRule="auto"/>
        <w:tabs>
          <w:tab w:leader="none" w:pos="3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186"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Issuance</w:t>
      </w:r>
      <w:r>
        <w:rPr>
          <w:rFonts w:ascii="Times New Roman" w:cs="Times New Roman" w:eastAsia="Times New Roman" w:hAnsi="Times New Roman"/>
          <w:sz w:val="18"/>
          <w:szCs w:val="18"/>
          <w:color w:val="auto"/>
        </w:rPr>
        <w:t>” means any issuance by the Company of any Capital Stock or any securities (including any equity-linked securities) that derive their value or rate of return by reference to Capital Stock in the Company, whether pursuant to a public offering or in a Rule 144A or other private placement, other than (a) securities issued pursuant to employee stock plans or employee compensation plans or contributed to pension funds and (b) securities or interests issued or transferred as consideration in connection with any acquisition, divestiture or joint venture arrangement.</w:t>
      </w:r>
    </w:p>
    <w:p>
      <w:pPr>
        <w:spacing w:after="0" w:line="180" w:lineRule="exact"/>
        <w:rPr>
          <w:sz w:val="20"/>
          <w:szCs w:val="20"/>
          <w:color w:val="auto"/>
        </w:rPr>
      </w:pPr>
    </w:p>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means any of the events specified in Section 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requirement for the giving of notice, the lapse of time, or both, has been satisfied.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and Exchange Act of 1934, as amended.</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55" w:name="page56"/>
    <w:bookmarkEnd w:id="55"/>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on such day.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GM Holdings, (b) each of the Initial Excluded Subsidiaries, (c) each Subsidiary of the Company that</w:t>
      </w:r>
    </w:p>
    <w:p>
      <w:pPr>
        <w:spacing w:after="0" w:line="27" w:lineRule="exact"/>
        <w:rPr>
          <w:sz w:val="20"/>
          <w:szCs w:val="20"/>
          <w:color w:val="auto"/>
        </w:rPr>
      </w:pPr>
    </w:p>
    <w:p>
      <w:pPr>
        <w:ind w:left="4" w:right="80" w:hanging="4"/>
        <w:spacing w:after="0" w:line="250" w:lineRule="auto"/>
        <w:tabs>
          <w:tab w:leader="none" w:pos="2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prohibited by any applicable requirement of law or Governmental Authority from guaranteeing the obligations of the Loan Parties or (ii) is acquired after the Effective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contract, agreement, instrument, indenture or other Contractual Obligation shall not have been entered into in contemplation of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Subsidiary shall cease to be an Excluded Subsidiary upon the termination of such contract, agreement, instrument, indenture or other Contractual Obligation, and will become a Subsidiary Guarantor only if required by and pursuant to this Agreement,</w:t>
      </w:r>
    </w:p>
    <w:p>
      <w:pPr>
        <w:spacing w:after="0" w:line="2" w:lineRule="exact"/>
        <w:rPr>
          <w:rFonts w:ascii="Times New Roman" w:cs="Times New Roman" w:eastAsia="Times New Roman" w:hAnsi="Times New Roman"/>
          <w:sz w:val="18"/>
          <w:szCs w:val="18"/>
          <w:color w:val="auto"/>
        </w:rPr>
      </w:pPr>
    </w:p>
    <w:p>
      <w:pPr>
        <w:ind w:left="4" w:right="60" w:hanging="4"/>
        <w:spacing w:after="0" w:line="253"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Foreign Subsidiary, (e) each Subsidiary of a Foreign Subsidiary, (f) each Foreign Subsidiary Holding Company, (g) each Unconsolidated Subsidiary, (h) each Finance Subsidiary of the Company, (i) each Subsidiary that is a dealership and (j) each Subsidiary acquired or formed after the Effective Date primarily to operate an Excluded Subsidiary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 Businesses</w:t>
      </w:r>
      <w:r>
        <w:rPr>
          <w:rFonts w:ascii="Times New Roman" w:cs="Times New Roman" w:eastAsia="Times New Roman" w:hAnsi="Times New Roman"/>
          <w:sz w:val="18"/>
          <w:szCs w:val="18"/>
          <w:color w:val="auto"/>
        </w:rPr>
        <w:t>” means the businesses and/or Subsidiaries indicated on Schedule 1.1E.</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Document), (b) any branch profit Taxes imposed by the United States or any similar Tax imposed by any other Governmental Authority in a jurisdiction described in clause</w:t>
      </w:r>
    </w:p>
    <w:p>
      <w:pPr>
        <w:spacing w:after="0" w:line="5" w:lineRule="exact"/>
        <w:rPr>
          <w:sz w:val="20"/>
          <w:szCs w:val="20"/>
          <w:color w:val="auto"/>
        </w:rPr>
      </w:pPr>
    </w:p>
    <w:p>
      <w:pPr>
        <w:ind w:left="4" w:right="80" w:hanging="4"/>
        <w:spacing w:after="0" w:line="270" w:lineRule="auto"/>
        <w:tabs>
          <w:tab w:leader="none" w:pos="24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2.24) or (ii) such Lender changes its Applicable Lending Office, except in each case to the extent that, pursuant to Section 2.21, amounts with respect to such Taxes were payable either to such Lender’s assignor immediately before such Lender became a party hereto or to such Lender immediately before it changed its lending office, (d) Taxes attributable to such Recipient’s failure to comply with Section 2.21(d) to the extent such Recipient is legally entitled to so comply and (e) any Taxes imposed under FATCA.</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56" w:name="page57"/>
    <w:bookmarkEnd w:id="56"/>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as to any Lender at any time, an amount equal to the aggregate principal amount of all Loans held by such Lender then outstanding.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Commitments and the extension of credit made thereunder.</w:t>
      </w:r>
    </w:p>
    <w:p>
      <w:pPr>
        <w:spacing w:after="0" w:line="225" w:lineRule="exact"/>
        <w:rPr>
          <w:sz w:val="20"/>
          <w:szCs w:val="20"/>
          <w:color w:val="auto"/>
        </w:rPr>
      </w:pPr>
    </w:p>
    <w:p>
      <w:pPr>
        <w:ind w:right="12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8"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shall be less than zero, such rate shall be deemed to be zero for purposes of this Agreement.</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individually and collectively, each Fee Letter dated as of the date hereof and entered into by the Company and any Arranger or the Administrative Agent.</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Subsidiary</w:t>
      </w:r>
      <w:r>
        <w:rPr>
          <w:rFonts w:ascii="Times New Roman" w:cs="Times New Roman" w:eastAsia="Times New Roman" w:hAnsi="Times New Roman"/>
          <w:sz w:val="18"/>
          <w:szCs w:val="18"/>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GMGTC shall not be considered a Finance Subsidiary.</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with respect to any Person, the chief financial officer, principal accounting officer, a financial vice president, treasurer, assistant treasurer, or controller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Quarter 2023 10-Q</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a business segment of Fitch Group, Inc. and its successors.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or the Adjusted Daily Simple SOFR shall be 0.00%.</w:t>
      </w:r>
    </w:p>
    <w:p>
      <w:pPr>
        <w:spacing w:after="0" w:line="18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57" w:name="page58"/>
    <w:bookmarkEnd w:id="57"/>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Subsidiary Holding Company</w:t>
      </w:r>
      <w:r>
        <w:rPr>
          <w:rFonts w:ascii="Times New Roman" w:cs="Times New Roman" w:eastAsia="Times New Roman" w:hAnsi="Times New Roman"/>
          <w:sz w:val="18"/>
          <w:szCs w:val="18"/>
          <w:color w:val="auto"/>
        </w:rPr>
        <w:t>”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Availability Period</w:t>
      </w:r>
      <w:r>
        <w:rPr>
          <w:rFonts w:ascii="Times New Roman" w:cs="Times New Roman" w:eastAsia="Times New Roman" w:hAnsi="Times New Roman"/>
          <w:sz w:val="18"/>
          <w:szCs w:val="18"/>
          <w:color w:val="auto"/>
        </w:rPr>
        <w:t>” means the period from and including the Effective Date to, and including, the Commitment 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means each Business Day on which the conditions precedent set forth in Section 5.2 shall have been satisfied and any Loans are made pursuant to Section 2.1.</w:t>
      </w:r>
    </w:p>
    <w:p>
      <w:pPr>
        <w:spacing w:after="0" w:line="162"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Funding Office</w:t>
      </w:r>
      <w:r>
        <w:rPr>
          <w:rFonts w:ascii="Times New Roman" w:cs="Times New Roman" w:eastAsia="Times New Roman" w:hAnsi="Times New Roman"/>
          <w:sz w:val="17"/>
          <w:szCs w:val="17"/>
          <w:color w:val="auto"/>
        </w:rPr>
        <w:t>” means the office of the Administrative Agent specified in Section 10.2 or such other office as may be specified from time to time by the Administrative Agent as its funding office with respect to the Facility by written notice to the Company and the applicable Lenders.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as in effect from time to time in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 Holdings</w:t>
      </w:r>
      <w:r>
        <w:rPr>
          <w:rFonts w:ascii="Times New Roman" w:cs="Times New Roman" w:eastAsia="Times New Roman" w:hAnsi="Times New Roman"/>
          <w:sz w:val="18"/>
          <w:szCs w:val="18"/>
          <w:color w:val="auto"/>
        </w:rPr>
        <w:t>” means General Motors Holdings LLC, a Delaware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GMF</w:t>
      </w:r>
      <w:r>
        <w:rPr>
          <w:rFonts w:ascii="Times New Roman" w:cs="Times New Roman" w:eastAsia="Times New Roman" w:hAnsi="Times New Roman"/>
          <w:sz w:val="18"/>
          <w:szCs w:val="18"/>
          <w:color w:val="auto"/>
        </w:rPr>
        <w:t>” means General Motors Financial Company, Inc., a Texas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GMGTC</w:t>
      </w:r>
      <w:r>
        <w:rPr>
          <w:rFonts w:ascii="Times New Roman" w:cs="Times New Roman" w:eastAsia="Times New Roman" w:hAnsi="Times New Roman"/>
          <w:sz w:val="18"/>
          <w:szCs w:val="18"/>
          <w:color w:val="auto"/>
        </w:rPr>
        <w:t>” means GM Global Treasury Centre Limited, a private limited company incorporated under the laws of England and Wales.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the Guarantee Agreement to be executed and delivered by each Subsidiary Guarantor pursuant to Section 6.6(a) or Section 10.1(b), as applicable, substantially in the form of Exhibit 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Joinder</w:t>
      </w:r>
      <w:r>
        <w:rPr>
          <w:rFonts w:ascii="Times New Roman" w:cs="Times New Roman" w:eastAsia="Times New Roman" w:hAnsi="Times New Roman"/>
          <w:sz w:val="18"/>
          <w:szCs w:val="18"/>
          <w:color w:val="auto"/>
        </w:rPr>
        <w:t>” means a joinder agreement substantially in the form of Annex I to the Guarantee.</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Obligation</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third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Obligation” shall not include endorsements of instruments for deposit or collection in the ordinary course of business. The amount of any Guarantee Obligation of any guaranteeing person shall be deemed to be the lower of (i)</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58" w:name="page59"/>
    <w:bookmarkEnd w:id="58"/>
    <w:p>
      <w:pPr>
        <w:ind w:left="4"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83"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any Subsidiary Guarantors (if applicable). For the avoidance of doubt, GM Holdings does not and shall not constitute a Guarantor.</w:t>
      </w:r>
    </w:p>
    <w:p>
      <w:pPr>
        <w:spacing w:after="0" w:line="162"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94"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w:t>
      </w:r>
    </w:p>
    <w:p>
      <w:pPr>
        <w:ind w:left="4" w:right="100" w:hanging="4"/>
        <w:spacing w:after="0" w:line="253" w:lineRule="auto"/>
        <w:tabs>
          <w:tab w:leader="none" w:pos="2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has the meaning assigned to such term in Section 10.5.</w:t>
      </w:r>
    </w:p>
    <w:p>
      <w:pPr>
        <w:spacing w:after="0" w:line="225" w:lineRule="exact"/>
        <w:rPr>
          <w:sz w:val="20"/>
          <w:szCs w:val="20"/>
          <w:color w:val="auto"/>
        </w:rPr>
      </w:pPr>
    </w:p>
    <w:p>
      <w:pPr>
        <w:ind w:left="4" w:right="2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means (a) Taxes, other than Excluded Taxes, imposed on or with respect to any payment made by or on account of any obligation of the Company or any other Loan Party under any Loan Document and (b) to the extent not otherwise described in (a), Other Taxes.</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10.5.</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59" w:name="page60"/>
    <w:bookmarkEnd w:id="59"/>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Index Debt Rating</w:t>
      </w:r>
      <w:r>
        <w:rPr>
          <w:rFonts w:ascii="Times New Roman" w:cs="Times New Roman" w:eastAsia="Times New Roman" w:hAnsi="Times New Roman"/>
          <w:sz w:val="18"/>
          <w:szCs w:val="18"/>
          <w:color w:val="auto"/>
        </w:rPr>
        <w:t>” means, as of any date, the credit rating provided by Moody’s, S&amp;P or Fitch, as applicable, for senior, unsecured, long-term Indebtedness of the Company.</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Assignee</w:t>
      </w:r>
      <w:r>
        <w:rPr>
          <w:rFonts w:ascii="Times New Roman" w:cs="Times New Roman" w:eastAsia="Times New Roman" w:hAnsi="Times New Roman"/>
          <w:sz w:val="18"/>
          <w:szCs w:val="18"/>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Participant</w:t>
      </w:r>
      <w:r>
        <w:rPr>
          <w:rFonts w:ascii="Times New Roman" w:cs="Times New Roman" w:eastAsia="Times New Roman" w:hAnsi="Times New Roman"/>
          <w:sz w:val="18"/>
          <w:szCs w:val="18"/>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Excluded Subsidiary</w:t>
      </w:r>
      <w:r>
        <w:rPr>
          <w:rFonts w:ascii="Times New Roman" w:cs="Times New Roman" w:eastAsia="Times New Roman" w:hAnsi="Times New Roman"/>
          <w:sz w:val="18"/>
          <w:szCs w:val="18"/>
          <w:color w:val="auto"/>
        </w:rPr>
        <w:t>” means each Subsidiary listed on Schedule 1.1B.</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Company to convert or continue a Borrowing in accordance with Section 2.14.</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and (2)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(d) as to any Loan, the date of any repayment or prepayment made in respect thereof (to the extent of such repayment or prepayment).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60" w:name="page61"/>
    <w:bookmarkEnd w:id="60"/>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as selected by the Company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as selected by the Company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84" w:lineRule="exact"/>
        <w:rPr>
          <w:sz w:val="20"/>
          <w:szCs w:val="20"/>
          <w:color w:val="auto"/>
        </w:rPr>
      </w:pPr>
    </w:p>
    <w:p>
      <w:pPr>
        <w:ind w:left="440" w:right="260" w:firstLine="419"/>
        <w:spacing w:after="0" w:line="266" w:lineRule="auto"/>
        <w:tabs>
          <w:tab w:leader="none" w:pos="11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67"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select an Interest Period under the Facility that would extend beyond the Maturity Date;</w:t>
      </w:r>
    </w:p>
    <w:p>
      <w:pPr>
        <w:spacing w:after="0" w:line="117"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1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53" w:lineRule="exact"/>
        <w:rPr>
          <w:rFonts w:ascii="Times New Roman" w:cs="Times New Roman" w:eastAsia="Times New Roman" w:hAnsi="Times New Roman"/>
          <w:sz w:val="18"/>
          <w:szCs w:val="18"/>
          <w:color w:val="auto"/>
        </w:rPr>
      </w:pPr>
    </w:p>
    <w:p>
      <w:pPr>
        <w:jc w:val="both"/>
        <w:ind w:left="440" w:right="240" w:firstLine="419"/>
        <w:spacing w:after="0" w:line="266" w:lineRule="auto"/>
        <w:tabs>
          <w:tab w:leader="none" w:pos="115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interparty claims), demands, damages or liabilities of any kind.</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lien, security interest, charge, conditional sale or other title retention agreement or other similar encumbrance.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61" w:name="page62"/>
    <w:bookmarkEnd w:id="61"/>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Guarantee, the Notes, each Fee Letter, each Guarantee Joinder and any amendment, waiver, supplement or other modification to any of the foregoing.</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collectively, the Company and each Subsidiary Guarantor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89"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76" w:lineRule="exact"/>
        <w:rPr>
          <w:sz w:val="20"/>
          <w:szCs w:val="20"/>
          <w:color w:val="auto"/>
        </w:rPr>
      </w:pPr>
    </w:p>
    <w:p>
      <w:pPr>
        <w:jc w:val="both"/>
        <w:ind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Indebtedness</w:t>
      </w:r>
      <w:r>
        <w:rPr>
          <w:rFonts w:ascii="Times New Roman" w:cs="Times New Roman" w:eastAsia="Times New Roman" w:hAnsi="Times New Roman"/>
          <w:sz w:val="17"/>
          <w:szCs w:val="17"/>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4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Loan Party</w:t>
      </w:r>
      <w:r>
        <w:rPr>
          <w:rFonts w:ascii="Times New Roman" w:cs="Times New Roman" w:eastAsia="Times New Roman" w:hAnsi="Times New Roman"/>
          <w:sz w:val="18"/>
          <w:szCs w:val="18"/>
          <w:color w:val="auto"/>
        </w:rPr>
        <w:t>” means, (a) the Company and (b) any Subsidiary Guarantor (if any) that, at the time of determination, has Consolidated Total Assets equal to at least 10% of the Consolidated Total Assets of the Company at such time, as reflected initially in the 2022 10-K and thereafter in the most recent annual consolidated financial statements of the Company delivered or deemed delivered pursuant to Section 6.1.</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day that is 364 days after the Effective Date; provided that if such day is not a Business Day, the Maturity Date shall be the immediately preceding Business Day.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Book Value</w:t>
      </w:r>
      <w:r>
        <w:rPr>
          <w:rFonts w:ascii="Times New Roman" w:cs="Times New Roman" w:eastAsia="Times New Roman" w:hAnsi="Times New Roman"/>
          <w:sz w:val="18"/>
          <w:szCs w:val="18"/>
          <w:color w:val="auto"/>
        </w:rPr>
        <w:t xml:space="preserve">” means with respect to any asset of any Person (a) other than accounts receivable, the gross book value of such asset on the balance sheet of such Person,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depreciation in respect of such asset on such balance sheet and (b) with respect to accounts receivable, the gross book value thereof,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specific reserves attributable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62" w:name="page63"/>
    <w:bookmarkEnd w:id="62"/>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actually received by the Company or its Subsidiaries in respect of such event, including any cash received in respect of any noncash proceeds, but only as and when received, net of (b) the sum, without duplication, of</w:t>
      </w:r>
    </w:p>
    <w:p>
      <w:pPr>
        <w:ind w:left="4" w:hanging="4"/>
        <w:spacing w:after="0" w:line="251"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incurred in connection with such event by the Company and its Subsidiaries to third parties, including attorneys’ fees, accountants’ fees, investment banking fees, survey costs, title insurance premiums, and related search and recording charges, transfer taxes, deed or mortgage recording taxes, other customary expenses and brokerage, consultant and other customary fees, in each case, actually incurred in connection therewith, (ii) in the case of a sale, transfer, lease or other disposition (including pursuant to a Sale/Leaseback Transaction) of an asset, the amount of all payments required to be made by the Company and its Subsidiaries as a result of such event to repay Indebtedness secured by such asset, (iii) the amount of all taxes paid (or reasonably estimated to be payable) by the Company and its Subsidiaries, and the amount of any reserves established by the Company and its Subsidiaries in accordance with GAAP to fund purchase price adjustment, indemnification and similar contingent liabilities reasonably estimated to be payable, in each case during the year that such event occurred or the next succeeding year and that are directly attributable to the occurrence of such event (as determined reasonably and in good faith by the Company), provided that, if the Company or any of its Subsidiaries receive proceeds that would otherwise constitute Net Proceeds from any Reduction/Prepayment Event described in clause (c) of the definition of such term, the Company or such Subsidiary may use, or commit to use, any portion of such proceeds (the “</w:t>
      </w:r>
      <w:r>
        <w:rPr>
          <w:rFonts w:ascii="Times New Roman" w:cs="Times New Roman" w:eastAsia="Times New Roman" w:hAnsi="Times New Roman"/>
          <w:sz w:val="18"/>
          <w:szCs w:val="18"/>
          <w:u w:val="single" w:color="auto"/>
          <w:color w:val="auto"/>
        </w:rPr>
        <w:t>Reinvestment Amount</w:t>
      </w:r>
      <w:r>
        <w:rPr>
          <w:rFonts w:ascii="Times New Roman" w:cs="Times New Roman" w:eastAsia="Times New Roman" w:hAnsi="Times New Roman"/>
          <w:sz w:val="18"/>
          <w:szCs w:val="18"/>
          <w:color w:val="auto"/>
        </w:rPr>
        <w:t>”) to acquire, construct, improve, upgrade or repair assets useful in the business of the Company or its Subsidiaries or to consummate any business acquisition, and in each case, the Reinvestment Amount shall not constitute Net Proceeds until, and except to the extent that (but shall then be deemed to have been received to such extent and shall constitute Net Proceeds and not be covered by this proviso), (A) not so used (or committed to be used) within the 270-day period of receipt of such proceeds or (B) if committed to be used within such 270-day period, not so used within the maximum period contemplated in the relevant agreement for the consummation thereof, provided, further, that, in the event any contingent liability reserve established with respect to any event as described in clause (b)(iii) above shall be reduced, the amount of such reduction shall, except to the extent that such reduction is made as a result of a payment having been made in respect of the contingent liabilities with respect to which such reserve has been established, be deemed to be receipt, on the date of such reduction, of cash proceeds in respect of such event and (iv) payments to retire any Indebtedness (other than the Obligations) that is required to be repaid in connection with such event.</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has the meaning assigned to such term in Section 2.19(g).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63" w:name="page64"/>
    <w:bookmarkEnd w:id="63"/>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or any of the Subsidiary Guarantors pursuant to the terms of any of the Loan Documents).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to such term in Section 10.13.</w:t>
      </w:r>
    </w:p>
    <w:p>
      <w:pPr>
        <w:spacing w:after="0" w:line="225"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(a) with respect to indebtedness for borrowed money, the aggregate outstanding principal amount thereof,</w:t>
      </w:r>
    </w:p>
    <w:p>
      <w:pPr>
        <w:spacing w:after="0" w:line="27" w:lineRule="exact"/>
        <w:rPr>
          <w:sz w:val="20"/>
          <w:szCs w:val="20"/>
          <w:color w:val="auto"/>
        </w:rPr>
      </w:pPr>
    </w:p>
    <w:p>
      <w:pPr>
        <w:ind w:left="4" w:right="380" w:hanging="4"/>
        <w:spacing w:after="0" w:line="260"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Hedging Obligations, the aggregate amount recorded by the applicable obligor as its termination liability thereunder and (c) with respect to any other obligations, the aggregate outstanding amount thereof.</w:t>
      </w:r>
    </w:p>
    <w:p>
      <w:pPr>
        <w:spacing w:after="0" w:line="181" w:lineRule="exact"/>
        <w:rPr>
          <w:sz w:val="20"/>
          <w:szCs w:val="20"/>
          <w:color w:val="auto"/>
        </w:rPr>
      </w:pPr>
    </w:p>
    <w:p>
      <w:pPr>
        <w:ind w:left="4" w:right="2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Overnight Bank Funding Rate shall be less than zero, such rate shall be deemed to be zero for purposes of this Agreement.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10.6(c)(i).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established pursuant to Subtitle A of Title IV of ERISA.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means as to any Lender at any time, the percentage which such Lender’s Credit Exposure then constitutes of the Total Credit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Exposure.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4" w:right="20" w:firstLine="419"/>
        <w:spacing w:after="0" w:line="261" w:lineRule="auto"/>
        <w:tabs>
          <w:tab w:leader="none" w:pos="11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provided, that if and to the extent required by GAAP, adequate reserves with respect thereto are maintained on the books of the relevant Person in conformity with GAAP;</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64" w:name="page65"/>
    <w:bookmarkEnd w:id="64"/>
    <w:p>
      <w:pPr>
        <w:jc w:val="both"/>
        <w:ind w:right="180" w:firstLine="419"/>
        <w:spacing w:after="0" w:line="266"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6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67" w:lineRule="exact"/>
        <w:rPr>
          <w:rFonts w:ascii="Times New Roman" w:cs="Times New Roman" w:eastAsia="Times New Roman" w:hAnsi="Times New Roman"/>
          <w:sz w:val="18"/>
          <w:szCs w:val="18"/>
          <w:color w:val="auto"/>
        </w:rPr>
      </w:pPr>
    </w:p>
    <w:p>
      <w:pPr>
        <w:ind w:right="120" w:firstLine="419"/>
        <w:spacing w:after="0" w:line="258" w:lineRule="auto"/>
        <w:tabs>
          <w:tab w:leader="none" w:pos="6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75" w:lineRule="exact"/>
        <w:rPr>
          <w:rFonts w:ascii="Times New Roman" w:cs="Times New Roman" w:eastAsia="Times New Roman" w:hAnsi="Times New Roman"/>
          <w:sz w:val="18"/>
          <w:szCs w:val="18"/>
          <w:color w:val="auto"/>
        </w:rPr>
      </w:pPr>
    </w:p>
    <w:p>
      <w:pPr>
        <w:ind w:right="140" w:firstLine="419"/>
        <w:spacing w:after="0" w:line="282"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53" w:lineRule="exact"/>
        <w:rPr>
          <w:rFonts w:ascii="Times New Roman" w:cs="Times New Roman" w:eastAsia="Times New Roman" w:hAnsi="Times New Roman"/>
          <w:sz w:val="18"/>
          <w:szCs w:val="18"/>
          <w:color w:val="auto"/>
        </w:rPr>
      </w:pPr>
    </w:p>
    <w:p>
      <w:pPr>
        <w:ind w:right="160" w:firstLine="419"/>
        <w:spacing w:after="0" w:line="256"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79"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67" w:lineRule="exact"/>
        <w:rPr>
          <w:rFonts w:ascii="Times New Roman" w:cs="Times New Roman" w:eastAsia="Times New Roman" w:hAnsi="Times New Roman"/>
          <w:sz w:val="18"/>
          <w:szCs w:val="18"/>
          <w:color w:val="auto"/>
        </w:rPr>
      </w:pPr>
    </w:p>
    <w:p>
      <w:pPr>
        <w:ind w:right="40" w:firstLine="419"/>
        <w:spacing w:after="0" w:line="256" w:lineRule="auto"/>
        <w:tabs>
          <w:tab w:leader="none" w:pos="6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80" w:top="270" w:right="439" w:bottom="1440" w:gutter="0" w:footer="0" w:header="0"/>
        </w:sectPr>
      </w:pPr>
    </w:p>
    <w:bookmarkStart w:id="65" w:name="page66"/>
    <w:bookmarkEnd w:id="65"/>
    <w:p>
      <w:pPr>
        <w:ind w:left="4" w:right="320" w:firstLine="419"/>
        <w:spacing w:after="0" w:line="266" w:lineRule="auto"/>
        <w:tabs>
          <w:tab w:leader="none" w:pos="64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existence on the Effective Date and listed on Schedule 1.1D, provided, that no such Lien is spread to cover any unrelated property acquired by the Company or any Principal Domestic Subsidiary after the Effective Date and that the amount of Indebtedness or other obligations secured thereby is not increased (except as otherwise permitted by this Agreement);</w:t>
      </w:r>
    </w:p>
    <w:p>
      <w:pPr>
        <w:spacing w:after="0" w:line="67"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8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Capital Stock of a Person at the time such Person becomes a Subsidiary; provided, however, that such Liens are not created, incurred or assumed in connection with, or in contemplation of, such other Person becoming a Subsidiary; provided, further, however, that any such Lien may not extend to any other property owned by the Company or any Principal Domestic Subsidiary;</w:t>
      </w:r>
    </w:p>
    <w:p>
      <w:pPr>
        <w:spacing w:after="0" w:line="67"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4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at the time the Company or any Principal Domestic Subsidiary acquires the property, including any acquisition by means of a merger or consolidation with or into the Company or such Principal Domestic Subsidiary; provided, however, that such Liens are not created, incurred or assumed in connection with, or in contemplation of, such acquisition; provided, further, however, that such Liens may not extend to any other property owned by the Company or any Principal Domestic Subsidiary;</w:t>
      </w:r>
    </w:p>
    <w:p>
      <w:pPr>
        <w:spacing w:after="0" w:line="71" w:lineRule="exact"/>
        <w:rPr>
          <w:rFonts w:ascii="Times New Roman" w:cs="Times New Roman" w:eastAsia="Times New Roman" w:hAnsi="Times New Roman"/>
          <w:sz w:val="18"/>
          <w:szCs w:val="18"/>
          <w:color w:val="auto"/>
        </w:rPr>
      </w:pPr>
    </w:p>
    <w:p>
      <w:pPr>
        <w:jc w:val="both"/>
        <w:ind w:left="4" w:right="180" w:firstLine="419"/>
        <w:spacing w:after="0" w:line="312" w:lineRule="auto"/>
        <w:tabs>
          <w:tab w:leader="none" w:pos="73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31" w:lineRule="exact"/>
        <w:rPr>
          <w:rFonts w:ascii="Times New Roman" w:cs="Times New Roman" w:eastAsia="Times New Roman" w:hAnsi="Times New Roman"/>
          <w:sz w:val="17"/>
          <w:szCs w:val="17"/>
          <w:color w:val="auto"/>
        </w:rPr>
      </w:pPr>
    </w:p>
    <w:p>
      <w:pPr>
        <w:ind w:left="4" w:right="400" w:firstLine="419"/>
        <w:spacing w:after="0" w:line="282" w:lineRule="auto"/>
        <w:tabs>
          <w:tab w:leader="none" w:pos="68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out of claims under a judgment rendered, decree or claim filed so long as such judgments, decrees or claims do not constitute an Event of Default;</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consisting of rights reserved to or vested in any Governmental Authority by any statutory provision;</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lessors pursuant to Sale/Leaseback Transactions;</w:t>
      </w:r>
    </w:p>
    <w:p>
      <w:pPr>
        <w:spacing w:after="0" w:line="117" w:lineRule="exact"/>
        <w:rPr>
          <w:rFonts w:ascii="Times New Roman" w:cs="Times New Roman" w:eastAsia="Times New Roman" w:hAnsi="Times New Roman"/>
          <w:sz w:val="18"/>
          <w:szCs w:val="18"/>
          <w:color w:val="auto"/>
        </w:rPr>
      </w:pPr>
    </w:p>
    <w:p>
      <w:pPr>
        <w:ind w:left="4" w:right="160" w:firstLine="419"/>
        <w:spacing w:after="0" w:line="272" w:lineRule="auto"/>
        <w:tabs>
          <w:tab w:leader="none" w:pos="68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w:t>
      </w:r>
    </w:p>
    <w:p>
      <w:pPr>
        <w:spacing w:after="0" w:line="1" w:lineRule="exact"/>
        <w:rPr>
          <w:rFonts w:ascii="Times New Roman" w:cs="Times New Roman" w:eastAsia="Times New Roman" w:hAnsi="Times New Roman"/>
          <w:sz w:val="17"/>
          <w:szCs w:val="17"/>
          <w:color w:val="auto"/>
        </w:rPr>
      </w:pPr>
    </w:p>
    <w:p>
      <w:pPr>
        <w:ind w:left="4" w:right="20" w:hanging="4"/>
        <w:spacing w:after="0" w:line="250" w:lineRule="auto"/>
        <w:tabs>
          <w:tab w:leader="none" w:pos="3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(vii) purchasing and supply agreements, (viii) rental deposits, (ix) judicial appeals and</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contracts;</w:t>
      </w:r>
    </w:p>
    <w:p>
      <w:pPr>
        <w:spacing w:after="0" w:line="98"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of a Subsidiary owing to the Company or any Principal Domestic Subsidiary;</w:t>
      </w:r>
    </w:p>
    <w:p>
      <w:pPr>
        <w:spacing w:after="0" w:line="117" w:lineRule="exact"/>
        <w:rPr>
          <w:rFonts w:ascii="Times New Roman" w:cs="Times New Roman" w:eastAsia="Times New Roman" w:hAnsi="Times New Roman"/>
          <w:sz w:val="18"/>
          <w:szCs w:val="18"/>
          <w:color w:val="auto"/>
        </w:rPr>
      </w:pPr>
    </w:p>
    <w:p>
      <w:pPr>
        <w:ind w:left="4" w:firstLine="419"/>
        <w:spacing w:after="0" w:line="266" w:lineRule="auto"/>
        <w:tabs>
          <w:tab w:leader="none" w:pos="66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66" w:name="page67"/>
    <w:bookmarkEnd w:id="66"/>
    <w:p>
      <w:pPr>
        <w:ind w:left="440" w:right="260" w:firstLine="419"/>
        <w:spacing w:after="0" w:line="261" w:lineRule="auto"/>
        <w:tabs>
          <w:tab w:leader="none" w:pos="10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industrial revenue, municipal or similar bonds;</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security interests granted by Persons who are not affiliates of the Company or any Subsidiary in such Person’s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co-ownership interest in Intellectual Property that such Person co-owns together with the Company or any Subsidiary;</w:t>
      </w:r>
    </w:p>
    <w:p>
      <w:pPr>
        <w:spacing w:after="0" w:line="99" w:lineRule="exact"/>
        <w:rPr>
          <w:sz w:val="20"/>
          <w:szCs w:val="20"/>
          <w:color w:val="auto"/>
        </w:rPr>
      </w:pPr>
    </w:p>
    <w:p>
      <w:pPr>
        <w:ind w:left="440" w:right="40" w:firstLine="419"/>
        <w:spacing w:after="0" w:line="282"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under licensing agreements for use of Intellectual Property or licenses or sublicenses of Intellectual Property, in each case, entered into in the ordinary course of business;</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sellers of goods to any Loan Party arising under Article 2 of the UCC or similar provisions of applicable law in the ordinary course of business; and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76"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Principal Trade Name Transfer</w:t>
      </w:r>
      <w:r>
        <w:rPr>
          <w:rFonts w:ascii="Times New Roman" w:cs="Times New Roman" w:eastAsia="Times New Roman" w:hAnsi="Times New Roman"/>
          <w:sz w:val="17"/>
          <w:szCs w:val="17"/>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40" w:lineRule="exact"/>
        <w:rPr>
          <w:sz w:val="20"/>
          <w:szCs w:val="20"/>
          <w:color w:val="auto"/>
        </w:rPr>
      </w:pPr>
    </w:p>
    <w:p>
      <w:pPr>
        <w:ind w:right="10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at a particular time, an employee pension benefit plan covered by Title IV of ERISA or Section 412 of the Code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 of ERISA, but excluding any Multiemployer Plan, (a) which is sponsored, established, contributed to or maintained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Affiliate, (b) for which the Company or any ERISA Affiliate could have any liability, whether actual or contingent (whether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4069 of ERISA or otherwise) or (c) for which the Company or any ERISA Affiliate is (or, if such Plan were terminated, would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4062 or Section 4069 of ERISA be deemed to be) an “employer” as defined in Section 3(5) of ERISA.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means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67" w:name="page68"/>
    <w:bookmarkEnd w:id="6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Domestic Subsidiary</w:t>
      </w:r>
      <w:r>
        <w:rPr>
          <w:rFonts w:ascii="Times New Roman" w:cs="Times New Roman" w:eastAsia="Times New Roman" w:hAnsi="Times New Roman"/>
          <w:sz w:val="18"/>
          <w:szCs w:val="18"/>
          <w:color w:val="auto"/>
        </w:rPr>
        <w:t>”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2022 10-K), (B) at least 80% or more of the Capital Stock or Voting Stock of such Domestic Subsidiary is owned, directly or indirectly, by the Company and (C) none of the Capital Stock of such Domestic Subsidiary is publicly held.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means GM, GMC, Chevrolet, Cadillac, and Buick and any variation thereof.</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 Holding Company</w:t>
      </w:r>
      <w:r>
        <w:rPr>
          <w:rFonts w:ascii="Times New Roman" w:cs="Times New Roman" w:eastAsia="Times New Roman" w:hAnsi="Times New Roman"/>
          <w:sz w:val="18"/>
          <w:szCs w:val="18"/>
          <w:color w:val="auto"/>
        </w:rPr>
        <w:t>” means any wholly-owned Foreign Subsidiary of the Company to which the Designated Principal Trade Name is transferred.</w:t>
      </w:r>
    </w:p>
    <w:p>
      <w:pPr>
        <w:spacing w:after="0" w:line="162"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Term Loan Facility</w:t>
      </w:r>
      <w:r>
        <w:rPr>
          <w:rFonts w:ascii="Times New Roman" w:cs="Times New Roman" w:eastAsia="Times New Roman" w:hAnsi="Times New Roman"/>
          <w:sz w:val="18"/>
          <w:szCs w:val="18"/>
          <w:color w:val="auto"/>
        </w:rPr>
        <w:t>” means a term loan facility, or any other “pro rata” facility, entered into by the Company or any Subsidiary for the purpose of replacing or refinancing, in whole or in part, the Commitments or Loans.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has the meaning assigned to such term in Section 10.16.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Reduction/Prepayment Events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Incurrence;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Issuance;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68" w:name="page69"/>
    <w:bookmarkEnd w:id="68"/>
    <w:p>
      <w:pPr>
        <w:ind w:left="1100" w:hanging="241"/>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sale, transfer or other disposition of assets (including pursuant to a Sale/Leaseback Transaction or by way of merger or</w:t>
      </w:r>
    </w:p>
    <w:p>
      <w:pPr>
        <w:spacing w:after="0" w:line="27" w:lineRule="exact"/>
        <w:rPr>
          <w:rFonts w:ascii="Times New Roman" w:cs="Times New Roman" w:eastAsia="Times New Roman" w:hAnsi="Times New Roman"/>
          <w:sz w:val="18"/>
          <w:szCs w:val="18"/>
          <w:color w:val="auto"/>
        </w:rPr>
      </w:pPr>
    </w:p>
    <w:p>
      <w:pPr>
        <w:ind w:left="440" w:right="32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consolidation) of any asset of the Company or any of its Subsidiaries (including any issuance or sale of Capital Stock in any Subsidiary of the Company to a Person other than the Company or any of its Subsidiaries) but excluding (i) any disposition of assets in the ordinary course of business of the Company or any Subsidiary and not as part of a financing and any disposition of assets by a Finance Subsidiary, (ii) any disposition of inventory, used or surplus equipment, and cash or cash equivalents, (iii) any disposition of assets that individually results in Net Proceeds to the Company and its Subsidiaries of $200,000,000 or less, (iv) any disposition of assets by any Subsidiary of the Company that is organized outside the United States or (v) any disposition of assets to the Company or any Subsidiary or other Affiliate of the Company; and</w:t>
      </w:r>
    </w:p>
    <w:p>
      <w:pPr>
        <w:spacing w:after="0" w:line="6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any Qualifying Term Loan Facility.</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Daily Simple SOFR, then two Business Days prior to such setting or (3) if such Benchmark is none of the Term SOFR Rate or Daily Simple SOFR, the time determined by the Administrative Agent in its reasonable discretion.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10.6(b)(iv).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as in effect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Amount</w:t>
      </w:r>
      <w:r>
        <w:rPr>
          <w:rFonts w:ascii="Times New Roman" w:cs="Times New Roman" w:eastAsia="Times New Roman" w:hAnsi="Times New Roman"/>
          <w:sz w:val="18"/>
          <w:szCs w:val="18"/>
          <w:color w:val="auto"/>
        </w:rPr>
        <w:t>” has the meaning assigned to such term in the definition of “Net Proceeds” herein.</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or a committee officially endorsed or convened by the Federal Reserve Board and/or the NYFRB or, in each case, any successor thereto.</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(i) with respect to any Term Benchmark Borrowing, the Adjusted Term SOFR Rate or (ii) with respect to any Daily Simple SOFR Borrowing, the Adjusted Daily Simple SOFR,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specified in Section 9.6(b).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means, at any time, Lenders having Credit Exposures representing more than 50% of the Total Credit Exposures of all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69" w:name="page70"/>
    <w:bookmarkEnd w:id="69"/>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Rescindable Amount</w:t>
      </w:r>
      <w:r>
        <w:rPr>
          <w:rFonts w:ascii="Times New Roman" w:cs="Times New Roman" w:eastAsia="Times New Roman" w:hAnsi="Times New Roman"/>
          <w:sz w:val="17"/>
          <w:szCs w:val="17"/>
          <w:color w:val="auto"/>
        </w:rPr>
        <w:t>” means, with respect to any payment that the Administrative Agent makes for the account of the Lenders hereunder as to which the Administrative Agent determines (which determination shall be conclusive absent manifest error) that any of the following applies:</w:t>
      </w:r>
    </w:p>
    <w:p>
      <w:pPr>
        <w:spacing w:after="0" w:line="32" w:lineRule="exact"/>
        <w:rPr>
          <w:sz w:val="20"/>
          <w:szCs w:val="20"/>
          <w:color w:val="auto"/>
        </w:rPr>
      </w:pPr>
    </w:p>
    <w:p>
      <w:pPr>
        <w:ind w:left="1100" w:hanging="241"/>
        <w:spacing w:after="0"/>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in fact made such payment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has made a payment in excess of the amount so paid by the Company (whether or not then owed);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has for any reason otherwise erroneously made such payment; then each of the Lenders, as the case may be,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accounting officer, chief financial officer, controller, assistant controller, treasurer or assistant treasurer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 and its successors.</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List</w:t>
      </w:r>
      <w:r>
        <w:rPr>
          <w:rFonts w:ascii="Times New Roman" w:cs="Times New Roman" w:eastAsia="Times New Roman" w:hAnsi="Times New Roman"/>
          <w:sz w:val="18"/>
          <w:szCs w:val="18"/>
          <w:color w:val="auto"/>
        </w:rPr>
        <w:t>” has the meaning assigned to such term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and any analogous Governmental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Quarter 2023 10-Q</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jc w:val="center"/>
        <w:ind w:right="1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 27</w:t>
      </w:r>
    </w:p>
    <w:p>
      <w:pPr>
        <w:sectPr>
          <w:pgSz w:w="11900" w:h="16838" w:orient="portrait"/>
          <w:cols w:equalWidth="0" w:num="1">
            <w:col w:w="11000"/>
          </w:cols>
          <w:pgMar w:left="440" w:top="270" w:right="459" w:bottom="1440" w:gutter="0" w:footer="0" w:header="0"/>
        </w:sectPr>
      </w:pPr>
    </w:p>
    <w:bookmarkStart w:id="70" w:name="page71"/>
    <w:bookmarkEnd w:id="7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on any date of determination, that on such date (a) the sum of the liabilities (including contingent liabilities) of such Person and its Subsidiaries, on a consolidated basis, does not exceed the fair value of the present assets of such Person and its Subsidiaries, on a consolidated basis, (b) the present fair saleable value of the assets of such Person and its Subsidiaries, on a consolidated basis, is greater than the total amount that will be required to pay the probable liabilities (including contingent liabilities) of such Person and its Subsidiaries as they become absolute and matured, (c) the capital of such Person and its Subsidiaries, on a consolidated basis, is not unreasonably small in relation to their business as contemplated on such date and (d) such Person and its Subsidiaries, on a consolidated basis, have not incurred and do not intend to incur, or believe that they will incur, debts or other liabilities, including current obligations, beyond their ability to pay such debts or other liabilities as they become due (whether at maturity or otherwise). For purposes hereof, the amount of any contingent liability shall be computed as the amount that, in light of all of the facts and circumstances existing as of such date, represents the amount that can reasonably be expected to become an actual or matured liability.</w:t>
      </w:r>
    </w:p>
    <w:p>
      <w:pPr>
        <w:spacing w:after="0" w:line="194"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89"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the Guarantee pursuant to Section 6.6(a) or Section 10.1(b).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176"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71" w:name="page72"/>
    <w:bookmarkEnd w:id="71"/>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Benchmark Tranche</w:t>
      </w:r>
      <w:r>
        <w:rPr>
          <w:rFonts w:ascii="Times New Roman" w:cs="Times New Roman" w:eastAsia="Times New Roman" w:hAnsi="Times New Roman"/>
          <w:sz w:val="18"/>
          <w:szCs w:val="18"/>
          <w:color w:val="auto"/>
        </w:rPr>
        <w:t>” means the collective reference to Term Benchmark Loans under the Facility,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52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58"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Reference Rate</w:t>
      </w:r>
      <w:r>
        <w:rPr>
          <w:rFonts w:ascii="Times New Roman" w:cs="Times New Roman" w:eastAsia="Times New Roman" w:hAnsi="Times New Roman"/>
          <w:sz w:val="17"/>
          <w:szCs w:val="17"/>
          <w:color w:val="auto"/>
        </w:rPr>
        <w:t>” means, for any day and time (such day, the “</w:t>
      </w:r>
      <w:r>
        <w:rPr>
          <w:rFonts w:ascii="Times New Roman" w:cs="Times New Roman" w:eastAsia="Times New Roman" w:hAnsi="Times New Roman"/>
          <w:sz w:val="17"/>
          <w:szCs w:val="17"/>
          <w:u w:val="single" w:color="auto"/>
          <w:color w:val="auto"/>
        </w:rPr>
        <w:t>Term SOFR Determination Day</w:t>
      </w:r>
      <w:r>
        <w:rPr>
          <w:rFonts w:ascii="Times New Roman" w:cs="Times New Roman" w:eastAsia="Times New Roman" w:hAnsi="Times New Roman"/>
          <w:sz w:val="17"/>
          <w:szCs w:val="17"/>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w:t>
      </w:r>
    </w:p>
    <w:p>
      <w:pPr>
        <w:spacing w:after="0"/>
        <w:rPr>
          <w:sz w:val="20"/>
          <w:szCs w:val="20"/>
          <w:color w:val="auto"/>
        </w:rPr>
      </w:pPr>
      <w:r>
        <w:rPr>
          <w:rFonts w:ascii="Times New Roman" w:cs="Times New Roman" w:eastAsia="Times New Roman" w:hAnsi="Times New Roman"/>
          <w:sz w:val="18"/>
          <w:szCs w:val="18"/>
          <w:color w:val="auto"/>
        </w:rPr>
        <w:t>(5) U.S. Government Securities Business Days prior to such Term SOFR Determination Day.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Quarter 2023 10-Q</w:t>
      </w:r>
      <w:r>
        <w:rPr>
          <w:rFonts w:ascii="Times New Roman" w:cs="Times New Roman" w:eastAsia="Times New Roman" w:hAnsi="Times New Roman"/>
          <w:sz w:val="18"/>
          <w:szCs w:val="18"/>
          <w:color w:val="auto"/>
        </w:rPr>
        <w:t>” has the meaning assigned to such term in Section 4.1.</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Commitments</w:t>
      </w:r>
      <w:r>
        <w:rPr>
          <w:rFonts w:ascii="Times New Roman" w:cs="Times New Roman" w:eastAsia="Times New Roman" w:hAnsi="Times New Roman"/>
          <w:sz w:val="18"/>
          <w:szCs w:val="18"/>
          <w:color w:val="auto"/>
        </w:rPr>
        <w:t>” means, at any time, the aggregate amount of the Commitments then in effect. The original amount of the Total Commitments is $3.0 billion.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at any time, the aggregate Credit Exposures of the Lenders at such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Extensions of Credit</w:t>
      </w:r>
      <w:r>
        <w:rPr>
          <w:rFonts w:ascii="Times New Roman" w:cs="Times New Roman" w:eastAsia="Times New Roman" w:hAnsi="Times New Roman"/>
          <w:sz w:val="18"/>
          <w:szCs w:val="18"/>
          <w:color w:val="auto"/>
        </w:rPr>
        <w:t>” means, at any time, the aggregate Outstanding Amount of the Extensions of Credit of the Lenders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execution, delivery and performance by the Company of this Agreement, the borrowing of Loans and the use of the proceeds thereof and (b) the payment of fees and expenses incurred in connection with the foregoing.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any Assignee or Participant.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as to any Loan, its nature as an ABR Loan, a Term Benchmark Loan or a Daily Simple SOFR Loan.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any applicable jurisdiction.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72" w:name="page73"/>
    <w:bookmarkEnd w:id="72"/>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207"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Unconsolidated Subsidiary</w:t>
      </w:r>
      <w:r>
        <w:rPr>
          <w:rFonts w:ascii="Times New Roman" w:cs="Times New Roman" w:eastAsia="Times New Roman" w:hAnsi="Times New Roman"/>
          <w:sz w:val="18"/>
          <w:szCs w:val="18"/>
          <w:color w:val="auto"/>
        </w:rPr>
        <w:t>” means a subsidiary of the Company or other Person whose financial results are not, in accordance with GAAP, included in the consolidated financial statements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assigned to such term in Section 10.18.</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10.21.</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such Person’s Capital Stock having the right to vote for election of directors (or the equivalent thereof) of such Person under ordinary circumstances.</w:t>
      </w:r>
    </w:p>
    <w:p>
      <w:pPr>
        <w:spacing w:after="0" w:line="162"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r>
        <w:rPr>
          <w:rFonts w:ascii="Times New Roman" w:cs="Times New Roman" w:eastAsia="Times New Roman" w:hAnsi="Times New Roman"/>
          <w:sz w:val="18"/>
          <w:szCs w:val="18"/>
          <w:color w:val="auto"/>
        </w:rPr>
        <w:t>. Unless otherwise specified therein, all terms defined in this Agreement shall have the defined meanings when used in the other Loan Documents or any certificate or other document made or delivered pursuant hereto or thereto.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73" w:name="page74"/>
    <w:bookmarkEnd w:id="73"/>
    <w:p>
      <w:pPr>
        <w:ind w:left="440" w:firstLine="948"/>
        <w:spacing w:after="0" w:line="253" w:lineRule="auto"/>
        <w:tabs>
          <w:tab w:leader="none" w:pos="16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81"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4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Conversion of Foreign Currencies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948"/>
        <w:spacing w:after="0" w:line="261" w:lineRule="auto"/>
        <w:tabs>
          <w:tab w:leader="none" w:pos="16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71"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67"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6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74" w:name="page75"/>
    <w:bookmarkEnd w:id="74"/>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Dollars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AMOUNT AND TERMS OF COMMITMENTS</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Commitments; Maturity Date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948"/>
        <w:spacing w:after="0" w:line="270" w:lineRule="auto"/>
        <w:tabs>
          <w:tab w:leader="none" w:pos="1636"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hereof, each Lender severally agrees to make on a Funding Date (or cause its Applicable Lending Office to make) term loans (“</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in Dollars to the Company at any time during the Funding Availability Period; provided, that, after giving effect to such borrowing and the use of proceeds thereof, the principal amount of the Loan made by any Lender will not exceed such Lender’s outstanding Commitment as in effect immediately prior to making such Loan and provided, further, that there shall be no more than four</w:t>
      </w:r>
    </w:p>
    <w:p>
      <w:pPr>
        <w:spacing w:after="0" w:line="2" w:lineRule="exact"/>
        <w:rPr>
          <w:rFonts w:ascii="Times New Roman" w:cs="Times New Roman" w:eastAsia="Times New Roman" w:hAnsi="Times New Roman"/>
          <w:sz w:val="17"/>
          <w:szCs w:val="17"/>
          <w:color w:val="auto"/>
        </w:rPr>
      </w:pPr>
    </w:p>
    <w:p>
      <w:pPr>
        <w:ind w:left="440" w:right="40" w:hanging="4"/>
        <w:spacing w:after="0" w:line="255"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Dates during the term of this Agreement. Amounts borrowed under this Section 2.1 and repaid or prepaid in respect of Loans may not be reborrowed. The Loans may from time to time be Term Benchmark Loans, Daily Simple SOFR Loans or ABR Loans or any combination of the foregoing, as determined by the Company and notified to the Administrative Agent in accordance with Section 2.2 and 2.14.</w:t>
      </w:r>
    </w:p>
    <w:p>
      <w:pPr>
        <w:spacing w:after="0" w:line="7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repay all outstanding Loans of each Lender on the Maturity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75" w:name="page76"/>
    <w:bookmarkEnd w:id="75"/>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Procedure for Borrowing</w:t>
      </w:r>
      <w:r>
        <w:rPr>
          <w:rFonts w:ascii="Times New Roman" w:cs="Times New Roman" w:eastAsia="Times New Roman" w:hAnsi="Times New Roman"/>
          <w:sz w:val="18"/>
          <w:szCs w:val="18"/>
          <w:color w:val="auto"/>
        </w:rPr>
        <w:t>. The Company shall give the Administrative Agent a written Borrowing Request during the Funding Availability Period prior to (a) in the case of Term Benchmark Loans, 11:00 a.m., New York City time, three U.S. Government Securities Business Days prior to the requested Funding Date, (b) in the case of Daily Simple SOFR Loans, 11:00 a.m., New York City time, three U.S. Government Securities Business Days prior to the requested Funding Date or (c) in the case of ABR Loans, 11:00 a.m., New York City time, on the date of the proposed Funding Date, specifying (i) the amount and Type of Loans to be borrowed, (ii) the requested Funding Date and (iii) in the case of Term Benchmark Loans, the respective lengths of the initial Interest Period(s) therefor. If no election as to the Type of a Loan is specified in any such notice, then the requested borrowing shall be an ABR Loan. If no Interest Period with respect to a Term Benchmark Loan is specified in any such notice, then the Company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the Administrative Agent shall promptly notify each Lender thereof. Each Lender will make (or cause its Applicable Lending Office to make) the amount of its pro rata share of each such borrowing available to the Administrative Agent for the account of the Company at the Funding Office prior to 1:00 P.M., New York City time, on the Funding Date requested (or deemed requested) by the Company in funds immediately available to the Administrative Agent. Such borrowing will then be made available to the Company by the Administrative Agent crediting the account of the Company on the books of such office or such other account as the Company may specify to the Administrative Agent with the aggregate of the amounts made available to the Administrative Agent by the Lenders and in like funds as received by the Administrative Agent.</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140" w:firstLine="948"/>
        <w:spacing w:after="0" w:line="258" w:lineRule="auto"/>
        <w:tabs>
          <w:tab w:leader="none" w:pos="16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The Company agrees to pay to the Administrative Agent for the account of each Lender a commitment fee (a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for the period from and including the Effective Date to the date on which such Commitments terminate in full, computed at the Commitment Fee Rate on the actual daily amount of the Commitment of such Lender, subject to adjustment as provided in Section 2.25, and payable quarterly in arrears on the last day of each March, June, September and December and on the date on which the Commitments terminate in full.</w:t>
      </w:r>
    </w:p>
    <w:p>
      <w:pPr>
        <w:spacing w:after="0" w:line="75"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Administrative Agent, the Arrangers and the Lenders, for their own respective accounts, the fees in the amounts and at the times specified in each Fee Letter.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76" w:name="page77"/>
    <w:bookmarkEnd w:id="76"/>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48"/>
        <w:spacing w:after="0" w:line="254" w:lineRule="auto"/>
        <w:tabs>
          <w:tab w:leader="none" w:pos="12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upon not less than three Business Days’ notice to the Administrative Agent, to terminate the outstanding Commitments under the Facility or, from time to time, to reduce the amount of outstanding Commitments under the Facility before the Commitment Termination Date.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provided,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80" w:lineRule="exact"/>
        <w:rPr>
          <w:rFonts w:ascii="Times New Roman" w:cs="Times New Roman" w:eastAsia="Times New Roman" w:hAnsi="Times New Roman"/>
          <w:sz w:val="18"/>
          <w:szCs w:val="18"/>
          <w:color w:val="auto"/>
        </w:rPr>
      </w:pPr>
    </w:p>
    <w:p>
      <w:pPr>
        <w:ind w:left="4" w:right="80" w:firstLine="948"/>
        <w:spacing w:after="0" w:line="252" w:lineRule="auto"/>
        <w:tabs>
          <w:tab w:leader="none" w:pos="121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on or after the Effective Date and prior to the termination of all the Commitments in accordance with this Section 2.11, either (i) the Company receives any Net Proceeds in respect of a Reduction/Prepayment Event described in clause (b) of the definition of such term or (ii) the Company or any of its Subsidiaries receives any Net Proceeds in respect of a Reduction/Prepayment Event described in clause (a), (c) or (d) of the definition of such term (or, in the case of clause (d) of the definition of such term, obtains commitments in respect of any Qualifying Term Loan Facility), then (A) the Company shall on the date of (or, in the case of a Reduction/Prepayment Event described in clause (c) of the definition of such term, no later than one Business Day after) receipt of such Net Proceeds (or on the date of the effectiveness of the commitments in respect of such Qualifying Term Loan Facility, as applicable) notify the Administrative Agent of such Reduction/Prepayment Event and the amount of Net Proceeds (or commitments, as applicable) resulting therefrom (together with, in each case, a reasonably detailed calculation thereof) and (B) if such Net Proceeds (or such commitments, as applicable) are</w:t>
      </w:r>
    </w:p>
    <w:p>
      <w:pPr>
        <w:spacing w:after="0" w:line="6" w:lineRule="exact"/>
        <w:rPr>
          <w:rFonts w:ascii="Times New Roman" w:cs="Times New Roman" w:eastAsia="Times New Roman" w:hAnsi="Times New Roman"/>
          <w:sz w:val="18"/>
          <w:szCs w:val="18"/>
          <w:color w:val="auto"/>
        </w:rPr>
      </w:pPr>
    </w:p>
    <w:p>
      <w:pPr>
        <w:ind w:left="4" w:right="20" w:hanging="4"/>
        <w:spacing w:after="0" w:line="252" w:lineRule="auto"/>
        <w:tabs>
          <w:tab w:leader="none" w:pos="25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Reduction/Prepayment Event described in clause (a), (b) or (c) of the definition of such term, then the Commitments will be automatically reduced (on the date of such receipt) by an amount equal to the lesser of (x) the total aggregate amount of the Lenders’ Commitments at such time and (y) the amount of such Net Proceeds and (2) in respect of a Reduction/Prepayment Event described in clause (d) of the definition of such term, then the Commitments will be automatically reduced (on the date of such receipt or effectiveness of commitments) by an amount equal to the lesser of (x) the total aggregate amount of the Lenders’ Commitments at such time and (y) the amount of such Net Proceeds or commitments, as applicable.</w:t>
      </w:r>
    </w:p>
    <w:p>
      <w:pPr>
        <w:spacing w:after="0" w:line="81" w:lineRule="exact"/>
        <w:rPr>
          <w:rFonts w:ascii="Times New Roman" w:cs="Times New Roman" w:eastAsia="Times New Roman" w:hAnsi="Times New Roman"/>
          <w:sz w:val="18"/>
          <w:szCs w:val="18"/>
          <w:color w:val="auto"/>
        </w:rPr>
      </w:pPr>
    </w:p>
    <w:p>
      <w:pPr>
        <w:ind w:left="4" w:firstLine="948"/>
        <w:spacing w:after="0" w:line="282" w:lineRule="auto"/>
        <w:tabs>
          <w:tab w:leader="none" w:pos="12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Commitment reductions and prepayment of Loans in respect of a Reduction/Prepayment Event shall be applied first to reduce Commitments pursuant to Section 2.11(b) and then to the prepayment of outstanding Loans under section 2.12(b).</w:t>
      </w:r>
    </w:p>
    <w:p>
      <w:pPr>
        <w:spacing w:after="0" w:line="53"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each Lender’s Commitment shall be automatically and permanently reduced on a</w:t>
      </w:r>
    </w:p>
    <w:p>
      <w:pPr>
        <w:spacing w:after="0" w:line="27" w:lineRule="exact"/>
        <w:rPr>
          <w:sz w:val="20"/>
          <w:szCs w:val="20"/>
          <w:color w:val="auto"/>
        </w:rPr>
      </w:pPr>
    </w:p>
    <w:p>
      <w:pPr>
        <w:jc w:val="both"/>
        <w:ind w:left="4" w:right="120"/>
        <w:spacing w:after="0" w:line="255" w:lineRule="auto"/>
        <w:rPr>
          <w:sz w:val="20"/>
          <w:szCs w:val="20"/>
          <w:color w:val="auto"/>
        </w:rPr>
      </w:pPr>
      <w:r>
        <w:rPr>
          <w:rFonts w:ascii="Times New Roman" w:cs="Times New Roman" w:eastAsia="Times New Roman" w:hAnsi="Times New Roman"/>
          <w:sz w:val="18"/>
          <w:szCs w:val="18"/>
          <w:color w:val="auto"/>
        </w:rPr>
        <w:t>dollar-for-dollar basis by the aggregate principal amount of the Loans made by such Lender from time to time on a Funding Date, such reduction to be effective immediately following the making of such Loan by such Lender on such Funding Date, and (ii) all remaining Commitments shall terminate at 11:59 p.m., New York City time, on the Commitment Termination Date.</w:t>
      </w:r>
    </w:p>
    <w:p>
      <w:pPr>
        <w:spacing w:after="0" w:line="18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48"/>
        <w:spacing w:after="0" w:line="256" w:lineRule="auto"/>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and from time to time prepay the Loans, in whole or in part, without premium or penalty, upon irrevocable notice delivered to the Administrative Agent no later than 11:00 a.m., New York City time, three Business Days prior thereto, in the case of Term Benchmark Loans and Daily Simple SOFR Loans, and no later than 11:00 a.m., New York City time, on the day of such prepayment, in the case of ABR Loans, in each case which notice shall specify the date and amount of prepayment and whether the prepayment is of Term Benchmark Loans, Daily Simple SOFR Loans or ABR Loans; provided, that if a Term Benchmark Loan is prepaid on any day other than the last day of the Interest Period applicable thereto, the Company shall also pay any</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4"/>
          </w:cols>
          <w:pgMar w:left="876" w:top="270" w:right="459" w:bottom="1440" w:gutter="0" w:footer="0" w:header="0"/>
        </w:sectPr>
      </w:pPr>
    </w:p>
    <w:bookmarkStart w:id="77" w:name="page78"/>
    <w:bookmarkEnd w:id="77"/>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amounts owing pursuant to Section 2.22; provided, further,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the Loans may not be reborrowed.</w:t>
      </w:r>
    </w:p>
    <w:p>
      <w:pPr>
        <w:spacing w:after="0" w:line="80" w:lineRule="exact"/>
        <w:rPr>
          <w:sz w:val="20"/>
          <w:szCs w:val="20"/>
          <w:color w:val="auto"/>
        </w:rPr>
      </w:pPr>
    </w:p>
    <w:p>
      <w:pPr>
        <w:ind w:firstLine="948"/>
        <w:spacing w:after="0" w:line="252" w:lineRule="auto"/>
        <w:tabs>
          <w:tab w:leader="none" w:pos="12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on or after any Funding Date, either (i) the Company receives any Net Proceeds in respect of a Reduction/Prepayment Event described in clause (b) of the definition of such term or (ii) the Company or any of its Subsidiaries receives any Net Proceeds in respect of a Reduction/Prepayment Event described in clause (a), (c) or (d) of the definition of such term, in each case, to the extent such Net Proceeds (or, in the case of clause (d) of the definition of such term, the commitments obtained in respect of any Qualifying Term Loan Facility that resulted in such Net Proceeds) did not result in a reduction of the Commitments pursuant to Section 2.11(b) equal to such received Net Proceeds, then (A) the Company shall within five Business Days (or, in the case of clause (2) below, on the date) of receipt of such Net Proceeds notify the Administrative Agent of such Reduction/Prepayment Event, the amount of Net Proceeds resulting therefrom that did not (or commitments in respect of which did not, as applicable) result in a reduction of the Commitments pursuant to Section 2.11(b) (together with, in each case, a reasonably detailed calculation thereof) and (B) if such Net Proceeds are (1) in respect of a Reduction/Prepayment Event described in clause (a), (b) or (c) of the definition of such term, then, within five Business Days of the day such Net Proceeds are received, the Company shall prepay Borrowings in an amount equal to the lesser of (x) the aggregate principal amount of Loans then outstanding and (y) the amount of such Net Proceeds and (2) in respect of a Reduction/Prepayment Event described in clause (d) of the definition of such term, then, on the day such Net Proceeds are received, the Company shall prepay Borrowings in an amount equal to the lesser of (x) the aggregate principal amount of Loans then outstanding and (y) the amount of such Net Proceeds.</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Conversion and Continuation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48"/>
        <w:spacing w:after="0" w:line="253" w:lineRule="auto"/>
        <w:tabs>
          <w:tab w:leader="none" w:pos="11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provided, that any such conversion of Term Benchmark Loans that is not made on the last day of an Interest Period with respect thereto shall be subject to Section 2.22. The Company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may elect from time to time to convert ABR Loans or Daily Simple SOFR Loans to Term Benchmark Loans by giving the Administrative Agent prior irrevocable notice of such election no later than 1:00 P.M., New York City time, on the third Business Day preceding the proposed conversion date (which notice shall specify the length of the initial Interest Period therefor); provided, that no ABR Loan may be converted into a Term Benchmark Loan when (after giving effect to</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40"/>
          </w:cols>
          <w:pgMar w:left="880" w:top="270" w:right="479" w:bottom="1440" w:gutter="0" w:footer="0" w:header="0"/>
        </w:sectPr>
      </w:pPr>
    </w:p>
    <w:bookmarkStart w:id="78" w:name="page79"/>
    <w:bookmarkEnd w:id="78"/>
    <w:p>
      <w:pPr>
        <w:ind w:left="44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and the Company thereof.</w:t>
      </w:r>
    </w:p>
    <w:p>
      <w:pPr>
        <w:spacing w:after="0" w:line="72" w:lineRule="exact"/>
        <w:rPr>
          <w:sz w:val="20"/>
          <w:szCs w:val="20"/>
          <w:color w:val="auto"/>
        </w:rPr>
      </w:pPr>
    </w:p>
    <w:p>
      <w:pPr>
        <w:ind w:left="444" w:firstLine="948"/>
        <w:spacing w:after="0" w:line="253" w:lineRule="auto"/>
        <w:tabs>
          <w:tab w:leader="none" w:pos="165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Benchmark Loan may be continued as such upon the expiration of the then current Interest Period with respect thereto by the Company giving irrevocable notice to the Administrative Agent, in accordance with the applicable provisions of the term “Interest Period” set forth in Section 1.1, of the length of the next Interest Period(s) to be applicable to such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Term Benchmark Loan under the Facility shall be converted to an ABR Loan at the end of the Interest Period applicable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Company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and the Company thereof.</w:t>
      </w:r>
    </w:p>
    <w:p>
      <w:pPr>
        <w:spacing w:after="0" w:line="194"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Limitations on Term Benchmark Tranches and Daily Simple SOFR Borrowings</w:t>
      </w:r>
      <w:r>
        <w:rPr>
          <w:rFonts w:ascii="Times New Roman" w:cs="Times New Roman" w:eastAsia="Times New Roman" w:hAnsi="Times New Roman"/>
          <w:sz w:val="18"/>
          <w:szCs w:val="18"/>
          <w:color w:val="auto"/>
        </w:rPr>
        <w:t>. Notwithstanding anything to the contrary in this Agreement, all borrowings, conversions and continuations of Term Benchmark Loans and all selections of Interest Periods shall be in such amounts and be made pursuant to such elections so that no more than ten (10) Term Benchmark Tranches shall be outstanding at any one time. Notwithstanding anything to the contrary in this Agreement, all borrowings, conversions and continuations of Daily Simple SOFR Loans shall be in such amounts and be made pursuant to such elections so that no more than ten (10) Daily Simple SOFR Borrowings shall be outstanding at any one time.</w:t>
      </w:r>
    </w:p>
    <w:p>
      <w:pPr>
        <w:spacing w:after="0" w:line="183" w:lineRule="exact"/>
        <w:rPr>
          <w:sz w:val="20"/>
          <w:szCs w:val="20"/>
          <w:color w:val="auto"/>
        </w:rPr>
      </w:pPr>
    </w:p>
    <w:p>
      <w:pPr>
        <w:ind w:left="4" w:right="300" w:firstLine="991"/>
        <w:spacing w:after="0" w:line="276" w:lineRule="auto"/>
        <w:rPr>
          <w:sz w:val="20"/>
          <w:szCs w:val="20"/>
          <w:color w:val="auto"/>
        </w:rPr>
      </w:pPr>
      <w:r>
        <w:rPr>
          <w:rFonts w:ascii="Times New Roman" w:cs="Times New Roman" w:eastAsia="Times New Roman" w:hAnsi="Times New Roman"/>
          <w:sz w:val="17"/>
          <w:szCs w:val="17"/>
          <w:color w:val="auto"/>
        </w:rPr>
        <w:t xml:space="preserve">2.16. </w:t>
      </w:r>
      <w:r>
        <w:rPr>
          <w:rFonts w:ascii="Times New Roman" w:cs="Times New Roman" w:eastAsia="Times New Roman" w:hAnsi="Times New Roman"/>
          <w:sz w:val="17"/>
          <w:szCs w:val="17"/>
          <w:u w:val="single" w:color="auto"/>
          <w:color w:val="auto"/>
        </w:rPr>
        <w:t>Interest Rates and Payment Dates</w:t>
      </w:r>
      <w:r>
        <w:rPr>
          <w:rFonts w:ascii="Times New Roman" w:cs="Times New Roman" w:eastAsia="Times New Roman" w:hAnsi="Times New Roman"/>
          <w:sz w:val="17"/>
          <w:szCs w:val="17"/>
          <w:color w:val="auto"/>
        </w:rPr>
        <w:t>. (a) Each (x) Term Benchmark Loan shall bear interest for each day during each Interest Period with respect thereto at a rate per annum equal to the Adjusted Term SOFR Rate determined for such Interest Period plus the Applicable Margin and</w:t>
      </w:r>
    </w:p>
    <w:p>
      <w:pPr>
        <w:spacing w:after="0" w:line="1" w:lineRule="exact"/>
        <w:rPr>
          <w:sz w:val="20"/>
          <w:szCs w:val="20"/>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Simple SOFR Loan shall bear interest for each day at a rate per annum equal to the Adjusted Daily Simple SOFR plus the Applicable Margin.</w:t>
      </w:r>
    </w:p>
    <w:p>
      <w:pPr>
        <w:spacing w:after="0" w:line="98"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ABR Loan shall bear interest at a rate per annum equal to the ABR plus the Applicable Margin.</w:t>
      </w:r>
    </w:p>
    <w:p>
      <w:pPr>
        <w:spacing w:after="0" w:line="117" w:lineRule="exact"/>
        <w:rPr>
          <w:rFonts w:ascii="Times New Roman" w:cs="Times New Roman" w:eastAsia="Times New Roman" w:hAnsi="Times New Roman"/>
          <w:sz w:val="18"/>
          <w:szCs w:val="18"/>
          <w:color w:val="auto"/>
        </w:rPr>
      </w:pPr>
    </w:p>
    <w:p>
      <w:pPr>
        <w:ind w:left="444" w:right="20" w:firstLine="948"/>
        <w:spacing w:after="0" w:line="256" w:lineRule="auto"/>
        <w:tabs>
          <w:tab w:leader="none" w:pos="16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(ii) if all or a portion of any interest payable on any Loan or any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(after as well as before judgment).</w:t>
      </w:r>
    </w:p>
    <w:p>
      <w:pPr>
        <w:spacing w:after="0" w:line="79" w:lineRule="exact"/>
        <w:rPr>
          <w:rFonts w:ascii="Times New Roman" w:cs="Times New Roman" w:eastAsia="Times New Roman" w:hAnsi="Times New Roman"/>
          <w:sz w:val="18"/>
          <w:szCs w:val="18"/>
          <w:color w:val="auto"/>
        </w:rPr>
      </w:pPr>
    </w:p>
    <w:p>
      <w:pPr>
        <w:ind w:left="444" w:right="320" w:firstLine="948"/>
        <w:spacing w:after="0" w:line="282" w:lineRule="auto"/>
        <w:tabs>
          <w:tab w:leader="none" w:pos="165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shall be payable in arrears on each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interest accruing pursuant to Section 2.16(c) shall be payable from time to time on demand.</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paid in Dollars.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79" w:name="page80"/>
    <w:bookmarkEnd w:id="79"/>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2.17.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Daily Simple SOFR Rate or Daily Simple SOFR shall be determined by the Administrative Agent, and such determination shall be conclusive absent manifest error. The Administrative Agent shall as soon as practicable notify the Company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and the relevant Lenders of the effective date and the amount of each such change in interest rate. The Administrative Agent shall, at the request of the Company, deliver to the Company a statement showing the quotations used by the Administrative Agent in determining any interest rate pursuant to this Section 2.17.</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(a) Subject to clauses (b), (c), (d), (e) and (f) of this Section 2.18, if:</w:t>
      </w:r>
    </w:p>
    <w:p>
      <w:pPr>
        <w:spacing w:after="0" w:line="117" w:lineRule="exact"/>
        <w:rPr>
          <w:sz w:val="20"/>
          <w:szCs w:val="20"/>
          <w:color w:val="auto"/>
        </w:rPr>
      </w:pPr>
    </w:p>
    <w:p>
      <w:pPr>
        <w:ind w:left="440" w:right="60" w:firstLine="419"/>
        <w:spacing w:after="0" w:line="258" w:lineRule="auto"/>
        <w:tabs>
          <w:tab w:leader="none" w:pos="10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 (B) at any time, that adequate and reasonable means do not exist for ascertaining the applicable Adjusted Daily Simple SOFR or Daily Simple SOFR; or</w:t>
      </w:r>
    </w:p>
    <w:p>
      <w:pPr>
        <w:spacing w:after="0" w:line="75"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or the Term SOFR Rate for such Interest Period will not adequately and fairly reflect the cost to such Lenders of making or maintaining their Loans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Company and the Lenders by telephone, telecopy or electronic mail as promptly as practicable thereafter and, until (x) the Administrative Agent notifies the Company and the Lenders that the circumstances giving rise to such notice no longer exist with respect to the relevant Benchmark and (y) the Company delivers a new Interest Election Request in accordance with the terms of Section 2.14 or a new Borrowing Request in accordance with the terms of Section 2.2,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2.18(a)(i) or (ii) above or (y) an ABR Borrowing if the Adjusted Daily Simple SOFR also is the subject of Section 2.18(a)(i) or (ii) above and (2) any Borrowing Request that requests a Daily Simple SOFR Borrowing shall instead be deemed to be a Borrowing Request for an ABR Borrowing; provided that if the circumstances giving rise to such notice affect only one Type of Borrowings, then all other Types of Borrowings shall be permitted. Furthermore, if any Term Benchmark Loan or Daily Simple SOFR Loan is outstanding on the date of the Company’s receipt of the notice from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80" w:name="page81"/>
    <w:bookmarkEnd w:id="80"/>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referred to in this Section 2.18(a) with respect to a Relevant Rate applicable to such Term Benchmark Loan or Daily Simple SOFR Loan, then until (x) the Administrative Agent notifies the Company and the Lenders that the circumstances giving rise to such notice no longer exist with respect to the relevant Benchmark and (y) the Company delivers a new Interest Election Request in accordance with the terms of Section 2.14 or a new Borrowing Request in accordance with the terms of Section 2.2,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also the subject of Section 2.18(a)(i) or (ii) above or</w:t>
      </w:r>
    </w:p>
    <w:p>
      <w:pPr>
        <w:spacing w:after="0" w:line="5" w:lineRule="exact"/>
        <w:rPr>
          <w:sz w:val="20"/>
          <w:szCs w:val="20"/>
          <w:color w:val="auto"/>
        </w:rPr>
      </w:pPr>
    </w:p>
    <w:p>
      <w:pPr>
        <w:ind w:left="4" w:right="60" w:hanging="4"/>
        <w:spacing w:after="0" w:line="260" w:lineRule="auto"/>
        <w:tabs>
          <w:tab w:leader="none" w:pos="25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ABR Loan if the Adjusted Daily Simple SOFR also is the subject of Section 2.18(a)(i) or (ii) above, on such day and (2) any Daily Simple SOFR Loan shall on and from such day be converted by the Administrative Agent to, and shall constitute an ABR Loan.</w:t>
      </w:r>
    </w:p>
    <w:p>
      <w:pPr>
        <w:spacing w:after="0" w:line="73" w:lineRule="exact"/>
        <w:rPr>
          <w:rFonts w:ascii="Times New Roman" w:cs="Times New Roman" w:eastAsia="Times New Roman" w:hAnsi="Times New Roman"/>
          <w:sz w:val="18"/>
          <w:szCs w:val="18"/>
          <w:color w:val="auto"/>
        </w:rPr>
      </w:pPr>
    </w:p>
    <w:p>
      <w:pPr>
        <w:ind w:left="444" w:firstLine="948"/>
        <w:spacing w:after="0" w:line="255" w:lineRule="auto"/>
        <w:tabs>
          <w:tab w:leader="none" w:pos="1651"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80" w:lineRule="exact"/>
        <w:rPr>
          <w:rFonts w:ascii="Times New Roman" w:cs="Times New Roman" w:eastAsia="Times New Roman" w:hAnsi="Times New Roman"/>
          <w:sz w:val="18"/>
          <w:szCs w:val="18"/>
          <w:color w:val="auto"/>
        </w:rPr>
      </w:pPr>
    </w:p>
    <w:p>
      <w:pPr>
        <w:jc w:val="both"/>
        <w:ind w:left="444" w:right="80" w:firstLine="948"/>
        <w:spacing w:after="0" w:line="261" w:lineRule="auto"/>
        <w:tabs>
          <w:tab w:leader="none" w:pos="164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color w:val="auto"/>
        </w:rPr>
      </w:pPr>
    </w:p>
    <w:p>
      <w:pPr>
        <w:ind w:left="444" w:right="240" w:firstLine="948"/>
        <w:spacing w:after="0" w:line="276" w:lineRule="auto"/>
        <w:tabs>
          <w:tab w:leader="none" w:pos="1651" w:val="left"/>
        </w:tabs>
        <w:numPr>
          <w:ilvl w:val="2"/>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will promptly notify the Company and the Lenders of (i) any occurrence of a Benchmark Transition Event, (ii) the implementation of any Benchmark Replacement, (iii) the effectiveness of any Benchmark Replacement Conforming Changes,</w:t>
      </w:r>
    </w:p>
    <w:p>
      <w:pPr>
        <w:ind w:left="444" w:right="40" w:hanging="4"/>
        <w:spacing w:after="0" w:line="252" w:lineRule="auto"/>
        <w:tabs>
          <w:tab w:leader="none" w:pos="74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81" w:lineRule="exact"/>
        <w:rPr>
          <w:rFonts w:ascii="Times New Roman" w:cs="Times New Roman" w:eastAsia="Times New Roman" w:hAnsi="Times New Roman"/>
          <w:sz w:val="18"/>
          <w:szCs w:val="18"/>
          <w:color w:val="auto"/>
        </w:rPr>
      </w:pPr>
    </w:p>
    <w:p>
      <w:pPr>
        <w:ind w:left="444" w:right="280" w:firstLine="948"/>
        <w:spacing w:after="0" w:line="261" w:lineRule="auto"/>
        <w:tabs>
          <w:tab w:leader="none" w:pos="164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w:t>
      </w:r>
    </w:p>
    <w:p>
      <w:pPr>
        <w:ind w:left="444"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81" w:name="page82"/>
    <w:bookmarkEnd w:id="8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or after such time to remove such unavailable or non-representative tenor and (ii) if a tenor that was removed pursuant to clause (i) above either</w:t>
      </w:r>
    </w:p>
    <w:p>
      <w:pPr>
        <w:spacing w:after="0" w:line="27" w:lineRule="exact"/>
        <w:rPr>
          <w:sz w:val="20"/>
          <w:szCs w:val="20"/>
          <w:color w:val="auto"/>
        </w:rPr>
      </w:pPr>
    </w:p>
    <w:p>
      <w:pPr>
        <w:ind w:left="4" w:right="120" w:hanging="4"/>
        <w:spacing w:after="0" w:line="253" w:lineRule="auto"/>
        <w:tabs>
          <w:tab w:leader="none" w:pos="2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80" w:lineRule="exact"/>
        <w:rPr>
          <w:rFonts w:ascii="Times New Roman" w:cs="Times New Roman" w:eastAsia="Times New Roman" w:hAnsi="Times New Roman"/>
          <w:sz w:val="18"/>
          <w:szCs w:val="18"/>
          <w:color w:val="auto"/>
        </w:rPr>
      </w:pPr>
    </w:p>
    <w:p>
      <w:pPr>
        <w:ind w:left="4" w:firstLine="948"/>
        <w:spacing w:after="0" w:line="252" w:lineRule="auto"/>
        <w:tabs>
          <w:tab w:leader="none" w:pos="11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Company’s receipt of notice of the commencement of a Benchmark Unavailability Period, the Company may revoke any request for a Term Benchmark Borrowing or Daily Simple SOFR Borrowing of, or any request for the conversion to or continuation of Term Benchmark Loans to be made, converted or continued during any Benchmark Unavailability Period and, failing that, the Company will be deemed to have converted any request for (1) a Term Benchmark Borrowing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receipt of notice of the commencement of a Benchmark Unavailability Period with respect to the Relevant Rate applicable to such Term Benchmark Loan or Daily Simple SOFR Loan, then until such time as a Benchmark Replacement is implemented pursuant to this Section 2.18,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 (2) any Daily Simple SOFR Loan shall on and from such day be converted by the Administrative Agent to, and shall constitute, an ABR Loan.</w:t>
      </w:r>
    </w:p>
    <w:p>
      <w:pPr>
        <w:spacing w:after="0" w:line="19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Pro Rata Treatment and Payments; Evidence of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48"/>
        <w:spacing w:after="0" w:line="261"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of Loans under the Facility by the Company from the Lenders under the Facility, each payment by the Company on account of any Commitment Fee in accordance with Section 2.10 and any reduction of the Commitments of the Lenders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Percentages under the Facility of the relevant Lenders in the Facility except to the extent required or permitted pursuant to Sections 2.24 and 2.25.</w:t>
      </w:r>
    </w:p>
    <w:p>
      <w:pPr>
        <w:spacing w:after="0" w:line="71" w:lineRule="exact"/>
        <w:rPr>
          <w:rFonts w:ascii="Times New Roman" w:cs="Times New Roman" w:eastAsia="Times New Roman" w:hAnsi="Times New Roman"/>
          <w:sz w:val="18"/>
          <w:szCs w:val="18"/>
          <w:color w:val="auto"/>
        </w:rPr>
      </w:pPr>
    </w:p>
    <w:p>
      <w:pPr>
        <w:ind w:left="4" w:right="120" w:firstLine="948"/>
        <w:spacing w:after="0" w:line="261" w:lineRule="auto"/>
        <w:tabs>
          <w:tab w:leader="none" w:pos="12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payment (including each prepayment) by the Company on account of principal of and interest on the Loans under the Facility shall be made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the Lenders under the Facility according to the respective outstanding principal amounts of the Loans under the Facility then held by the Lenders under the Facility except to the extent required or permitted pursuant to Sections 2.24 and 2.25. Each such payment shall be paid in Dollars.</w:t>
      </w:r>
    </w:p>
    <w:p>
      <w:pPr>
        <w:spacing w:after="0" w:line="71" w:lineRule="exact"/>
        <w:rPr>
          <w:rFonts w:ascii="Times New Roman" w:cs="Times New Roman" w:eastAsia="Times New Roman" w:hAnsi="Times New Roman"/>
          <w:sz w:val="18"/>
          <w:szCs w:val="18"/>
          <w:color w:val="auto"/>
        </w:rPr>
      </w:pPr>
    </w:p>
    <w:p>
      <w:pPr>
        <w:ind w:left="4" w:right="200" w:firstLine="948"/>
        <w:spacing w:after="0" w:line="258"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(including prepayments) to be made by the Company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4"/>
          </w:cols>
          <w:pgMar w:left="876" w:top="270" w:right="459" w:bottom="1440" w:gutter="0" w:footer="0" w:header="0"/>
        </w:sectPr>
      </w:pPr>
    </w:p>
    <w:bookmarkStart w:id="82" w:name="page83"/>
    <w:bookmarkEnd w:id="82"/>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79" w:lineRule="exact"/>
        <w:rPr>
          <w:sz w:val="20"/>
          <w:szCs w:val="20"/>
          <w:color w:val="auto"/>
        </w:rPr>
      </w:pPr>
    </w:p>
    <w:p>
      <w:pPr>
        <w:ind w:right="40" w:firstLine="948"/>
        <w:spacing w:after="0" w:line="253" w:lineRule="auto"/>
        <w:tabs>
          <w:tab w:leader="none" w:pos="120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a corresponding amount. If such amount is not made available to the Administrative Agent by the required time on the applicable Funding Date, such Lender shall pay to the Administrative Agent, on demand, such amount with interest thereon, at a rate up to the greater of (i) 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Funding Date, the Administrative Agent shall also be entitled to recover such amount with interest thereon at the rate per annum applicable to ABR Loans under the Facility, on demand, from the Company.</w:t>
      </w:r>
    </w:p>
    <w:p>
      <w:pPr>
        <w:spacing w:after="0" w:line="83" w:lineRule="exact"/>
        <w:rPr>
          <w:rFonts w:ascii="Times New Roman" w:cs="Times New Roman" w:eastAsia="Times New Roman" w:hAnsi="Times New Roman"/>
          <w:sz w:val="18"/>
          <w:szCs w:val="18"/>
          <w:color w:val="auto"/>
        </w:rPr>
      </w:pPr>
    </w:p>
    <w:p>
      <w:pPr>
        <w:ind w:right="160" w:firstLine="948"/>
        <w:spacing w:after="0" w:line="254" w:lineRule="auto"/>
        <w:tabs>
          <w:tab w:leader="none" w:pos="11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been notified in writing by the Company prior to the date of any payment due to be made by the Company under the Facility that the Company will not make such payment to the Administrative Agent, the Administrative Agent may assume that the Company is making such payment, and the Administrative Agent may, but shall not be required to, in reliance upon such assumption, make available to the Lenders under the Facility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shares of a corresponding amount. If such payment is not made to the Administrative Agent by the Company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w:t>
      </w:r>
    </w:p>
    <w:p>
      <w:pPr>
        <w:spacing w:after="0" w:line="83" w:lineRule="exact"/>
        <w:rPr>
          <w:rFonts w:ascii="Times New Roman" w:cs="Times New Roman" w:eastAsia="Times New Roman" w:hAnsi="Times New Roman"/>
          <w:sz w:val="18"/>
          <w:szCs w:val="18"/>
          <w:color w:val="auto"/>
        </w:rPr>
      </w:pPr>
    </w:p>
    <w:p>
      <w:pPr>
        <w:ind w:right="360" w:firstLine="948"/>
        <w:spacing w:after="0" w:line="289" w:lineRule="auto"/>
        <w:tabs>
          <w:tab w:leader="none" w:pos="117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49" w:lineRule="exact"/>
        <w:rPr>
          <w:rFonts w:ascii="Times New Roman" w:cs="Times New Roman" w:eastAsia="Times New Roman" w:hAnsi="Times New Roman"/>
          <w:sz w:val="17"/>
          <w:szCs w:val="17"/>
          <w:color w:val="auto"/>
        </w:rPr>
      </w:pPr>
    </w:p>
    <w:p>
      <w:pPr>
        <w:ind w:firstLine="948"/>
        <w:spacing w:after="0" w:line="266" w:lineRule="auto"/>
        <w:tabs>
          <w:tab w:leader="none" w:pos="120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in accordance with Sections 5.1(e) and 5.2(e), the Company shall promptly execute and deliver to such Lender a promissory note of the Company evidencing the Loans of such Lender, substantially in the forms of Exhibit K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with appropriate insertions as to date and principal amount.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0"/>
          </w:cols>
          <w:pgMar w:left="880" w:top="270" w:right="479" w:bottom="1440" w:gutter="0" w:footer="0" w:header="0"/>
        </w:sectPr>
      </w:pPr>
    </w:p>
    <w:bookmarkStart w:id="83" w:name="page84"/>
    <w:bookmarkEnd w:id="8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2.20.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40" w:hanging="252"/>
        <w:spacing w:after="0"/>
        <w:tabs>
          <w:tab w:leader="none" w:pos="16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Adjusted Term SOFR Rate;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such Lender or any interbank market any other condition;</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Term Benchmark Loans or to reduce any amount receivable hereunder in respect thereof, then, in any such case, the Company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(with a copy to the Administrative Agent) of the event by reason of which it has become so entitled (including a reasonably detailed calculation of such amounts).</w:t>
      </w:r>
    </w:p>
    <w:p>
      <w:pPr>
        <w:spacing w:after="0" w:line="80" w:lineRule="exact"/>
        <w:rPr>
          <w:sz w:val="20"/>
          <w:szCs w:val="20"/>
          <w:color w:val="auto"/>
        </w:rPr>
      </w:pPr>
    </w:p>
    <w:p>
      <w:pPr>
        <w:ind w:left="440" w:firstLine="948"/>
        <w:spacing w:after="0" w:line="253" w:lineRule="auto"/>
        <w:tabs>
          <w:tab w:leader="none" w:pos="164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(with a copy to the Administrative Agent) of a written request therefor (together with a reasonably detailed description and calculation of such amounts), the Company shall pay to such Lender such additional amount or amounts as will compensate such Lender or such entity for such reduction (it being understood that the provisions set forth in this</w:t>
      </w:r>
    </w:p>
    <w:p>
      <w:pPr>
        <w:spacing w:after="0" w:line="2"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2.20(b) are not intended to derogate from the Company’s rights provided in Sections 2.23 and 2.24).</w:t>
      </w:r>
    </w:p>
    <w:p>
      <w:pPr>
        <w:spacing w:after="0" w:line="98" w:lineRule="exact"/>
        <w:rPr>
          <w:rFonts w:ascii="Times New Roman" w:cs="Times New Roman" w:eastAsia="Times New Roman" w:hAnsi="Times New Roman"/>
          <w:sz w:val="18"/>
          <w:szCs w:val="18"/>
          <w:color w:val="auto"/>
        </w:rPr>
      </w:pPr>
    </w:p>
    <w:p>
      <w:pPr>
        <w:ind w:left="440" w:firstLine="948"/>
        <w:spacing w:after="0" w:line="253" w:lineRule="auto"/>
        <w:tabs>
          <w:tab w:leader="none" w:pos="16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payable pursuant to this Section 2.20 submitted by the Administrative Agent or any Lender to the Company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under any obligation to verify any such request of a Lender) and (ii) the Company shall not be required to compensate the Administrative Agent or a Lender pursuant to this Section 2.20 for any amounts incurred more than 90 days prior to the date that the Administrative Agent or such Lender notifies the Company of the Administrative Agent’s or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The obligations of the Company pursuant to this Section 2.20 shall survive the termination of this Agreement and the payment of the Loans and all interest thereon and fees payable hereunder.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84" w:name="page85"/>
    <w:bookmarkEnd w:id="84"/>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48"/>
        <w:spacing w:after="0" w:line="255" w:lineRule="auto"/>
        <w:tabs>
          <w:tab w:leader="none" w:pos="11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w:t>
      </w:r>
    </w:p>
    <w:p>
      <w:pPr>
        <w:spacing w:after="0" w:line="80"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Loan Party shall pay any Other Taxes over to the relevant Governmental Authority in accordance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06" w:lineRule="exact"/>
        <w:rPr>
          <w:rFonts w:ascii="Times New Roman" w:cs="Times New Roman" w:eastAsia="Times New Roman" w:hAnsi="Times New Roman"/>
          <w:sz w:val="18"/>
          <w:szCs w:val="18"/>
          <w:color w:val="auto"/>
        </w:rPr>
      </w:pPr>
    </w:p>
    <w:p>
      <w:pPr>
        <w:ind w:right="20" w:firstLine="948"/>
        <w:spacing w:after="0" w:line="253" w:lineRule="auto"/>
        <w:tabs>
          <w:tab w:leader="none" w:pos="11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makes a written demand therefor (together with a reasonably detailed calculation of such amounts).</w:t>
      </w:r>
    </w:p>
    <w:p>
      <w:pPr>
        <w:spacing w:after="0" w:line="86" w:lineRule="exact"/>
        <w:rPr>
          <w:rFonts w:ascii="Times New Roman" w:cs="Times New Roman" w:eastAsia="Times New Roman" w:hAnsi="Times New Roman"/>
          <w:sz w:val="18"/>
          <w:szCs w:val="18"/>
          <w:color w:val="auto"/>
        </w:rPr>
      </w:pPr>
    </w:p>
    <w:p>
      <w:pPr>
        <w:ind w:firstLine="948"/>
        <w:spacing w:after="0" w:line="253" w:lineRule="auto"/>
        <w:tabs>
          <w:tab w:leader="none" w:pos="12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2.21(d)(2))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6"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880" w:top="270" w:right="459" w:bottom="1440" w:gutter="0" w:footer="0" w:header="0"/>
        </w:sectPr>
      </w:pPr>
    </w:p>
    <w:bookmarkStart w:id="85" w:name="page86"/>
    <w:bookmarkEnd w:id="85"/>
    <w:p>
      <w:pPr>
        <w:ind w:left="420" w:right="40" w:firstLine="391"/>
        <w:spacing w:after="0" w:line="254" w:lineRule="auto"/>
        <w:tabs>
          <w:tab w:leader="none" w:pos="10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Non-U.S. Lender shall deliver to the Company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w:t>
      </w:r>
    </w:p>
    <w:p>
      <w:pPr>
        <w:spacing w:after="0" w:line="83" w:lineRule="exact"/>
        <w:rPr>
          <w:rFonts w:ascii="Times New Roman" w:cs="Times New Roman" w:eastAsia="Times New Roman" w:hAnsi="Times New Roman"/>
          <w:sz w:val="18"/>
          <w:szCs w:val="18"/>
          <w:color w:val="auto"/>
        </w:rPr>
      </w:pPr>
    </w:p>
    <w:p>
      <w:pPr>
        <w:ind w:left="420" w:firstLine="391"/>
        <w:spacing w:after="0" w:line="266" w:lineRule="auto"/>
        <w:tabs>
          <w:tab w:leader="none" w:pos="10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the Company and the Administrative Agent (or in the case of a Participant, to the Lender from which the related participation shall have been purchased) two properly completed and duly executed copies of IRS Form W-9 certifying that such Lender is exempt from U.S. federal backup withholding tax.</w:t>
      </w:r>
    </w:p>
    <w:p>
      <w:pPr>
        <w:spacing w:after="0" w:line="67" w:lineRule="exact"/>
        <w:rPr>
          <w:rFonts w:ascii="Times New Roman" w:cs="Times New Roman" w:eastAsia="Times New Roman" w:hAnsi="Times New Roman"/>
          <w:sz w:val="18"/>
          <w:szCs w:val="18"/>
          <w:color w:val="auto"/>
        </w:rPr>
      </w:pPr>
    </w:p>
    <w:p>
      <w:pPr>
        <w:ind w:left="420" w:right="120" w:firstLine="391"/>
        <w:spacing w:after="0" w:line="256" w:lineRule="auto"/>
        <w:tabs>
          <w:tab w:leader="none" w:pos="10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deliver to the Company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and the Administrative Agent to determine the withholding or deduction required to be made. Each Lender shall promptly notify the Company at any time it determines that it is no longer in a position to provide any previously delivered certificate to the Company (and any other form of certification adopted by the U.S. taxing authorities for such purpose).</w:t>
      </w:r>
    </w:p>
    <w:p>
      <w:pPr>
        <w:spacing w:after="0" w:line="79" w:lineRule="exact"/>
        <w:rPr>
          <w:rFonts w:ascii="Times New Roman" w:cs="Times New Roman" w:eastAsia="Times New Roman" w:hAnsi="Times New Roman"/>
          <w:sz w:val="18"/>
          <w:szCs w:val="18"/>
          <w:color w:val="auto"/>
        </w:rPr>
      </w:pPr>
    </w:p>
    <w:p>
      <w:pPr>
        <w:ind w:left="420" w:right="20" w:firstLine="391"/>
        <w:spacing w:after="0" w:line="269" w:lineRule="auto"/>
        <w:tabs>
          <w:tab w:leader="none" w:pos="109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74" w:lineRule="exact"/>
        <w:rPr>
          <w:sz w:val="20"/>
          <w:szCs w:val="20"/>
          <w:color w:val="auto"/>
        </w:rPr>
      </w:pPr>
    </w:p>
    <w:p>
      <w:pPr>
        <w:ind w:left="420" w:right="80" w:firstLine="383"/>
        <w:spacing w:after="0" w:line="261" w:lineRule="auto"/>
        <w:rPr>
          <w:sz w:val="20"/>
          <w:szCs w:val="20"/>
          <w:color w:val="auto"/>
        </w:rPr>
      </w:pPr>
      <w:r>
        <w:rPr>
          <w:rFonts w:ascii="Times New Roman" w:cs="Times New Roman" w:eastAsia="Times New Roman" w:hAnsi="Times New Roman"/>
          <w:sz w:val="18"/>
          <w:szCs w:val="18"/>
          <w:color w:val="auto"/>
        </w:rPr>
        <w:t>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000"/>
          </w:cols>
          <w:pgMar w:left="1440" w:top="270" w:right="459" w:bottom="1440" w:gutter="0" w:footer="0" w:header="0"/>
        </w:sectPr>
      </w:pPr>
    </w:p>
    <w:bookmarkStart w:id="86" w:name="page87"/>
    <w:bookmarkEnd w:id="86"/>
    <w:p>
      <w:pPr>
        <w:ind w:left="440" w:right="80" w:firstLine="948"/>
        <w:spacing w:after="0" w:line="252" w:lineRule="auto"/>
        <w:tabs>
          <w:tab w:leader="none" w:pos="16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Indemnified Taxes giving rise to such refund), net of all out-of-pocket expenses of the Administrative Agent, such Transferee or such Lender and without interest (other than any interest paid by the relevant Governmental Authority with respect to such refund); provided,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87" w:lineRule="exact"/>
        <w:rPr>
          <w:rFonts w:ascii="Times New Roman" w:cs="Times New Roman" w:eastAsia="Times New Roman" w:hAnsi="Times New Roman"/>
          <w:sz w:val="18"/>
          <w:szCs w:val="18"/>
          <w:color w:val="auto"/>
        </w:rPr>
      </w:pPr>
    </w:p>
    <w:p>
      <w:pPr>
        <w:ind w:left="440" w:right="100" w:firstLine="948"/>
        <w:spacing w:after="0" w:line="256" w:lineRule="auto"/>
        <w:tabs>
          <w:tab w:leader="none" w:pos="161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79"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Assignee shall be bound by this Section 2.21.</w:t>
      </w:r>
    </w:p>
    <w:p>
      <w:pPr>
        <w:spacing w:after="0" w:line="117" w:lineRule="exact"/>
        <w:rPr>
          <w:rFonts w:ascii="Times New Roman" w:cs="Times New Roman" w:eastAsia="Times New Roman" w:hAnsi="Times New Roman"/>
          <w:sz w:val="18"/>
          <w:szCs w:val="18"/>
          <w:color w:val="auto"/>
        </w:rPr>
      </w:pPr>
    </w:p>
    <w:p>
      <w:pPr>
        <w:jc w:val="both"/>
        <w:ind w:left="440" w:right="160" w:firstLine="948"/>
        <w:spacing w:after="0" w:line="266" w:lineRule="auto"/>
        <w:tabs>
          <w:tab w:leader="none" w:pos="164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2.21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agrees to indemnify each Lender for, and to hold each Lender harmless from, any actual loss or expense that such Lender may sustain or incur as a consequence of (a) default by the Company in making a borrowing of, conversion into or continuation of Term Benchmark Loans after the Company has given a notice requesting the same in accordance with the provisions of this Agreement, (b) default by the Company in making any prepayment of or conversion from Term Benchmark Loans after the Company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87" w:name="page88"/>
    <w:bookmarkEnd w:id="8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 certificate as to any amounts payable pursuant to this Section 2.22 submitted to the Company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Change of Applicable Lending Office</w:t>
      </w:r>
      <w:r>
        <w:rPr>
          <w:rFonts w:ascii="Times New Roman" w:cs="Times New Roman" w:eastAsia="Times New Roman" w:hAnsi="Times New Roman"/>
          <w:sz w:val="18"/>
          <w:szCs w:val="18"/>
          <w:color w:val="auto"/>
        </w:rPr>
        <w:t>.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provided, that such designation is made on terms that, in the reasonable judgment of such Lender, do not cause such Lender and its lending office(s) to suffer any material economic, legal or regulatory disadvantage; and provided, further, that nothing in this Section 2.23 shall affect or postpone any of the obligations of the Company or the rights of any Lender pursuant to Section 2.20 or 2.21(a).</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Replacement/Termination of Lenders</w:t>
      </w:r>
      <w:r>
        <w:rPr>
          <w:rFonts w:ascii="Times New Roman" w:cs="Times New Roman" w:eastAsia="Times New Roman" w:hAnsi="Times New Roman"/>
          <w:sz w:val="18"/>
          <w:szCs w:val="18"/>
          <w:color w:val="auto"/>
        </w:rPr>
        <w:t>.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Maturity Date to which the Required Lenders have consented; provided,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(provided,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w:t>
      </w:r>
    </w:p>
    <w:p>
      <w:pPr>
        <w:spacing w:after="0" w:line="4" w:lineRule="exact"/>
        <w:rPr>
          <w:sz w:val="20"/>
          <w:szCs w:val="20"/>
          <w:color w:val="auto"/>
        </w:rPr>
      </w:pPr>
    </w:p>
    <w:p>
      <w:pPr>
        <w:jc w:val="center"/>
        <w:ind w:right="300"/>
        <w:spacing w:after="0" w:line="433" w:lineRule="auto"/>
        <w:rPr>
          <w:sz w:val="20"/>
          <w:szCs w:val="20"/>
          <w:color w:val="auto"/>
        </w:rPr>
      </w:pPr>
      <w:r>
        <w:rPr>
          <w:rFonts w:ascii="Times New Roman" w:cs="Times New Roman" w:eastAsia="Times New Roman" w:hAnsi="Times New Roman"/>
          <w:sz w:val="18"/>
          <w:szCs w:val="18"/>
          <w:color w:val="auto"/>
        </w:rPr>
        <w:t>Section 10.6 without any action by any other party hereto (including the Administrative Agent), and the Administrative Agent shall record the same. 45</w:t>
      </w:r>
    </w:p>
    <w:p>
      <w:pPr>
        <w:sectPr>
          <w:pgSz w:w="11900" w:h="16838" w:orient="portrait"/>
          <w:cols w:equalWidth="0" w:num="1">
            <w:col w:w="10980"/>
          </w:cols>
          <w:pgMar w:left="440" w:top="270" w:right="479" w:bottom="1440" w:gutter="0" w:footer="0" w:header="0"/>
        </w:sectPr>
      </w:pPr>
    </w:p>
    <w:bookmarkStart w:id="88" w:name="page89"/>
    <w:bookmarkEnd w:id="8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2.25.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67" w:lineRule="auto"/>
        <w:rPr>
          <w:sz w:val="20"/>
          <w:szCs w:val="20"/>
          <w:color w:val="auto"/>
        </w:rPr>
      </w:pPr>
      <w:r>
        <w:rPr>
          <w:rFonts w:ascii="Times New Roman" w:cs="Times New Roman" w:eastAsia="Times New Roman" w:hAnsi="Times New Roman"/>
          <w:sz w:val="17"/>
          <w:szCs w:val="17"/>
          <w:color w:val="auto"/>
        </w:rPr>
        <w:t xml:space="preserve">Notwithstanding any provision of this Agreement to the contrary, if any Lender becomes a Defaulting Lender, then, for so long as such Lender is a Defaulting Lender, such Defaulting Lender and the Commitment and the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and Commitment Fees shall cease to accrue on the unfunded portion of the Commitment of such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this Section 2.25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w:t>
      </w:r>
    </w:p>
    <w:p>
      <w:pPr>
        <w:spacing w:after="0" w:line="5" w:lineRule="exact"/>
        <w:rPr>
          <w:sz w:val="20"/>
          <w:szCs w:val="20"/>
          <w:color w:val="auto"/>
        </w:rPr>
      </w:pPr>
    </w:p>
    <w:p>
      <w:pPr>
        <w:ind w:left="4" w:right="340" w:hanging="4"/>
        <w:spacing w:after="0" w:line="260" w:lineRule="auto"/>
        <w:tabs>
          <w:tab w:leader="none" w:pos="31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include any waiver of a mandatory prepayment and shall not preclude a waiver of applicability of any post-default increases in interest rates).</w:t>
      </w:r>
    </w:p>
    <w:p>
      <w:pPr>
        <w:spacing w:after="0" w:line="181"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Reallocation of Payments for the Account of Defaulting Lenders</w:t>
      </w:r>
      <w:r>
        <w:rPr>
          <w:rFonts w:ascii="Times New Roman" w:cs="Times New Roman" w:eastAsia="Times New Roman" w:hAnsi="Times New Roman"/>
          <w:sz w:val="18"/>
          <w:szCs w:val="18"/>
          <w:color w:val="auto"/>
        </w:rPr>
        <w:t>.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first, to the payment of any amounts owing by such Defaulting Lender to the Administrative Agent hereunder (pro rata in accordance with the amounts owed by such Defaulting Lender to the Administrative Agent); second,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third,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fourth, to the payment of any amounts owing to the Lenders under the Facility as a result of any judgment of a court of competent jurisdiction obtained by any Lender against such Defaulting Lender as a result of such Defaulting Lender’s breach of its obligations under this Agreement; fifth, to the payment of any amounts owing to a Loan Party as a result of any judgment of a court of competent jurisdiction obtained by such Loan Party against such Defaulting Lender as a result of such Defaulting Lender’s breach of its obligations under this Agreement; and sixth, to such Defaulting Lender or as otherwise directed by a court of competent jurisdiction; provided,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pro rata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89" w:name="page90"/>
    <w:bookmarkEnd w:id="89"/>
    <w:p>
      <w:pPr>
        <w:jc w:val="center"/>
        <w:ind w:right="-3"/>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p>
    <w:p>
      <w:pPr>
        <w:spacing w:after="0" w:line="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[RESERVED]</w:t>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SECTION 4</w:t>
      </w:r>
    </w:p>
    <w:p>
      <w:pPr>
        <w:spacing w:after="0" w:line="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198"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To induce the Lenders to enter into this Agreement and to make the Loans, the Company hereby represents and warrants to each Lender, as of the Effective Date and as of each Funding Date that:</w:t>
      </w:r>
    </w:p>
    <w:p>
      <w:pPr>
        <w:spacing w:after="0" w:line="162"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Financial Condition</w:t>
      </w:r>
      <w:r>
        <w:rPr>
          <w:rFonts w:ascii="Times New Roman" w:cs="Times New Roman" w:eastAsia="Times New Roman" w:hAnsi="Times New Roman"/>
          <w:sz w:val="17"/>
          <w:szCs w:val="17"/>
          <w:color w:val="auto"/>
        </w:rPr>
        <w:t>. The consolidated financial statements of the Company included in its Annual Report on Form 10-K, for the twelve-month period ended December 31, 2022 (the “2022 10-K”), in its Quarterly Report on Form 10-Q for the three-month period ended March 31, 2023 (the “First Quarter 2023 10-Q”), in its Quarterly Report on Form 10-Q for the three-month period ended June 30, 2023 (the “Second Quarter 2023 10-Q”) and in its Quarterly Report on Form 10-Q for the three-month period ended September 30, 2023 (the “Third Quarter 2023 10-Q”), each as most recently updated or amended on or before the Effective Date and the applicable Funding Date and filed with the SEC, present fairly, in all material respects, in accordance with GAAP, the financial condition and results of operations of the Company and its Subsidiaries as of, and for, (a) the twelve-month period ended on December 31, 2022, (b) the three-month period ended March 31, 2023, (c) the three-month period ended June 30, 2023 and</w:t>
      </w:r>
    </w:p>
    <w:p>
      <w:pPr>
        <w:spacing w:after="0" w:line="2" w:lineRule="exact"/>
        <w:rPr>
          <w:sz w:val="20"/>
          <w:szCs w:val="20"/>
          <w:color w:val="auto"/>
        </w:rPr>
      </w:pPr>
    </w:p>
    <w:p>
      <w:pPr>
        <w:ind w:left="4" w:right="100" w:hanging="4"/>
        <w:spacing w:after="0" w:line="253" w:lineRule="auto"/>
        <w:tabs>
          <w:tab w:leader="none" w:pos="25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three-month period ended September 30, 2023, respectively; provided,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89"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Change</w:t>
      </w:r>
      <w:r>
        <w:rPr>
          <w:rFonts w:ascii="Times New Roman" w:cs="Times New Roman" w:eastAsia="Times New Roman" w:hAnsi="Times New Roman"/>
          <w:sz w:val="18"/>
          <w:szCs w:val="18"/>
          <w:color w:val="auto"/>
        </w:rPr>
        <w:t>. Since the date of the financial statements included in the Third Quarter 2023 10-Q, there has been no development or event which has had a Material Adverse Effect.</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80" w:lineRule="exact"/>
        <w:rPr>
          <w:sz w:val="20"/>
          <w:szCs w:val="20"/>
          <w:color w:val="auto"/>
        </w:rPr>
      </w:pPr>
    </w:p>
    <w:p>
      <w:pPr>
        <w:jc w:val="both"/>
        <w:ind w:left="4" w:right="1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Power; Authorization; Enforceable Obligations</w:t>
      </w:r>
      <w:r>
        <w:rPr>
          <w:rFonts w:ascii="Times New Roman" w:cs="Times New Roman" w:eastAsia="Times New Roman" w:hAnsi="Times New Roman"/>
          <w:sz w:val="18"/>
          <w:szCs w:val="18"/>
          <w:color w:val="auto"/>
        </w:rPr>
        <w:t>.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w:t>
      </w:r>
    </w:p>
    <w:p>
      <w:pPr>
        <w:spacing w:after="0" w:line="1" w:lineRule="exact"/>
        <w:rPr>
          <w:sz w:val="20"/>
          <w:szCs w:val="20"/>
          <w:color w:val="auto"/>
        </w:rPr>
      </w:pPr>
    </w:p>
    <w:p>
      <w:pPr>
        <w:ind w:left="4" w:right="140" w:hanging="4"/>
        <w:spacing w:after="0" w:line="255" w:lineRule="auto"/>
        <w:tabs>
          <w:tab w:leader="none" w:pos="25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6"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80"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4.6 and except as set forth in the First Quarter 2023 10-Q, the Second Quarter 2023 10-Q, the Third Quarter 2023 10-Q or on any Current Report on Form 8-K of the Company filed with the SEC after December 31, 2022 and prior to the Effective Date, no litigation, investigation, proceeding or arbitration is pending, or to the best of the Company’s knowledge, is threatened against the Company or any Loan Party as of the Effective Date that would reasonably be expected to have a Material Adverse Effect.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65" w:right="459" w:bottom="1440" w:gutter="0" w:footer="0" w:header="0"/>
        </w:sectPr>
      </w:pPr>
    </w:p>
    <w:bookmarkStart w:id="90" w:name="page91"/>
    <w:bookmarkEnd w:id="9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As of the Effective Date, no Default or Event of Default has occurred and is continuing.</w:t>
      </w:r>
    </w:p>
    <w:p>
      <w:pPr>
        <w:spacing w:after="0" w:line="225"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As of the Effective Date, the Company and each Principal Domestic Subsidiary, as applicable, has good title to, or a valid leasehold interest in, all of its other property then owned or leased by it; provided,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92"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As of the Effective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76"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Regulations</w:t>
      </w:r>
      <w:r>
        <w:rPr>
          <w:rFonts w:ascii="Times New Roman" w:cs="Times New Roman" w:eastAsia="Times New Roman" w:hAnsi="Times New Roman"/>
          <w:sz w:val="18"/>
          <w:szCs w:val="18"/>
          <w:color w:val="auto"/>
        </w:rPr>
        <w:t>. No part of the proceeds of any Loans, and no other extensions of credit hereunder, will be used for any purpose that violates the provisions of Regulation T, U or X of the Board.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Default has occurred and is continuing.</w:t>
      </w:r>
    </w:p>
    <w:p>
      <w:pPr>
        <w:spacing w:after="0" w:line="225"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 Loan Party is an “investment company”, or a company “controlled” by an “investment company”, registered or required to be registered as such under the Investment Company Act of 1940, as amended.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Anti-Corruption Laws and Sanctions</w:t>
      </w:r>
      <w:r>
        <w:rPr>
          <w:rFonts w:ascii="Times New Roman" w:cs="Times New Roman" w:eastAsia="Times New Roman" w:hAnsi="Times New Roman"/>
          <w:sz w:val="17"/>
          <w:szCs w:val="17"/>
          <w:color w:val="auto"/>
        </w:rPr>
        <w:t>.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“Sanctions Lists”). Neither the Company nor any of its Subsidiaries has a physical place of business, or is organized or resident, in</w:t>
      </w:r>
    </w:p>
    <w:p>
      <w:pPr>
        <w:spacing w:after="0" w:line="5" w:lineRule="exact"/>
        <w:rPr>
          <w:sz w:val="20"/>
          <w:szCs w:val="20"/>
          <w:color w:val="auto"/>
        </w:rPr>
      </w:pPr>
    </w:p>
    <w:p>
      <w:pPr>
        <w:ind w:left="4" w:right="140" w:hanging="4"/>
        <w:spacing w:after="0" w:line="260" w:lineRule="auto"/>
        <w:tabs>
          <w:tab w:leader="none" w:pos="2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Cuba, Iran, North Korea, Syria, the Crimea, Kherson, or Zaporizhzhia regions of Ukraine, the so-called Donetsk People’s Republic or the so-called Luhansk People’s Republic or (b) in any other Sanctioned Country. The Company will not</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4"/>
          </w:cols>
          <w:pgMar w:left="436" w:top="270" w:right="499" w:bottom="1440" w:gutter="0" w:footer="0" w:header="0"/>
        </w:sectPr>
      </w:pPr>
    </w:p>
    <w:bookmarkStart w:id="91" w:name="page92"/>
    <w:bookmarkEnd w:id="9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Effective Date, the Company and its Subsidiaries, on a consolidated basis, are Solvent (including after giving effect to the Transactions occurring on the Effective Date).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SECTION 5</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CONDITIONS PRECEDENT</w:t>
      </w:r>
    </w:p>
    <w:p>
      <w:pPr>
        <w:spacing w:after="0" w:line="198"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Effective Date</w:t>
      </w:r>
      <w:r>
        <w:rPr>
          <w:rFonts w:ascii="Times New Roman" w:cs="Times New Roman" w:eastAsia="Times New Roman" w:hAnsi="Times New Roman"/>
          <w:sz w:val="18"/>
          <w:szCs w:val="18"/>
          <w:color w:val="auto"/>
        </w:rPr>
        <w:t>. This Agreement shall be effective upon (1) the execution and delivery of this Agreement by each of the Administrative Agent, the Syndication Agent, each Co-Documentation Agent, the Company,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72" w:lineRule="exact"/>
        <w:rPr>
          <w:sz w:val="20"/>
          <w:szCs w:val="20"/>
          <w:color w:val="auto"/>
        </w:rPr>
      </w:pPr>
    </w:p>
    <w:p>
      <w:pPr>
        <w:ind w:left="1640" w:hanging="252"/>
        <w:spacing w:after="0"/>
        <w:tabs>
          <w:tab w:leader="none" w:pos="1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61" w:lineRule="auto"/>
        <w:tabs>
          <w:tab w:leader="none" w:pos="164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(including all fees required to be paid under any Fee Letter) and (with respect to such expenses) invoiced at least three</w:t>
      </w:r>
    </w:p>
    <w:p>
      <w:pPr>
        <w:ind w:left="700" w:hanging="264"/>
        <w:spacing w:after="0"/>
        <w:tabs>
          <w:tab w:leader="none" w:pos="7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Date.</w:t>
      </w:r>
    </w:p>
    <w:p>
      <w:pPr>
        <w:spacing w:after="0" w:line="98" w:lineRule="exact"/>
        <w:rPr>
          <w:rFonts w:ascii="Times New Roman" w:cs="Times New Roman" w:eastAsia="Times New Roman" w:hAnsi="Times New Roman"/>
          <w:sz w:val="18"/>
          <w:szCs w:val="18"/>
          <w:color w:val="auto"/>
        </w:rPr>
      </w:pPr>
    </w:p>
    <w:p>
      <w:pPr>
        <w:ind w:left="440" w:right="60" w:firstLine="948"/>
        <w:spacing w:after="0" w:line="256" w:lineRule="auto"/>
        <w:tabs>
          <w:tab w:leader="none" w:pos="16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 Certified Certificate of Incorporation; Good Standing Certificates</w:t>
      </w:r>
      <w:r>
        <w:rPr>
          <w:rFonts w:ascii="Times New Roman" w:cs="Times New Roman" w:eastAsia="Times New Roman" w:hAnsi="Times New Roman"/>
          <w:sz w:val="18"/>
          <w:szCs w:val="18"/>
          <w:color w:val="auto"/>
        </w:rPr>
        <w:t>. The Administrative Agent shall have received (i) a certificate of the Company, dated the Effective Date, substantially in the form of Exhibit F, with appropriate insertions and attachments, including the certificate of incorporation of the Company, certified by the relevant authority of the jurisdiction of organization of the Company, (ii) a long form good standing certificate (or equivalent thereof in the relevant jurisdiction) for the Company from its jurisdiction of organization (but only to the extent applicable in the relevant jurisdiction) and (iii) a certificate of the Company, dated the Effective Date, to the effect that the conditions set forth in Section 5.1 have been satisfied or waived.</w:t>
      </w:r>
    </w:p>
    <w:p>
      <w:pPr>
        <w:spacing w:after="0" w:line="79"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64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the executed legal opinion of (i) in house counsel to the Company and (ii) Mayer Brown LLP, counsel to the Company, each in form and substance reasonably acceptable to the Administrative Agent.</w:t>
      </w:r>
    </w:p>
    <w:p>
      <w:pPr>
        <w:spacing w:after="0" w:line="53" w:lineRule="exact"/>
        <w:rPr>
          <w:rFonts w:ascii="Times New Roman" w:cs="Times New Roman" w:eastAsia="Times New Roman" w:hAnsi="Times New Roman"/>
          <w:sz w:val="18"/>
          <w:szCs w:val="18"/>
          <w:color w:val="auto"/>
        </w:rPr>
      </w:pPr>
    </w:p>
    <w:p>
      <w:pPr>
        <w:ind w:left="440" w:right="160" w:firstLine="948"/>
        <w:spacing w:after="0" w:line="312" w:lineRule="auto"/>
        <w:tabs>
          <w:tab w:leader="none" w:pos="1636"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Promissory Notes</w:t>
      </w:r>
      <w:r>
        <w:rPr>
          <w:rFonts w:ascii="Times New Roman" w:cs="Times New Roman" w:eastAsia="Times New Roman" w:hAnsi="Times New Roman"/>
          <w:sz w:val="17"/>
          <w:szCs w:val="17"/>
          <w:color w:val="auto"/>
        </w:rPr>
        <w:t>. The Administrative Agent shall have received for each Lender requesting a Note, a Note of the Company, evidencing the Commitments of such Lender, substantially in the form of Exhibit K, with appropriate insertions as to date and principal amount.</w:t>
      </w:r>
    </w:p>
    <w:p>
      <w:pPr>
        <w:spacing w:after="0" w:line="31" w:lineRule="exact"/>
        <w:rPr>
          <w:rFonts w:ascii="Times New Roman" w:cs="Times New Roman" w:eastAsia="Times New Roman" w:hAnsi="Times New Roman"/>
          <w:sz w:val="17"/>
          <w:szCs w:val="17"/>
          <w:color w:val="auto"/>
        </w:rPr>
      </w:pPr>
    </w:p>
    <w:p>
      <w:pPr>
        <w:ind w:left="1620" w:hanging="232"/>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70" w:right="479" w:bottom="1440" w:gutter="0" w:footer="0" w:header="0"/>
        </w:sectPr>
      </w:pPr>
    </w:p>
    <w:bookmarkStart w:id="92" w:name="page93"/>
    <w:bookmarkEnd w:id="92"/>
    <w:p>
      <w:pPr>
        <w:ind w:left="440" w:right="420" w:firstLine="948"/>
        <w:spacing w:after="0" w:line="261" w:lineRule="auto"/>
        <w:tabs>
          <w:tab w:leader="none" w:pos="16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USA Patriot Act</w:t>
      </w:r>
      <w:r>
        <w:rPr>
          <w:rFonts w:ascii="Times New Roman" w:cs="Times New Roman" w:eastAsia="Times New Roman" w:hAnsi="Times New Roman"/>
          <w:sz w:val="18"/>
          <w:szCs w:val="18"/>
          <w:color w:val="auto"/>
        </w:rPr>
        <w:t>. The Administrative Agent shall have received prior to the Effective Date all documentation and other information reasonably requested by the Administrative Agent or any Lender who is not a lender under the 2023 364-Day Revolving Credit Agreement under applicable “know your customer” and anti-money-laundering rules and regulations, including the USA Patriot Act and the Beneficial Ownership Regulation.</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provisions of the last paragraph of Section 9.03, for purposes of determining compliance with the conditions specified in this Section 5.1,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to each Funding Date</w:t>
      </w:r>
      <w:r>
        <w:rPr>
          <w:rFonts w:ascii="Times New Roman" w:cs="Times New Roman" w:eastAsia="Times New Roman" w:hAnsi="Times New Roman"/>
          <w:sz w:val="18"/>
          <w:szCs w:val="18"/>
          <w:color w:val="auto"/>
        </w:rPr>
        <w:t>. The agreement of each Lender to make any Loan on any Funding Date shall be subject to receipt by the Administrative Agent of a Borrowing Request therefor in accordance with Section 2.2, and to the satisfaction (or waiver in accordance with Section 10.1) of the following conditions, provided that there shall not be more than four (4) Funding Dates:</w:t>
      </w:r>
    </w:p>
    <w:p>
      <w:pPr>
        <w:spacing w:after="0" w:line="68" w:lineRule="exact"/>
        <w:rPr>
          <w:sz w:val="20"/>
          <w:szCs w:val="20"/>
          <w:color w:val="auto"/>
        </w:rPr>
      </w:pPr>
    </w:p>
    <w:p>
      <w:pPr>
        <w:ind w:left="1640" w:hanging="252"/>
        <w:spacing w:after="0"/>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Effective Date shall have occurred.</w:t>
      </w:r>
    </w:p>
    <w:p>
      <w:pPr>
        <w:spacing w:after="0" w:line="117" w:lineRule="exact"/>
        <w:rPr>
          <w:rFonts w:ascii="Times New Roman" w:cs="Times New Roman" w:eastAsia="Times New Roman" w:hAnsi="Times New Roman"/>
          <w:sz w:val="18"/>
          <w:szCs w:val="18"/>
          <w:color w:val="auto"/>
        </w:rPr>
      </w:pPr>
    </w:p>
    <w:p>
      <w:pPr>
        <w:jc w:val="both"/>
        <w:ind w:left="440" w:right="280" w:firstLine="948"/>
        <w:spacing w:after="0" w:line="261" w:lineRule="auto"/>
        <w:tabs>
          <w:tab w:leader="none" w:pos="16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4.16), in which case, such representations and warranties shall have been true and correct in all material respects on and as of such earlier date).</w:t>
      </w:r>
    </w:p>
    <w:p>
      <w:pPr>
        <w:spacing w:after="0" w:line="71"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No Default or Event of Default shall have occurred and be continuing on such date, after giving effect to such Borrowing requested to be made on such date and the use of proceeds thereof.</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64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the Administrative Agent and the Arrangers shall have received all fees and out-of-pocket expenses required to be paid hereunder (including the fees required to be paid under the Arranger Fee Letter) and (with respect to such expenses) invoiced at least three (3) Business Days prior to the Funding Date.</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Any borrowing hereunder on any Funding Date shall constitute a representation and warranty by the Company as of such date that the conditions contained in this Section 5.2 have been satisfied or waived as of such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40" w:top="270" w:right="49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198"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16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provided, that such financial statements shall be deemed to be delivered upon the filing with the SEC of its Form 10-K or Form 10-Q for the relevant fiscal period; provided, further, that any restatement of previously delivered (or deemed delivered) financial statements shall not constitute a breach or violation of this Section 6.1.</w:t>
      </w:r>
    </w:p>
    <w:p>
      <w:pPr>
        <w:spacing w:after="0" w:line="18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8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Maintenance of Business; Existence</w:t>
      </w:r>
      <w:r>
        <w:rPr>
          <w:rFonts w:ascii="Times New Roman" w:cs="Times New Roman" w:eastAsia="Times New Roman" w:hAnsi="Times New Roman"/>
          <w:sz w:val="18"/>
          <w:szCs w:val="18"/>
          <w:color w:val="auto"/>
        </w:rPr>
        <w:t>.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80"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8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Guarantors,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60" w:firstLine="948"/>
        <w:spacing w:after="0" w:line="258" w:lineRule="auto"/>
        <w:tabs>
          <w:tab w:leader="none" w:pos="16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(x) if the Guarantee is not in effect at such time, the Guarantee and (ii) if the Guarantee is otherwise in effect at such time, a Guarantee Joinder, in each case, executed and delivered by such Principal Domestic Subsidiary (other than an Excluded Subsidiary), together with customary secretary’s certificates, resolutions and legal opinions.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65" w:right="439" w:bottom="1440" w:gutter="0" w:footer="0" w:header="0"/>
        </w:sectPr>
      </w:pPr>
    </w:p>
    <w:bookmarkStart w:id="94" w:name="page95"/>
    <w:bookmarkEnd w:id="94"/>
    <w:p>
      <w:pPr>
        <w:ind w:left="440" w:right="260" w:firstLine="948"/>
        <w:spacing w:after="0" w:line="282" w:lineRule="auto"/>
        <w:tabs>
          <w:tab w:leader="none" w:pos="164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or anything in any Loan Document to the contrary, in no event shall GM Holdings or any other Excluded Subsidiary be required to be a Guarantor or a Subsidiary Guarantor.</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76"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Ratings</w:t>
      </w:r>
      <w:r>
        <w:rPr>
          <w:rFonts w:ascii="Times New Roman" w:cs="Times New Roman" w:eastAsia="Times New Roman" w:hAnsi="Times New Roman"/>
          <w:sz w:val="18"/>
          <w:szCs w:val="18"/>
          <w:color w:val="auto"/>
        </w:rPr>
        <w:t>. The Company shall use commercially reasonable efforts to maintain an Index Debt Rating, to the extent available, from each of S&amp;P, Moody’s and Fitch (it being understood that Moody’s does not provide Index Debt Ratings for investment grade companies); provided, that the Company shall not be required to obtain or maintain, as applicable, a specific Index Debt Rating.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7</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19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agrees that, so long as the Commitments remain in effect or any Loan, interest or fee payable hereunder or under any other Loan Document is owing to any Lender:</w:t>
      </w:r>
    </w:p>
    <w:p>
      <w:pPr>
        <w:spacing w:after="0" w:line="16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Minimum Liquidity</w:t>
      </w:r>
      <w:r>
        <w:rPr>
          <w:rFonts w:ascii="Times New Roman" w:cs="Times New Roman" w:eastAsia="Times New Roman" w:hAnsi="Times New Roman"/>
          <w:sz w:val="18"/>
          <w:szCs w:val="18"/>
          <w:color w:val="auto"/>
        </w:rPr>
        <w:t>. The Company shall not at any time permit the Consolidated Global Liquidity to be less than $4 billion or the Consolidated Domestic Liquidity to be less than $2 billion.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Asset Sale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948"/>
        <w:spacing w:after="0" w:line="256" w:lineRule="auto"/>
        <w:tabs>
          <w:tab w:leader="none" w:pos="1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or Substantially All</w:t>
      </w:r>
      <w:r>
        <w:rPr>
          <w:rFonts w:ascii="Times New Roman" w:cs="Times New Roman" w:eastAsia="Times New Roman" w:hAnsi="Times New Roman"/>
          <w:sz w:val="18"/>
          <w:szCs w:val="18"/>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the Company or any of its Principal Domestic Subsidiaries may Dispose of all or any portion of an Excluded Subsidiary Business to one or more Excluded Subsidiaries.</w:t>
      </w:r>
    </w:p>
    <w:p>
      <w:pPr>
        <w:spacing w:after="0" w:line="79" w:lineRule="exact"/>
        <w:rPr>
          <w:rFonts w:ascii="Times New Roman" w:cs="Times New Roman" w:eastAsia="Times New Roman" w:hAnsi="Times New Roman"/>
          <w:sz w:val="18"/>
          <w:szCs w:val="18"/>
          <w:color w:val="auto"/>
        </w:rPr>
      </w:pPr>
    </w:p>
    <w:p>
      <w:pPr>
        <w:ind w:left="440" w:right="60" w:firstLine="948"/>
        <w:spacing w:after="0" w:line="258" w:lineRule="auto"/>
        <w:tabs>
          <w:tab w:leader="none" w:pos="16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Trade Names</w:t>
      </w:r>
      <w:r>
        <w:rPr>
          <w:rFonts w:ascii="Times New Roman" w:cs="Times New Roman" w:eastAsia="Times New Roman" w:hAnsi="Times New Roman"/>
          <w:sz w:val="18"/>
          <w:szCs w:val="18"/>
          <w:color w:val="auto"/>
        </w:rPr>
        <w:t>.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95" w:name="page96"/>
    <w:bookmarkEnd w:id="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948"/>
        <w:spacing w:after="0" w:line="254" w:lineRule="auto"/>
        <w:tabs>
          <w:tab w:leader="none" w:pos="163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merge or consolidate with any other Person or Dispose of all or substantially all of its assets to any Person unless (A) no Event of Default shall be continuing after giving effect to such transaction and (B)(x) the Company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the Company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Effective Date with respect to the Company.</w:t>
      </w:r>
    </w:p>
    <w:p>
      <w:pPr>
        <w:spacing w:after="0" w:line="83" w:lineRule="exact"/>
        <w:rPr>
          <w:rFonts w:ascii="Times New Roman" w:cs="Times New Roman" w:eastAsia="Times New Roman" w:hAnsi="Times New Roman"/>
          <w:sz w:val="18"/>
          <w:szCs w:val="18"/>
          <w:color w:val="auto"/>
        </w:rPr>
      </w:pPr>
    </w:p>
    <w:p>
      <w:pPr>
        <w:jc w:val="both"/>
        <w:ind w:left="440" w:firstLine="948"/>
        <w:spacing w:after="0" w:line="276" w:lineRule="auto"/>
        <w:tabs>
          <w:tab w:leader="none" w:pos="1647"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w:t>
      </w:r>
    </w:p>
    <w:p>
      <w:pPr>
        <w:ind w:left="440" w:right="160" w:hanging="4"/>
        <w:spacing w:after="0" w:line="252" w:lineRule="auto"/>
        <w:tabs>
          <w:tab w:leader="none" w:pos="70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Effective Date with respect to such Loan Party, or (iii) in connection with an asset sale not prohibited by Section 7.3.</w:t>
      </w:r>
    </w:p>
    <w:p>
      <w:pPr>
        <w:spacing w:after="0" w:line="188"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Company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8</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of the following events shall occur and be continuing:</w:t>
      </w:r>
    </w:p>
    <w:p>
      <w:pPr>
        <w:spacing w:after="0" w:line="117" w:lineRule="exact"/>
        <w:rPr>
          <w:sz w:val="20"/>
          <w:szCs w:val="20"/>
          <w:color w:val="auto"/>
        </w:rPr>
      </w:pPr>
    </w:p>
    <w:p>
      <w:pPr>
        <w:ind w:left="440" w:right="280" w:firstLine="948"/>
        <w:spacing w:after="0" w:line="261" w:lineRule="auto"/>
        <w:tabs>
          <w:tab w:leader="none" w:pos="16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pay (i) any principal of any Loan at maturity, (ii) any interest or fee hereunder for a period of five Business Days after receipt of notice of such failure by the Company from the Administrative Agent or (iii) any other amount due and payable under any Loan Document for 30 days after receipt of notice of such failure by the Company from the Administrative Agent (other than, in the case of amounts in this clause (iii), any such amount being disputed by the Company in good faith);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96" w:name="page97"/>
    <w:bookmarkEnd w:id="96"/>
    <w:p>
      <w:pPr>
        <w:ind w:left="4" w:right="40" w:firstLine="948"/>
        <w:spacing w:after="0" w:line="266" w:lineRule="auto"/>
        <w:tabs>
          <w:tab w:leader="none" w:pos="121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67" w:lineRule="exact"/>
        <w:rPr>
          <w:rFonts w:ascii="Times New Roman" w:cs="Times New Roman" w:eastAsia="Times New Roman" w:hAnsi="Times New Roman"/>
          <w:sz w:val="18"/>
          <w:szCs w:val="18"/>
          <w:color w:val="auto"/>
        </w:rPr>
      </w:pPr>
    </w:p>
    <w:p>
      <w:pPr>
        <w:ind w:left="4" w:firstLine="948"/>
        <w:spacing w:after="0" w:line="261" w:lineRule="auto"/>
        <w:tabs>
          <w:tab w:leader="none" w:pos="1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or any Principal Domestic Subsidiary shall default in the observance or performance of (i) its agreements in Section 7.1 for a period of 20 consecutive days, or (ii) any other agreement contained in this Agreement or in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clause (ii) only, such default shall continue unremedied for a period of 20 Business Days after the Company’s receipt from the Administrative Agent of notice of such default; or</w:t>
      </w:r>
    </w:p>
    <w:p>
      <w:pPr>
        <w:spacing w:after="0" w:line="71" w:lineRule="exact"/>
        <w:rPr>
          <w:rFonts w:ascii="Times New Roman" w:cs="Times New Roman" w:eastAsia="Times New Roman" w:hAnsi="Times New Roman"/>
          <w:sz w:val="18"/>
          <w:szCs w:val="18"/>
          <w:color w:val="auto"/>
        </w:rPr>
      </w:pPr>
    </w:p>
    <w:p>
      <w:pPr>
        <w:ind w:left="4" w:right="60" w:firstLine="948"/>
        <w:spacing w:after="0" w:line="255" w:lineRule="auto"/>
        <w:tabs>
          <w:tab w:leader="none" w:pos="121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80" w:lineRule="exact"/>
        <w:rPr>
          <w:rFonts w:ascii="Times New Roman" w:cs="Times New Roman" w:eastAsia="Times New Roman" w:hAnsi="Times New Roman"/>
          <w:sz w:val="18"/>
          <w:szCs w:val="18"/>
          <w:color w:val="auto"/>
        </w:rPr>
      </w:pPr>
    </w:p>
    <w:p>
      <w:pPr>
        <w:ind w:left="4" w:right="180" w:firstLine="948"/>
        <w:spacing w:after="0" w:line="268" w:lineRule="auto"/>
        <w:tabs>
          <w:tab w:leader="none" w:pos="120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w:t>
      </w:r>
    </w:p>
    <w:p>
      <w:pPr>
        <w:spacing w:after="0" w:line="4" w:lineRule="exact"/>
        <w:rPr>
          <w:rFonts w:ascii="Times New Roman" w:cs="Times New Roman" w:eastAsia="Times New Roman" w:hAnsi="Times New Roman"/>
          <w:sz w:val="17"/>
          <w:szCs w:val="17"/>
          <w:color w:val="auto"/>
        </w:rPr>
      </w:pPr>
    </w:p>
    <w:p>
      <w:pPr>
        <w:ind w:left="4" w:right="200" w:hanging="4"/>
        <w:spacing w:after="0" w:line="260" w:lineRule="auto"/>
        <w:tabs>
          <w:tab w:leader="none" w:pos="2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that (A) results in the entry of an order for relief or any such adjudication or appointment or (B) remains undismissed, undischarged or unbonded for a period of 90 days; or</w:t>
      </w:r>
    </w:p>
    <w:p>
      <w:pPr>
        <w:spacing w:after="0" w:line="73" w:lineRule="exact"/>
        <w:rPr>
          <w:rFonts w:ascii="Times New Roman" w:cs="Times New Roman" w:eastAsia="Times New Roman" w:hAnsi="Times New Roman"/>
          <w:sz w:val="18"/>
          <w:szCs w:val="18"/>
          <w:color w:val="auto"/>
        </w:rPr>
      </w:pPr>
    </w:p>
    <w:p>
      <w:pPr>
        <w:ind w:left="1184" w:hanging="232"/>
        <w:spacing w:after="0"/>
        <w:tabs>
          <w:tab w:leader="none" w:pos="118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ERISA Default; or</w:t>
      </w:r>
    </w:p>
    <w:p>
      <w:pPr>
        <w:spacing w:after="0" w:line="117" w:lineRule="exact"/>
        <w:rPr>
          <w:rFonts w:ascii="Times New Roman" w:cs="Times New Roman" w:eastAsia="Times New Roman" w:hAnsi="Times New Roman"/>
          <w:sz w:val="18"/>
          <w:szCs w:val="18"/>
          <w:color w:val="auto"/>
        </w:rPr>
      </w:pPr>
    </w:p>
    <w:p>
      <w:pPr>
        <w:ind w:left="4" w:firstLine="948"/>
        <w:spacing w:after="0" w:line="261" w:lineRule="auto"/>
        <w:tabs>
          <w:tab w:leader="none" w:pos="12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71" w:lineRule="exact"/>
        <w:rPr>
          <w:rFonts w:ascii="Times New Roman" w:cs="Times New Roman" w:eastAsia="Times New Roman" w:hAnsi="Times New Roman"/>
          <w:sz w:val="18"/>
          <w:szCs w:val="18"/>
          <w:color w:val="auto"/>
        </w:rPr>
      </w:pPr>
    </w:p>
    <w:p>
      <w:pPr>
        <w:ind w:left="4" w:right="120" w:firstLine="948"/>
        <w:spacing w:after="0" w:line="282" w:lineRule="auto"/>
        <w:tabs>
          <w:tab w:leader="none" w:pos="12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any Subsidiary Guarantor shall cease to be in full force and effect (other than pursuant to or as provided by the terms hereof or any other Loan Document); or</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4"/>
          </w:cols>
          <w:pgMar w:left="876" w:top="270" w:right="459" w:bottom="1440" w:gutter="0" w:footer="0" w:header="0"/>
        </w:sectPr>
      </w:pPr>
    </w:p>
    <w:bookmarkStart w:id="97" w:name="page98"/>
    <w:bookmarkEnd w:id="97"/>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occurrence of a Change of Control;</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Company.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SECTION 9</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198"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of the Lenders hereby irrevocably appoints Bank of America,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set forth in Section 9.6, the provisions of this Section 9 are solely for the benefit of the Administrative Agent and the Lenders, and the Company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w:t>
      </w:r>
    </w:p>
    <w:p>
      <w:pPr>
        <w:spacing w:after="0" w:line="18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w:t>
      </w:r>
    </w:p>
    <w:p>
      <w:pPr>
        <w:spacing w:after="0" w:line="68" w:lineRule="exact"/>
        <w:rPr>
          <w:sz w:val="20"/>
          <w:szCs w:val="20"/>
          <w:color w:val="auto"/>
        </w:rPr>
      </w:pPr>
    </w:p>
    <w:p>
      <w:pPr>
        <w:ind w:left="1640" w:hanging="252"/>
        <w:spacing w:after="0"/>
        <w:tabs>
          <w:tab w:leader="none" w:pos="1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440" w:firstLine="948"/>
        <w:spacing w:after="0" w:line="255" w:lineRule="auto"/>
        <w:tabs>
          <w:tab w:leader="none" w:pos="164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98" w:name="page99"/>
    <w:bookmarkEnd w:id="98"/>
    <w:p>
      <w:pPr>
        <w:ind w:left="440" w:right="20" w:firstLine="948"/>
        <w:spacing w:after="0" w:line="258" w:lineRule="auto"/>
        <w:tabs>
          <w:tab w:leader="none" w:pos="16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w:t>
      </w:r>
    </w:p>
    <w:p>
      <w:pPr>
        <w:spacing w:after="0" w:line="75" w:lineRule="exact"/>
        <w:rPr>
          <w:rFonts w:ascii="Times New Roman" w:cs="Times New Roman" w:eastAsia="Times New Roman" w:hAnsi="Times New Roman"/>
          <w:sz w:val="18"/>
          <w:szCs w:val="18"/>
          <w:color w:val="auto"/>
        </w:rPr>
      </w:pPr>
    </w:p>
    <w:p>
      <w:pPr>
        <w:ind w:left="440" w:firstLine="948"/>
        <w:spacing w:after="0" w:line="277" w:lineRule="auto"/>
        <w:tabs>
          <w:tab w:leader="none" w:pos="1647"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7"/>
          <w:szCs w:val="17"/>
          <w:u w:val="single" w:color="auto"/>
          <w:color w:val="auto"/>
        </w:rPr>
        <w:t>Sections 10.1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or a Lender; and</w:t>
      </w:r>
    </w:p>
    <w:p>
      <w:pPr>
        <w:spacing w:after="0" w:line="59" w:lineRule="exact"/>
        <w:rPr>
          <w:rFonts w:ascii="Times New Roman" w:cs="Times New Roman" w:eastAsia="Times New Roman" w:hAnsi="Times New Roman"/>
          <w:sz w:val="17"/>
          <w:szCs w:val="17"/>
          <w:color w:val="auto"/>
        </w:rPr>
      </w:pPr>
    </w:p>
    <w:p>
      <w:pPr>
        <w:ind w:left="440" w:right="40" w:firstLine="948"/>
        <w:spacing w:after="0" w:line="256" w:lineRule="auto"/>
        <w:tabs>
          <w:tab w:leader="none" w:pos="16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Section 5.1 or 5.2</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9.4. [Reserved]</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Section 9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(a) .</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440" w:top="270" w:right="519" w:bottom="1440" w:gutter="0" w:footer="0" w:header="0"/>
        </w:sectPr>
      </w:pPr>
    </w:p>
    <w:bookmarkStart w:id="99" w:name="page100"/>
    <w:bookmarkEnd w:id="99"/>
    <w:p>
      <w:pPr>
        <w:ind w:right="20" w:firstLine="948"/>
        <w:spacing w:after="0" w:line="254" w:lineRule="auto"/>
        <w:tabs>
          <w:tab w:leader="none" w:pos="11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may at any time give notice of its resignation to the Lenders and the Company. Upon receipt of any such notice of resignation, the Required Lenders shall have the right, to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appoint a successor Administrative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80" w:lineRule="exact"/>
        <w:rPr>
          <w:rFonts w:ascii="Times New Roman" w:cs="Times New Roman" w:eastAsia="Times New Roman" w:hAnsi="Times New Roman"/>
          <w:sz w:val="18"/>
          <w:szCs w:val="18"/>
          <w:color w:val="auto"/>
        </w:rPr>
      </w:pPr>
    </w:p>
    <w:p>
      <w:pPr>
        <w:ind w:firstLine="948"/>
        <w:spacing w:after="0" w:line="255" w:lineRule="auto"/>
        <w:tabs>
          <w:tab w:leader="none" w:pos="120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Company and such Person remove such Person as Administrative Agent and, to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80" w:lineRule="exact"/>
        <w:rPr>
          <w:rFonts w:ascii="Times New Roman" w:cs="Times New Roman" w:eastAsia="Times New Roman" w:hAnsi="Times New Roman"/>
          <w:sz w:val="18"/>
          <w:szCs w:val="18"/>
          <w:color w:val="auto"/>
        </w:rPr>
      </w:pPr>
    </w:p>
    <w:p>
      <w:pPr>
        <w:ind w:right="40" w:firstLine="948"/>
        <w:spacing w:after="0" w:line="252" w:lineRule="auto"/>
        <w:tabs>
          <w:tab w:leader="none" w:pos="11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Section 9 and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40"/>
          </w:cols>
          <w:pgMar w:left="880" w:top="270" w:right="479" w:bottom="1440" w:gutter="0" w:footer="0" w:header="0"/>
        </w:sectPr>
      </w:pPr>
    </w:p>
    <w:bookmarkStart w:id="100" w:name="page101"/>
    <w:bookmarkEnd w:id="100"/>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9.7. </w:t>
      </w:r>
      <w:r>
        <w:rPr>
          <w:rFonts w:ascii="Times New Roman" w:cs="Times New Roman" w:eastAsia="Times New Roman" w:hAnsi="Times New Roman"/>
          <w:sz w:val="18"/>
          <w:szCs w:val="18"/>
          <w:u w:val="single" w:color="auto"/>
          <w:color w:val="auto"/>
        </w:rPr>
        <w:t>Non-Reliance on the Administrative Agent, the Arrangers and the Other Lenders</w:t>
      </w:r>
      <w:r>
        <w:rPr>
          <w:rFonts w:ascii="Times New Roman" w:cs="Times New Roman" w:eastAsia="Times New Roman" w:hAnsi="Times New Roman"/>
          <w:sz w:val="18"/>
          <w:szCs w:val="18"/>
          <w:color w:val="auto"/>
        </w:rPr>
        <w:t>. Each Lender expressly acknowledges that none of the Administrative Agent nor the Arrangers have made any representation or warranty to it, and that no act by the Administrative Agent or the Arrangers hereafter taken, including any consent to, and acceptance of any assignment or review of the affairs of any Loan Party of any Affiliate thereof, shall be deemed to constitute any representation or warranty by the Administrative Agent or the Arrangers to any Lender as to any matter, including whether the Administrative Agent or the Arrangers have disclosed material information in their (or their Related Parties’) possession. Each Lender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Company hereunder. Each Lender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No Other Duties, Etc.</w:t>
      </w:r>
      <w:r>
        <w:rPr>
          <w:rFonts w:ascii="Times New Roman" w:cs="Times New Roman" w:eastAsia="Times New Roman" w:hAnsi="Times New Roman"/>
          <w:sz w:val="18"/>
          <w:szCs w:val="18"/>
          <w:color w:val="auto"/>
        </w:rPr>
        <w:t>. Anything herein to the contrary notwithstanding, none of the Joint Bookrunners, Joint Lead Arrangers, Syndication Agent or Co-Documentation Agent listed on the cover page hereof shall have any powers, duties or responsibilities under this Agreement or any of the other Loan Documents, except in its capacity, as applicable, as the Administrative Agent or a Lender hereunder.</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xml:space="preserve">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by intervention in such proceeding or otherwise</w:t>
      </w:r>
    </w:p>
    <w:p>
      <w:pPr>
        <w:spacing w:after="0" w:line="68" w:lineRule="exact"/>
        <w:rPr>
          <w:sz w:val="20"/>
          <w:szCs w:val="20"/>
          <w:color w:val="auto"/>
        </w:rPr>
      </w:pPr>
    </w:p>
    <w:p>
      <w:pPr>
        <w:ind w:left="440" w:right="100" w:firstLine="948"/>
        <w:spacing w:after="0" w:line="259" w:lineRule="auto"/>
        <w:tabs>
          <w:tab w:leader="none" w:pos="16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b w:val="1"/>
          <w:bCs w:val="1"/>
          <w:u w:val="single" w:color="auto"/>
          <w:color w:val="auto"/>
        </w:rPr>
        <w:t>Section 10.5</w:t>
      </w:r>
      <w:r>
        <w:rPr>
          <w:rFonts w:ascii="Times New Roman" w:cs="Times New Roman" w:eastAsia="Times New Roman" w:hAnsi="Times New Roman"/>
          <w:sz w:val="18"/>
          <w:szCs w:val="18"/>
          <w:b w:val="1"/>
          <w:bCs w:val="1"/>
          <w:color w:val="auto"/>
        </w:rPr>
        <w:t>) allowed in such judicial proceeding;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101" w:name="page102"/>
    <w:bookmarkEnd w:id="101"/>
    <w:p>
      <w:pPr>
        <w:ind w:left="440" w:right="40" w:firstLine="948"/>
        <w:spacing w:after="0" w:line="257" w:lineRule="auto"/>
        <w:tabs>
          <w:tab w:leader="none" w:pos="16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b w:val="1"/>
          <w:bCs w:val="1"/>
          <w:u w:val="single" w:color="auto"/>
          <w:color w:val="auto"/>
        </w:rPr>
        <w:t>Section 10.5</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7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Guarantee Matters</w:t>
      </w:r>
      <w:r>
        <w:rPr>
          <w:rFonts w:ascii="Times New Roman" w:cs="Times New Roman" w:eastAsia="Times New Roman" w:hAnsi="Times New Roman"/>
          <w:sz w:val="18"/>
          <w:szCs w:val="18"/>
          <w:color w:val="auto"/>
        </w:rPr>
        <w:t>. Without limiting the provisions of Section 9.9, the Lenders irrevocably authorize the Administrative Agent, at its option and in its discretion, to release any Guarantor from its obligations under the Guarantee pursuant to Section 10.15.</w:t>
      </w:r>
    </w:p>
    <w:p>
      <w:pPr>
        <w:spacing w:after="0" w:line="158"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Upon request by the Administrative Agent at any time, the Required Lenders will confirm in writing the Administrative Agent’s authority to release any Guarantor from its obligations under the Guarantee pursuant to this </w:t>
      </w:r>
      <w:r>
        <w:rPr>
          <w:rFonts w:ascii="Times New Roman" w:cs="Times New Roman" w:eastAsia="Times New Roman" w:hAnsi="Times New Roman"/>
          <w:sz w:val="18"/>
          <w:szCs w:val="18"/>
          <w:b w:val="1"/>
          <w:bCs w:val="1"/>
          <w:u w:val="single" w:color="auto"/>
          <w:color w:val="auto"/>
        </w:rPr>
        <w:t>Section 9.10</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948"/>
        <w:spacing w:after="0" w:line="261" w:lineRule="auto"/>
        <w:tabs>
          <w:tab w:leader="none" w:pos="16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at least one of the following is and will be true:</w:t>
      </w:r>
    </w:p>
    <w:p>
      <w:pPr>
        <w:spacing w:after="0" w:line="72" w:lineRule="exact"/>
        <w:rPr>
          <w:sz w:val="20"/>
          <w:szCs w:val="20"/>
          <w:color w:val="auto"/>
        </w:rPr>
      </w:pPr>
    </w:p>
    <w:p>
      <w:pPr>
        <w:ind w:left="440" w:firstLine="948"/>
        <w:spacing w:after="0" w:line="312" w:lineRule="auto"/>
        <w:tabs>
          <w:tab w:leader="none" w:pos="1607"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31" w:lineRule="exact"/>
        <w:rPr>
          <w:rFonts w:ascii="Times New Roman" w:cs="Times New Roman" w:eastAsia="Times New Roman" w:hAnsi="Times New Roman"/>
          <w:sz w:val="17"/>
          <w:szCs w:val="17"/>
          <w:color w:val="auto"/>
        </w:rPr>
      </w:pPr>
    </w:p>
    <w:p>
      <w:pPr>
        <w:ind w:left="440" w:right="120" w:firstLine="948"/>
        <w:spacing w:after="0" w:line="256" w:lineRule="auto"/>
        <w:tabs>
          <w:tab w:leader="none" w:pos="165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79" w:lineRule="exact"/>
        <w:rPr>
          <w:rFonts w:ascii="Times New Roman" w:cs="Times New Roman" w:eastAsia="Times New Roman" w:hAnsi="Times New Roman"/>
          <w:sz w:val="18"/>
          <w:szCs w:val="18"/>
          <w:color w:val="auto"/>
        </w:rPr>
      </w:pPr>
    </w:p>
    <w:p>
      <w:pPr>
        <w:ind w:left="440" w:firstLine="948"/>
        <w:spacing w:after="0" w:line="256" w:lineRule="auto"/>
        <w:tabs>
          <w:tab w:leader="none" w:pos="170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66" w:right="459" w:bottom="1440" w:gutter="0" w:footer="0" w:header="0"/>
        </w:sectPr>
      </w:pPr>
    </w:p>
    <w:bookmarkStart w:id="102" w:name="page103"/>
    <w:bookmarkEnd w:id="102"/>
    <w:p>
      <w:pPr>
        <w:ind w:left="440" w:right="440" w:firstLine="948"/>
        <w:spacing w:after="0" w:line="282" w:lineRule="auto"/>
        <w:tabs>
          <w:tab w:leader="none" w:pos="169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54" w:lineRule="exact"/>
        <w:rPr>
          <w:sz w:val="20"/>
          <w:szCs w:val="20"/>
          <w:color w:val="auto"/>
        </w:rPr>
      </w:pPr>
    </w:p>
    <w:p>
      <w:pPr>
        <w:ind w:left="440" w:right="20" w:firstLine="948"/>
        <w:spacing w:after="0" w:line="254" w:lineRule="auto"/>
        <w:tabs>
          <w:tab w:leader="none" w:pos="164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whether or not in respect of an Obligation due and owing by the Company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SECTION 10</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MISCELLANEOUS</w:t>
      </w:r>
    </w:p>
    <w:p>
      <w:pPr>
        <w:spacing w:after="0" w:line="198"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(a) Subject to Section 2.18(b) and (c) and Section 10.1(d), neither this Agreement, any other Loan Document (other than the any Fee Letter, which may be amended pursuant to its terms), nor any terms hereof or thereof may be amended, supplemented or modified except in accordance with the provisions of this Section 10.1 or as otherwise expressly provided herein; provided,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provided, however, that no such waiver and no such amendment, supplement or modification shall:</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103" w:name="page104"/>
    <w:bookmarkEnd w:id="103"/>
    <w:p>
      <w:pPr>
        <w:ind w:left="980" w:firstLine="408"/>
        <w:spacing w:after="0" w:line="258" w:lineRule="auto"/>
        <w:tabs>
          <w:tab w:leader="none" w:pos="167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or reduce the voting rights of any Lender under this Section 10.1 without the written consent of such Lender;</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6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or transfer by or release of the Company of any of its rights and obligations under this Agreement and the other Loan Documents, release all or substantially all of the Subsidiary Guarantors from the obligations under the Guarantee (in each case, except as otherwise provided in the Loan Documents), in each case without the written consent of all Lenders;</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specified in the definition of Required Lenders without the written consent of all Lenders;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this agreement or any other Loan Document in a manner adverse to the Administrative Agent without the written consent of the Administrative Agent;</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7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any provision of Section 2.19(a) or (b) or Section 10.7 without the written consent of each Lender adversely affected thereby;</w:t>
      </w:r>
    </w:p>
    <w:p>
      <w:pPr>
        <w:spacing w:after="0" w:line="53"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available currencies to the Facility without the written consent of each Lender directly affected thereby.</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104" w:name="page105"/>
    <w:bookmarkEnd w:id="104"/>
    <w:p>
      <w:pPr>
        <w:ind w:left="440" w:firstLine="948"/>
        <w:spacing w:after="0" w:line="254" w:lineRule="auto"/>
        <w:tabs>
          <w:tab w:leader="none" w:pos="164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or (C) release any Subsidiary Guarantor or other guarantor that is required or permitted to be released by the terms of any Loan Document and to release any such Subsidiary Guarantor that was or becomes an Excluded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notify the Lenders of any such amendment, modification, supplement or waiver consummated in accordance with this clause (ii) promptly after consummation thereof.</w:t>
      </w:r>
    </w:p>
    <w:p>
      <w:pPr>
        <w:spacing w:after="0" w:line="80" w:lineRule="exact"/>
        <w:rPr>
          <w:rFonts w:ascii="Times New Roman" w:cs="Times New Roman" w:eastAsia="Times New Roman" w:hAnsi="Times New Roman"/>
          <w:sz w:val="18"/>
          <w:szCs w:val="18"/>
          <w:color w:val="auto"/>
        </w:rPr>
      </w:pPr>
    </w:p>
    <w:p>
      <w:pPr>
        <w:ind w:left="440" w:right="660" w:firstLine="948"/>
        <w:spacing w:after="0" w:line="312" w:lineRule="auto"/>
        <w:tabs>
          <w:tab w:leader="none" w:pos="16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it is understood that the delivery of a Guarantee Joinder shall not constitute an amendment, supplement or modification for purposes of this Section 10.1 and shall be effective upon the delivery thereof to the Administrative Agent.</w:t>
      </w:r>
    </w:p>
    <w:p>
      <w:pPr>
        <w:spacing w:after="0" w:line="31" w:lineRule="exact"/>
        <w:rPr>
          <w:rFonts w:ascii="Times New Roman" w:cs="Times New Roman" w:eastAsia="Times New Roman" w:hAnsi="Times New Roman"/>
          <w:sz w:val="17"/>
          <w:szCs w:val="17"/>
          <w:color w:val="auto"/>
        </w:rPr>
      </w:pPr>
    </w:p>
    <w:p>
      <w:pPr>
        <w:ind w:left="440" w:right="440" w:firstLine="948"/>
        <w:spacing w:after="0" w:line="282" w:lineRule="auto"/>
        <w:tabs>
          <w:tab w:leader="none" w:pos="164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Loan Document to the contrary, this Agreement may be amended, supplemented or otherwise modified as set forth in Section 2.18.</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the Company and the Administrative Agent, and as set forth in an administrative questionnaire delivered to the Administrative Agent and the Company in the case of the Lenders or to such other address as may be hereafter notified by the respective parties hereto:</w:t>
      </w:r>
    </w:p>
    <w:p>
      <w:pPr>
        <w:sectPr>
          <w:pgSz w:w="11900" w:h="16838" w:orient="portrait"/>
          <w:cols w:equalWidth="0" w:num="1">
            <w:col w:w="11000"/>
          </w:cols>
          <w:pgMar w:left="440" w:top="270" w:right="45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482-C26-A68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112" w:lineRule="exact"/>
        <w:rPr>
          <w:sz w:val="20"/>
          <w:szCs w:val="20"/>
          <w:color w:val="auto"/>
        </w:rPr>
      </w:pPr>
    </w:p>
    <w:p>
      <w:pPr>
        <w:sectPr>
          <w:pgSz w:w="11900" w:h="16838" w:orient="portrait"/>
          <w:cols w:equalWidth="0" w:num="2">
            <w:col w:w="2700" w:space="720"/>
            <w:col w:w="7580"/>
          </w:cols>
          <w:pgMar w:left="440" w:top="270" w:right="4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482-C26-D41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Assistant Treasurer</w:t>
      </w:r>
    </w:p>
    <w:p>
      <w:pPr>
        <w:spacing w:after="0" w:line="124" w:lineRule="exact"/>
        <w:rPr>
          <w:sz w:val="20"/>
          <w:szCs w:val="20"/>
          <w:color w:val="auto"/>
        </w:rPr>
      </w:pPr>
    </w:p>
    <w:p>
      <w:pPr>
        <w:sectPr>
          <w:pgSz w:w="11900" w:h="16838" w:orient="portrait"/>
          <w:cols w:equalWidth="0" w:num="2">
            <w:col w:w="2960" w:space="460"/>
            <w:col w:w="7580"/>
          </w:cols>
          <w:pgMar w:left="440" w:top="270" w:right="4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Treasury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482-C26-C18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Director, Capital Markets</w:t>
      </w:r>
    </w:p>
    <w:p>
      <w:pPr>
        <w:spacing w:after="0" w:line="164" w:lineRule="exact"/>
        <w:rPr>
          <w:sz w:val="20"/>
          <w:szCs w:val="20"/>
          <w:color w:val="auto"/>
        </w:rPr>
      </w:pPr>
    </w:p>
    <w:p>
      <w:pPr>
        <w:sectPr>
          <w:pgSz w:w="11900" w:h="16838" w:orient="portrait"/>
          <w:cols w:equalWidth="0" w:num="2">
            <w:col w:w="2760" w:space="660"/>
            <w:col w:w="758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type w:val="continuous"/>
        </w:sectPr>
      </w:pPr>
    </w:p>
    <w:bookmarkStart w:id="105" w:name="page106"/>
    <w:bookmarkEnd w:id="105"/>
    <w:p>
      <w:pPr>
        <w:spacing w:after="0"/>
        <w:tabs>
          <w:tab w:leader="none" w:pos="3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Detroit Treasury Office</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Mail code: 482-C26-B98</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Detroit, MI 48265</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Attention: Director, Treasury Operations</w:t>
      </w:r>
    </w:p>
    <w:p>
      <w:pPr>
        <w:spacing w:after="0" w:line="112"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Mail Code 482-C39-B40</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Email: craig.glidden@gm.com</w:t>
      </w:r>
    </w:p>
    <w:p>
      <w:pPr>
        <w:spacing w:after="0" w:line="112"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with a further copy to (which shall not</w:t>
      </w:r>
      <w:r>
        <w:rPr>
          <w:sz w:val="20"/>
          <w:szCs w:val="20"/>
          <w:color w:val="auto"/>
        </w:rPr>
        <w:tab/>
      </w:r>
      <w:r>
        <w:rPr>
          <w:rFonts w:ascii="Times New Roman" w:cs="Times New Roman" w:eastAsia="Times New Roman" w:hAnsi="Times New Roman"/>
          <w:sz w:val="17"/>
          <w:szCs w:val="17"/>
          <w:color w:val="auto"/>
        </w:rPr>
        <w:t>General Motors Company</w:t>
      </w:r>
    </w:p>
    <w:p>
      <w:pPr>
        <w:spacing w:after="0" w:line="27"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constitute notice):</w:t>
      </w:r>
      <w:r>
        <w:rPr>
          <w:sz w:val="20"/>
          <w:szCs w:val="20"/>
          <w:color w:val="auto"/>
        </w:rPr>
        <w:tab/>
      </w:r>
      <w:r>
        <w:rPr>
          <w:rFonts w:ascii="Times New Roman" w:cs="Times New Roman" w:eastAsia="Times New Roman" w:hAnsi="Times New Roman"/>
          <w:sz w:val="17"/>
          <w:szCs w:val="17"/>
          <w:color w:val="auto"/>
        </w:rPr>
        <w:t>Mail Code 482-C23-A68</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P.O. Box 300</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Detroit, MI 48265-3000</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Attention: Assistant Corporate Secretary &amp; Lead Counsel – Corporate Finance</w:t>
      </w:r>
    </w:p>
    <w:p>
      <w:pPr>
        <w:spacing w:after="0" w:line="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Email: John.S.Kim@gm.com</w:t>
      </w:r>
    </w:p>
    <w:p>
      <w:pPr>
        <w:sectPr>
          <w:pgSz w:w="11900" w:h="16838" w:orient="portrait"/>
          <w:cols w:equalWidth="0" w:num="1">
            <w:col w:w="10880"/>
          </w:cols>
          <w:pgMar w:left="440" w:top="270" w:right="57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Administrative Agent for all notices: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 as Administrative Agent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joanna.herrera2@bofa.com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469.201.8731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Joanna Herrera</w:t>
      </w:r>
    </w:p>
    <w:p>
      <w:pPr>
        <w:spacing w:after="0" w:line="112" w:lineRule="exact"/>
        <w:rPr>
          <w:sz w:val="20"/>
          <w:szCs w:val="20"/>
          <w:color w:val="auto"/>
        </w:rPr>
      </w:pPr>
    </w:p>
    <w:p>
      <w:pPr>
        <w:sectPr>
          <w:pgSz w:w="11900" w:h="16838" w:orient="portrait"/>
          <w:cols w:equalWidth="0" w:num="2">
            <w:col w:w="2700" w:space="720"/>
            <w:col w:w="7460"/>
          </w:cols>
          <w:pgMar w:left="440" w:top="270" w:right="579" w:bottom="1440" w:gutter="0" w:footer="0" w:header="0"/>
          <w:type w:val="continuous"/>
        </w:sect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with a copy to:</w:t>
      </w:r>
      <w:r>
        <w:rPr>
          <w:sz w:val="20"/>
          <w:szCs w:val="20"/>
          <w:color w:val="auto"/>
        </w:rPr>
        <w:tab/>
      </w:r>
      <w:r>
        <w:rPr>
          <w:rFonts w:ascii="Times New Roman" w:cs="Times New Roman" w:eastAsia="Times New Roman" w:hAnsi="Times New Roman"/>
          <w:sz w:val="17"/>
          <w:szCs w:val="17"/>
          <w:color w:val="auto"/>
        </w:rPr>
        <w:t>Bank of America, N.A.</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Email: anthony.w.kell@bofa.com</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Telephone: 972.997.7528</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Attention: Tony Kell</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notice, request or demand to or upon the Administrative Agent or the Lenders pursuant to Section 2.2, 2.11, 2.12 or 2.14 shall not be effective until received.</w:t>
      </w:r>
    </w:p>
    <w:p>
      <w:pPr>
        <w:spacing w:after="0" w:line="54" w:lineRule="exact"/>
        <w:rPr>
          <w:sz w:val="20"/>
          <w:szCs w:val="20"/>
          <w:color w:val="auto"/>
        </w:rPr>
      </w:pPr>
    </w:p>
    <w:p>
      <w:pPr>
        <w:ind w:left="440" w:right="60" w:firstLine="948"/>
        <w:spacing w:after="0" w:line="224" w:lineRule="auto"/>
        <w:tabs>
          <w:tab w:leader="none" w:pos="164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shall not be obligated to, make any notices or other Communications available to the Lenders by posting such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 substantially similar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880"/>
          </w:cols>
          <w:pgMar w:left="440" w:top="270" w:right="579" w:bottom="1440" w:gutter="0" w:footer="0" w:header="0"/>
          <w:type w:val="continuous"/>
        </w:sectPr>
      </w:pPr>
    </w:p>
    <w:bookmarkStart w:id="106" w:name="page107"/>
    <w:bookmarkEnd w:id="106"/>
    <w:p>
      <w:pPr>
        <w:ind w:left="4" w:right="20" w:firstLine="948"/>
        <w:spacing w:after="0" w:line="254" w:lineRule="auto"/>
        <w:tabs>
          <w:tab w:leader="none" w:pos="12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Although the Approved Electronic Platform and its primary web portal are secured with generally-applicable security procedures and policies implemented or modified by the Administrative Agent from time to time (including, as of the Effective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are hereby acknowledged, each of the parties hereto hereby approves distribution of the Communications through the Approved Electronic Platform and understands and assumes the risks of such distribution.</w:t>
      </w:r>
    </w:p>
    <w:p>
      <w:pPr>
        <w:spacing w:after="0" w:line="83" w:lineRule="exact"/>
        <w:rPr>
          <w:rFonts w:ascii="Times New Roman" w:cs="Times New Roman" w:eastAsia="Times New Roman" w:hAnsi="Times New Roman"/>
          <w:sz w:val="18"/>
          <w:szCs w:val="18"/>
          <w:color w:val="auto"/>
        </w:rPr>
      </w:pPr>
    </w:p>
    <w:p>
      <w:pPr>
        <w:ind w:left="4" w:right="20" w:firstLine="948"/>
        <w:spacing w:after="0" w:line="254" w:lineRule="auto"/>
        <w:tabs>
          <w:tab w:leader="none" w:pos="121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83" w:lineRule="exact"/>
        <w:rPr>
          <w:rFonts w:ascii="Times New Roman" w:cs="Times New Roman" w:eastAsia="Times New Roman" w:hAnsi="Times New Roman"/>
          <w:sz w:val="18"/>
          <w:szCs w:val="18"/>
          <w:color w:val="auto"/>
        </w:rPr>
      </w:pPr>
    </w:p>
    <w:p>
      <w:pPr>
        <w:ind w:left="4" w:right="140" w:firstLine="948"/>
        <w:spacing w:after="0" w:line="266" w:lineRule="auto"/>
        <w:tabs>
          <w:tab w:leader="none" w:pos="12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67" w:lineRule="exact"/>
        <w:rPr>
          <w:rFonts w:ascii="Times New Roman" w:cs="Times New Roman" w:eastAsia="Times New Roman" w:hAnsi="Times New Roman"/>
          <w:sz w:val="18"/>
          <w:szCs w:val="18"/>
          <w:color w:val="auto"/>
        </w:rPr>
      </w:pPr>
    </w:p>
    <w:p>
      <w:pPr>
        <w:ind w:left="4" w:firstLine="948"/>
        <w:spacing w:after="0" w:line="269" w:lineRule="auto"/>
        <w:tabs>
          <w:tab w:leader="none" w:pos="118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Address, Etc</w:t>
      </w:r>
      <w:r>
        <w:rPr>
          <w:rFonts w:ascii="Times New Roman" w:cs="Times New Roman" w:eastAsia="Times New Roman" w:hAnsi="Times New Roman"/>
          <w:sz w:val="17"/>
          <w:szCs w:val="17"/>
          <w:color w:val="auto"/>
        </w:rPr>
        <w:t>. Each of the Company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wire instructions for such Lender.</w:t>
      </w:r>
    </w:p>
    <w:p>
      <w:pPr>
        <w:spacing w:after="0" w:line="98" w:lineRule="exact"/>
        <w:rPr>
          <w:rFonts w:ascii="Times New Roman" w:cs="Times New Roman" w:eastAsia="Times New Roman" w:hAnsi="Times New Roman"/>
          <w:sz w:val="18"/>
          <w:szCs w:val="18"/>
          <w:color w:val="auto"/>
        </w:rPr>
      </w:pPr>
    </w:p>
    <w:p>
      <w:pPr>
        <w:ind w:left="4" w:right="120" w:firstLine="948"/>
        <w:spacing w:after="0" w:line="272" w:lineRule="auto"/>
        <w:tabs>
          <w:tab w:leader="none" w:pos="121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by Administrative Agent and Lenders</w:t>
      </w:r>
      <w:r>
        <w:rPr>
          <w:rFonts w:ascii="Times New Roman" w:cs="Times New Roman" w:eastAsia="Times New Roman" w:hAnsi="Times New Roman"/>
          <w:sz w:val="17"/>
          <w:szCs w:val="17"/>
          <w:color w:val="auto"/>
        </w:rPr>
        <w:t>. The Administrative Agent and the Lenders shall be entitled to rely and act upon any notices (including telephonic notices and Borrowing Requests) purportedly given by or on behalf of the Company even if (i) such notices were not made in a manner specified herein, were incomplete or were not preceded or followed by any other form of notice specified herein, or</w:t>
      </w:r>
    </w:p>
    <w:p>
      <w:pPr>
        <w:spacing w:after="0" w:line="1" w:lineRule="exact"/>
        <w:rPr>
          <w:rFonts w:ascii="Times New Roman" w:cs="Times New Roman" w:eastAsia="Times New Roman" w:hAnsi="Times New Roman"/>
          <w:sz w:val="17"/>
          <w:szCs w:val="17"/>
          <w:color w:val="auto"/>
        </w:rPr>
      </w:pPr>
    </w:p>
    <w:p>
      <w:pPr>
        <w:jc w:val="both"/>
        <w:ind w:left="4" w:right="80" w:hanging="4"/>
        <w:spacing w:after="0" w:line="253" w:lineRule="auto"/>
        <w:tabs>
          <w:tab w:leader="none" w:pos="26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thereof, as understood by the recipient, varied from any confirmation thereof. The Company shall indemnify the Administrative Agent, each Lender and the Related Parties of each of them from all losses, costs, expenses and liabilities resulting from the reliance by such Person on each notice purportedly given by or on behalf of the Company. All telephonic notices to and other telephonic communications with the Administrative Agent may be recorded by the Administrative Agent, and each of the parties hereto hereby consents to such recording.</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44"/>
          </w:cols>
          <w:pgMar w:left="876" w:top="270" w:right="479" w:bottom="1440" w:gutter="0" w:footer="0" w:header="0"/>
        </w:sectPr>
      </w:pPr>
    </w:p>
    <w:bookmarkStart w:id="107" w:name="page108"/>
    <w:bookmarkEnd w:id="107"/>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Times New Roman" w:cs="Times New Roman" w:eastAsia="Times New Roman" w:hAnsi="Times New Roman"/>
          <w:sz w:val="18"/>
          <w:szCs w:val="18"/>
          <w:u w:val="single" w:color="auto"/>
          <w:color w:val="auto"/>
        </w:rPr>
        <w:t>No Waiver; Cumulative Remedies, Enforcement</w:t>
      </w:r>
      <w:r>
        <w:rPr>
          <w:rFonts w:ascii="Times New Roman" w:cs="Times New Roman" w:eastAsia="Times New Roman" w:hAnsi="Times New Roman"/>
          <w:sz w:val="18"/>
          <w:szCs w:val="18"/>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for the benefit of all the Lenders; provided, however,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Section 10.7, or (c)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and (ii) in addition to the matters set forth in clauses (b) and (c) of the preceding proviso, any Lender may, with the consent of the Required Lenders, enforce any rights and remedies available to it and as authorized by the Required Lenders.</w:t>
      </w:r>
    </w:p>
    <w:p>
      <w:pPr>
        <w:spacing w:after="0" w:line="194"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 of Expenses; Limitation of Liability; Indemnity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948"/>
        <w:spacing w:after="0" w:line="252" w:lineRule="auto"/>
        <w:tabs>
          <w:tab w:leader="none" w:pos="16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the Approved Electronic Platform,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108" w:name="page109"/>
    <w:bookmarkEnd w:id="108"/>
    <w:p>
      <w:pPr>
        <w:ind w:right="20" w:firstLine="948"/>
        <w:spacing w:after="0" w:line="256" w:lineRule="auto"/>
        <w:tabs>
          <w:tab w:leader="none" w:pos="120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w:t>
      </w:r>
      <w:r>
        <w:rPr>
          <w:rFonts w:ascii="Times New Roman" w:cs="Times New Roman" w:eastAsia="Times New Roman" w:hAnsi="Times New Roman"/>
          <w:sz w:val="18"/>
          <w:szCs w:val="18"/>
          <w:color w:val="auto"/>
        </w:rPr>
        <w:t>.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provided, that this Section 10.5(b) shall not limit the Loan Parties’ indemnification obligations set forth in this Agreement to the extent the relevant, special, indirect, consequential or punitive damages are included in any third party claim in connection with which the relevant Indemnitee is entitled to indemnification hereunder.</w:t>
      </w:r>
    </w:p>
    <w:p>
      <w:pPr>
        <w:spacing w:after="0" w:line="79" w:lineRule="exact"/>
        <w:rPr>
          <w:rFonts w:ascii="Times New Roman" w:cs="Times New Roman" w:eastAsia="Times New Roman" w:hAnsi="Times New Roman"/>
          <w:sz w:val="18"/>
          <w:szCs w:val="18"/>
          <w:color w:val="auto"/>
        </w:rPr>
      </w:pPr>
    </w:p>
    <w:p>
      <w:pPr>
        <w:ind w:firstLine="948"/>
        <w:spacing w:after="0" w:line="255" w:lineRule="auto"/>
        <w:tabs>
          <w:tab w:leader="none" w:pos="119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shall pay, indemnify or reimburse each Lender, the Administrative Agent, their respective affiliates, and their respective officers, directors, partners, employees, advisors, agents, controlling persons and trustees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w:t>
      </w:r>
    </w:p>
    <w:p>
      <w:pPr>
        <w:spacing w:after="0" w:line="2"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2.21 or with respect to the costs, losses or expenses which are of the type covered by Section 2.20 or Section 2.22) in respect of the financing contemplated by this Agreement or the use or the proposed use of proceeds thereof, and the other Loan Documents (all the foregoing,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w:t>
      </w:r>
    </w:p>
    <w:p>
      <w:pPr>
        <w:spacing w:after="0" w:line="85" w:lineRule="exact"/>
        <w:rPr>
          <w:rFonts w:ascii="Times New Roman" w:cs="Times New Roman" w:eastAsia="Times New Roman" w:hAnsi="Times New Roman"/>
          <w:sz w:val="18"/>
          <w:szCs w:val="18"/>
          <w:color w:val="auto"/>
        </w:rPr>
      </w:pPr>
    </w:p>
    <w:p>
      <w:pPr>
        <w:ind w:right="20" w:firstLine="948"/>
        <w:spacing w:after="0" w:line="253" w:lineRule="auto"/>
        <w:tabs>
          <w:tab w:leader="none" w:pos="120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60"/>
          </w:cols>
          <w:pgMar w:left="880" w:top="270" w:right="459" w:bottom="1440" w:gutter="0" w:footer="0" w:header="0"/>
        </w:sectPr>
      </w:pPr>
    </w:p>
    <w:bookmarkStart w:id="109" w:name="page110"/>
    <w:bookmarkEnd w:id="109"/>
    <w:p>
      <w:pPr>
        <w:ind w:left="440" w:firstLine="948"/>
        <w:spacing w:after="0" w:line="254" w:lineRule="auto"/>
        <w:tabs>
          <w:tab w:leader="none" w:pos="163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w:t>
      </w:r>
    </w:p>
    <w:p>
      <w:pPr>
        <w:spacing w:after="0" w:line="8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Successors and Assigns; Participations and Assignments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except that (i) other than pursuant to Section 7.4, the Company may not assign or otherwise transfer any of its rights or obligations hereunder without the prior written consent of each Lender (and any attempted assignment or transfer by the Company without such consent shall be null and void) and (ii) no Lender may assign or otherwise transfer its rights or obligations hereunder except in accordance with this Section 10.6.</w:t>
      </w:r>
    </w:p>
    <w:p>
      <w:pPr>
        <w:spacing w:after="0" w:line="75" w:lineRule="exact"/>
        <w:rPr>
          <w:sz w:val="20"/>
          <w:szCs w:val="20"/>
          <w:color w:val="auto"/>
        </w:rPr>
      </w:pPr>
    </w:p>
    <w:p>
      <w:pPr>
        <w:ind w:left="440" w:right="20" w:firstLine="948"/>
        <w:spacing w:after="0" w:line="281" w:lineRule="auto"/>
        <w:tabs>
          <w:tab w:leader="none" w:pos="164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Subject to the conditions set forth in paragraph (b)(ii) below and subject to advance notice to the Company, any Lender may assign to one or more assignees (other than (i) the Company or any affiliate of the Company or any natural person or (ii) to any Defaulting Lender or any of its Subsidiaries) (each, an “</w:t>
      </w:r>
      <w:r>
        <w:rPr>
          <w:rFonts w:ascii="Times New Roman" w:cs="Times New Roman" w:eastAsia="Times New Roman" w:hAnsi="Times New Roman"/>
          <w:sz w:val="17"/>
          <w:szCs w:val="17"/>
          <w:u w:val="single" w:color="auto"/>
          <w:color w:val="auto"/>
        </w:rPr>
        <w:t>Assignee</w:t>
      </w:r>
      <w:r>
        <w:rPr>
          <w:rFonts w:ascii="Times New Roman" w:cs="Times New Roman" w:eastAsia="Times New Roman" w:hAnsi="Times New Roman"/>
          <w:sz w:val="17"/>
          <w:szCs w:val="17"/>
          <w:color w:val="auto"/>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56" w:lineRule="exact"/>
        <w:rPr>
          <w:sz w:val="20"/>
          <w:szCs w:val="20"/>
          <w:color w:val="auto"/>
        </w:rPr>
      </w:pPr>
    </w:p>
    <w:p>
      <w:pPr>
        <w:jc w:val="both"/>
        <w:ind w:left="980" w:right="120" w:firstLine="408"/>
        <w:spacing w:after="0" w:line="266" w:lineRule="auto"/>
        <w:tabs>
          <w:tab w:leader="none" w:pos="16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w:t>
      </w:r>
    </w:p>
    <w:p>
      <w:pPr>
        <w:spacing w:after="0" w:line="117" w:lineRule="exact"/>
        <w:rPr>
          <w:sz w:val="20"/>
          <w:szCs w:val="20"/>
          <w:color w:val="auto"/>
        </w:rPr>
      </w:pPr>
    </w:p>
    <w:p>
      <w:pPr>
        <w:jc w:val="both"/>
        <w:ind w:left="980" w:right="140" w:firstLine="401"/>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no consent provided for in clause (2) above shall be required for an assignment to a Lender or an affiliate thereof and (y) no consent of the Company provided for in clause (1) above shall be required if an Event of Default under Section 8(a) or (e) has occurred and is continuing.</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or anything to the contrary otherwise contained herein, assignments of Commitments or Loans by or to Goldman Sachs Bank USA to or by Goldman Sachs Lending Partners LLC shall be permitted without the consent of any party hereto.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110" w:name="page111"/>
    <w:bookmarkEnd w:id="110"/>
    <w:p>
      <w:pPr>
        <w:ind w:left="680" w:hanging="261"/>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540" w:firstLine="408"/>
        <w:spacing w:after="0" w:line="256" w:lineRule="auto"/>
        <w:tabs>
          <w:tab w:leader="none" w:pos="123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79" w:lineRule="exact"/>
        <w:rPr>
          <w:rFonts w:ascii="Times New Roman" w:cs="Times New Roman" w:eastAsia="Times New Roman" w:hAnsi="Times New Roman"/>
          <w:sz w:val="18"/>
          <w:szCs w:val="18"/>
          <w:color w:val="auto"/>
        </w:rPr>
      </w:pPr>
    </w:p>
    <w:p>
      <w:pPr>
        <w:ind w:left="540" w:right="220" w:firstLine="408"/>
        <w:spacing w:after="0" w:line="258" w:lineRule="auto"/>
        <w:tabs>
          <w:tab w:leader="none" w:pos="122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75" w:lineRule="exact"/>
        <w:rPr>
          <w:rFonts w:ascii="Times New Roman" w:cs="Times New Roman" w:eastAsia="Times New Roman" w:hAnsi="Times New Roman"/>
          <w:sz w:val="18"/>
          <w:szCs w:val="18"/>
          <w:color w:val="auto"/>
        </w:rPr>
      </w:pPr>
    </w:p>
    <w:p>
      <w:pPr>
        <w:ind w:left="540" w:right="860" w:firstLine="408"/>
        <w:spacing w:after="0" w:line="282" w:lineRule="auto"/>
        <w:tabs>
          <w:tab w:leader="none" w:pos="122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and the Company an administrative questionnaire.</w:t>
      </w:r>
    </w:p>
    <w:p>
      <w:pPr>
        <w:spacing w:after="0" w:line="53" w:lineRule="exact"/>
        <w:rPr>
          <w:rFonts w:ascii="Times New Roman" w:cs="Times New Roman" w:eastAsia="Times New Roman" w:hAnsi="Times New Roman"/>
          <w:sz w:val="18"/>
          <w:szCs w:val="18"/>
          <w:color w:val="auto"/>
        </w:rPr>
      </w:pPr>
    </w:p>
    <w:p>
      <w:pPr>
        <w:ind w:right="100" w:firstLine="419"/>
        <w:spacing w:after="0" w:line="254" w:lineRule="auto"/>
        <w:tabs>
          <w:tab w:leader="none" w:pos="7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spacing w:after="0" w:line="80" w:lineRule="exact"/>
        <w:rPr>
          <w:rFonts w:ascii="Times New Roman" w:cs="Times New Roman" w:eastAsia="Times New Roman" w:hAnsi="Times New Roman"/>
          <w:sz w:val="18"/>
          <w:szCs w:val="18"/>
          <w:color w:val="auto"/>
        </w:rPr>
      </w:pPr>
    </w:p>
    <w:p>
      <w:pPr>
        <w:ind w:right="20" w:firstLine="419"/>
        <w:spacing w:after="0" w:line="254" w:lineRule="auto"/>
        <w:tabs>
          <w:tab w:leader="none" w:pos="72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or any Lender at any reasonable time and from time to time upon reasonable prior notice. The Administrative Agent shall provide a copy of the Register to the Company upon its request at any time and from time to time by electronic communication.</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40"/>
          </w:cols>
          <w:pgMar w:left="880" w:top="270" w:right="479" w:bottom="1440" w:gutter="0" w:footer="0" w:header="0"/>
        </w:sectPr>
      </w:pPr>
    </w:p>
    <w:bookmarkStart w:id="111" w:name="page112"/>
    <w:bookmarkEnd w:id="111"/>
    <w:p>
      <w:pPr>
        <w:ind w:left="440" w:firstLine="419"/>
        <w:spacing w:after="0" w:line="274" w:lineRule="auto"/>
        <w:tabs>
          <w:tab w:leader="none" w:pos="111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64" w:lineRule="exact"/>
        <w:rPr>
          <w:rFonts w:ascii="Times New Roman" w:cs="Times New Roman" w:eastAsia="Times New Roman" w:hAnsi="Times New Roman"/>
          <w:sz w:val="17"/>
          <w:szCs w:val="17"/>
          <w:color w:val="auto"/>
        </w:rPr>
      </w:pPr>
    </w:p>
    <w:p>
      <w:pPr>
        <w:ind w:right="20" w:firstLine="987"/>
        <w:spacing w:after="0" w:line="252" w:lineRule="auto"/>
        <w:tabs>
          <w:tab w:leader="none" w:pos="123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Company or the Administrative Agent,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and (D) such Participant shall not be an Ineligible Participant.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81" w:lineRule="exact"/>
        <w:rPr>
          <w:sz w:val="20"/>
          <w:szCs w:val="20"/>
          <w:color w:val="auto"/>
        </w:rPr>
      </w:pPr>
    </w:p>
    <w:p>
      <w:pPr>
        <w:ind w:left="440" w:right="20" w:firstLine="419"/>
        <w:spacing w:after="0" w:line="254" w:lineRule="auto"/>
        <w:tabs>
          <w:tab w:leader="none" w:pos="11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w:t>
      </w:r>
    </w:p>
    <w:p>
      <w:pPr>
        <w:spacing w:after="0" w:line="3"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2.21(c), 2.21(d) and 2.21(e) as though it were a Lender.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112" w:name="page113"/>
    <w:bookmarkEnd w:id="112"/>
    <w:p>
      <w:pPr>
        <w:ind w:left="440" w:firstLine="948"/>
        <w:spacing w:after="0" w:line="258" w:lineRule="auto"/>
        <w:tabs>
          <w:tab w:leader="none" w:pos="164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75"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pursuant hereto, the assigning Lender shall surrender the Note, if any,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If any Lender (a “Benefitted Lender”)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other Lenders; provided, however,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Counterparts; Electronic Execution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948"/>
        <w:spacing w:after="0" w:line="261" w:lineRule="auto"/>
        <w:tabs>
          <w:tab w:leader="none" w:pos="16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71" w:lineRule="exact"/>
        <w:rPr>
          <w:rFonts w:ascii="Times New Roman" w:cs="Times New Roman" w:eastAsia="Times New Roman" w:hAnsi="Times New Roman"/>
          <w:sz w:val="18"/>
          <w:szCs w:val="18"/>
          <w:color w:val="auto"/>
        </w:rPr>
      </w:pPr>
    </w:p>
    <w:p>
      <w:pPr>
        <w:ind w:left="440" w:right="60" w:firstLine="948"/>
        <w:spacing w:after="0" w:line="254" w:lineRule="auto"/>
        <w:tabs>
          <w:tab w:leader="none" w:pos="164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113" w:name="page114"/>
    <w:bookmarkEnd w:id="113"/>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and adopted by a Person with the intent to sign, authenticate or accept such contract or record (each an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w:t>
      </w:r>
    </w:p>
    <w:p>
      <w:pPr>
        <w:spacing w:after="0" w:line="1" w:lineRule="exact"/>
        <w:rPr>
          <w:sz w:val="20"/>
          <w:szCs w:val="20"/>
          <w:color w:val="auto"/>
        </w:rPr>
      </w:pPr>
    </w:p>
    <w:p>
      <w:pPr>
        <w:ind w:left="440" w:hanging="4"/>
        <w:spacing w:after="0" w:line="251" w:lineRule="auto"/>
        <w:tabs>
          <w:tab w:leader="none" w:pos="7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or any Lender, any Electronic Signature shall be promptly followed by a manually executed counterpart. Without limiting the generality of the foregoing, the Company and each Loan Party hereby (i) agrees that, for all purposes, including without limitation, in connection with any workout, restructuring, enforcement of remedies, bankruptcy proceedings or litigation among the Administrative Agent, the Lenders, the Company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based solely on the lack of paper original copies of this Agreement, such other Loan Document and/or such Ancillary Document, respectively, including with respect to any signature pages thereto and (iv) waives any claim against any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Company and/or any other Loan Party to use any available security measures in connection with the execution, delivery or transmission of any Electronic Signature.</w:t>
      </w:r>
    </w:p>
    <w:p>
      <w:pPr>
        <w:spacing w:after="0" w:line="8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68"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and the other Loan Documents represent the entire agreement of the Company,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114" w:name="page115"/>
    <w:bookmarkEnd w:id="114"/>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UNDER THIS AGREEMENT SHALL BE GOVERNED BY, AND CONSTRUED AND INTERPRETED IN ACCORDANCE WITH, THE LAW OF THE STATE OF NEW YORK.</w:t>
      </w:r>
    </w:p>
    <w:p>
      <w:pPr>
        <w:spacing w:after="0" w:line="6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Submission to Jurisdiction; Waivers</w:t>
      </w:r>
      <w:r>
        <w:rPr>
          <w:rFonts w:ascii="Times New Roman" w:cs="Times New Roman" w:eastAsia="Times New Roman" w:hAnsi="Times New Roman"/>
          <w:sz w:val="18"/>
          <w:szCs w:val="18"/>
          <w:color w:val="auto"/>
        </w:rPr>
        <w:t>. Each of the Administrative Agent, the Lenders, the Company and each other Loan Party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75" w:lineRule="exact"/>
        <w:rPr>
          <w:sz w:val="20"/>
          <w:szCs w:val="20"/>
          <w:color w:val="auto"/>
        </w:rPr>
      </w:pPr>
    </w:p>
    <w:p>
      <w:pPr>
        <w:ind w:left="440" w:right="80" w:firstLine="419"/>
        <w:spacing w:after="0" w:line="266" w:lineRule="auto"/>
        <w:tabs>
          <w:tab w:leader="none" w:pos="10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10.12 any special, exemplary, punitive or consequential damages.</w:t>
      </w:r>
    </w:p>
    <w:p>
      <w:pPr>
        <w:spacing w:after="0" w:line="54"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The obligations of the Company in respect of this Agreement and the other Loan Documents due to any party hereto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the sum originally due to such party is denominated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fees payable hereunder or under any other Loan Document.</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The Company hereby acknowledges that:</w:t>
      </w:r>
    </w:p>
    <w:p>
      <w:pPr>
        <w:spacing w:after="0" w:line="117" w:lineRule="exact"/>
        <w:rPr>
          <w:sz w:val="20"/>
          <w:szCs w:val="20"/>
          <w:color w:val="auto"/>
        </w:rPr>
      </w:pPr>
    </w:p>
    <w:p>
      <w:pPr>
        <w:ind w:left="440" w:right="500" w:firstLine="948"/>
        <w:spacing w:after="0" w:line="266" w:lineRule="auto"/>
        <w:tabs>
          <w:tab w:leader="none" w:pos="16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understands and accepts, the terms, risks and conditions of the transactions contemplated hereby and by the other Loan Documents and it has been advised by counsel in the negotiation, execution and delivery of this Agreement and the other Loan Documents;</w:t>
      </w:r>
    </w:p>
    <w:p>
      <w:pPr>
        <w:spacing w:after="0" w:line="67" w:lineRule="exact"/>
        <w:rPr>
          <w:rFonts w:ascii="Times New Roman" w:cs="Times New Roman" w:eastAsia="Times New Roman" w:hAnsi="Times New Roman"/>
          <w:sz w:val="18"/>
          <w:szCs w:val="18"/>
          <w:color w:val="auto"/>
        </w:rPr>
      </w:pPr>
    </w:p>
    <w:p>
      <w:pPr>
        <w:ind w:left="440" w:right="120" w:firstLine="948"/>
        <w:spacing w:after="0" w:line="261" w:lineRule="auto"/>
        <w:tabs>
          <w:tab w:leader="none" w:pos="164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or any Lender has any fiduciary relationship with or duty to the Company or any Subsidiary arising out of or in connection with this Agreement or any of the other Loan Documents, and the relationship between the Administrative Agent and the Lenders, on one hand, and the Company or any Subsidiary, on the other hand, in connection herewith or therewith is solely that of debtor and creditor;</w:t>
      </w:r>
    </w:p>
    <w:p>
      <w:pPr>
        <w:spacing w:after="0" w:line="71"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Loan Documents or otherwise exists by virtue of the transactions contemplated hereby among the Lenders or among the Company or any Subsidiary and the Lenders;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115" w:name="page116"/>
    <w:bookmarkEnd w:id="115"/>
    <w:p>
      <w:pPr>
        <w:jc w:val="both"/>
        <w:ind w:left="440" w:right="120" w:firstLine="948"/>
        <w:spacing w:after="0" w:line="266" w:lineRule="auto"/>
        <w:tabs>
          <w:tab w:leader="none" w:pos="164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arranging and other services regarding this Agreement provided by the Administrative Agent, the Arrangers and the Lenders are arm’s-length commercial transactions between the Company and its Affiliates, on the one hand, and the Administrative Agent, the Arrangers, and the Lenders, on the other hand; and</w:t>
      </w:r>
    </w:p>
    <w:p>
      <w:pPr>
        <w:spacing w:after="0" w:line="67" w:lineRule="exact"/>
        <w:rPr>
          <w:rFonts w:ascii="Times New Roman" w:cs="Times New Roman" w:eastAsia="Times New Roman" w:hAnsi="Times New Roman"/>
          <w:sz w:val="18"/>
          <w:szCs w:val="18"/>
          <w:color w:val="auto"/>
        </w:rPr>
      </w:pPr>
    </w:p>
    <w:p>
      <w:pPr>
        <w:ind w:left="440" w:right="260" w:firstLine="948"/>
        <w:spacing w:after="0" w:line="266" w:lineRule="auto"/>
        <w:tabs>
          <w:tab w:leader="none" w:pos="16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Arrangers and the Lenders and their respective Affiliates may be engaged in a broad range of transactions that involve interests that differ from those of the Company and its Affiliates, and neither the Administrative Agent, the Arrangers, nor any Lender has any obligation to disclose any of such interests to the Company, or its Affiliates.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Releases of Guarantees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948"/>
        <w:spacing w:after="0" w:line="256" w:lineRule="auto"/>
        <w:tabs>
          <w:tab w:leader="none" w:pos="16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79" w:lineRule="exact"/>
        <w:rPr>
          <w:rFonts w:ascii="Times New Roman" w:cs="Times New Roman" w:eastAsia="Times New Roman" w:hAnsi="Times New Roman"/>
          <w:sz w:val="18"/>
          <w:szCs w:val="18"/>
          <w:color w:val="auto"/>
        </w:rPr>
      </w:pPr>
    </w:p>
    <w:p>
      <w:pPr>
        <w:jc w:val="both"/>
        <w:ind w:left="440" w:firstLine="948"/>
        <w:spacing w:after="0" w:line="266" w:lineRule="auto"/>
        <w:tabs>
          <w:tab w:leader="none" w:pos="164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67"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67" w:lineRule="exact"/>
        <w:rPr>
          <w:rFonts w:ascii="Times New Roman" w:cs="Times New Roman" w:eastAsia="Times New Roman" w:hAnsi="Times New Roman"/>
          <w:sz w:val="18"/>
          <w:szCs w:val="18"/>
          <w:color w:val="auto"/>
        </w:rPr>
      </w:pPr>
    </w:p>
    <w:p>
      <w:pPr>
        <w:ind w:left="440" w:right="60" w:firstLine="948"/>
        <w:spacing w:after="0" w:line="255" w:lineRule="auto"/>
        <w:tabs>
          <w:tab w:leader="none" w:pos="164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w:t>
      </w:r>
    </w:p>
    <w:p>
      <w:pPr>
        <w:spacing w:after="0" w:line="8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each Lender and each Transferee (each a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agrees to keep confidential all non-public information provided to it by or on behalf of any Loan Party or any of its respective Subsidiaries, the Administrative Agent or any Lender pursuant to or in connection with any Loan Document; provided,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16" w:name="page117"/>
    <w:bookmarkEnd w:id="11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w:t>
      </w:r>
    </w:p>
    <w:p>
      <w:pPr>
        <w:spacing w:after="0" w:line="86"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THE COMPANY, THE ADMINISTRATIVE AGENT AND THE LENDERS HEREBY IRREVOCABLY AND UNCONDITIONALLY WAIVE TRIAL BY JURY IN ANY LEGAL ACTION OR PROCEEDING RELATING TO THIS AGREEMENT OR ANY OTHER LOAN DOCUMENT AND FOR ANY COUNTERCLAIM THEREIN.</w:t>
      </w:r>
    </w:p>
    <w:p>
      <w:pPr>
        <w:spacing w:after="0" w:line="68" w:lineRule="exact"/>
        <w:rPr>
          <w:sz w:val="20"/>
          <w:szCs w:val="20"/>
          <w:color w:val="auto"/>
        </w:rPr>
      </w:pPr>
    </w:p>
    <w:p>
      <w:pPr>
        <w:ind w:right="3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USA Patriot Act and the Beneficial Ownership Regulation</w:t>
      </w:r>
      <w:r>
        <w:rPr>
          <w:rFonts w:ascii="Times New Roman" w:cs="Times New Roman" w:eastAsia="Times New Roman" w:hAnsi="Times New Roman"/>
          <w:sz w:val="18"/>
          <w:szCs w:val="18"/>
          <w:color w:val="auto"/>
        </w:rPr>
        <w:t>. Each Lender hereby notifies the Company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and the Beneficial Ownership Regulation, it is required to obtain, verify and record information that identifies the Company, which information includes the name and address of the Company and other information that will allow such Lender to identify the Company in accordance with the USA Patriot Act and the Beneficial Ownership Regulation.</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left="440" w:right="140" w:firstLine="948"/>
        <w:spacing w:after="0" w:line="282" w:lineRule="auto"/>
        <w:tabs>
          <w:tab w:leader="none" w:pos="16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sz w:val="20"/>
          <w:szCs w:val="20"/>
          <w:color w:val="auto"/>
        </w:rPr>
      </w:pPr>
    </w:p>
    <w:p>
      <w:pPr>
        <w:ind w:left="1600" w:hanging="212"/>
        <w:spacing w:after="0"/>
        <w:tabs>
          <w:tab w:leader="none" w:pos="16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117" w:name="page118"/>
    <w:bookmarkEnd w:id="117"/>
    <w:p>
      <w:pPr>
        <w:ind w:left="440" w:right="400" w:firstLine="948"/>
        <w:spacing w:after="0" w:line="282" w:lineRule="auto"/>
        <w:tabs>
          <w:tab w:leader="none" w:pos="170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54"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8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Interest Rate Limitations</w:t>
      </w:r>
      <w:r>
        <w:rPr>
          <w:rFonts w:ascii="Times New Roman" w:cs="Times New Roman" w:eastAsia="Times New Roman" w:hAnsi="Times New Roman"/>
          <w:sz w:val="18"/>
          <w:szCs w:val="18"/>
          <w:color w:val="auto"/>
        </w:rPr>
        <w:t>.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10.22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Company so that at no time shall the interest and charges paid or payable in respect of such Loan or other Obligation exceed the maximum amount collectible at the Maximum 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118" w:name="page119"/>
    <w:bookmarkEnd w:id="11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by their proper and duly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Loek Beckers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Loek Beckers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[Signature Page to 364-Day Delayed Draw Term Loan Credit Agreement]</w:t>
      </w:r>
    </w:p>
    <w:p>
      <w:pPr>
        <w:sectPr>
          <w:pgSz w:w="11900" w:h="16838" w:orient="portrait"/>
          <w:cols w:equalWidth="0" w:num="1">
            <w:col w:w="10560"/>
          </w:cols>
          <w:pgMar w:left="440" w:top="270" w:right="899" w:bottom="1440" w:gutter="0" w:footer="0" w:header="0"/>
        </w:sectPr>
      </w:pPr>
    </w:p>
    <w:bookmarkStart w:id="119" w:name="page120"/>
    <w:bookmarkEnd w:id="11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Administrative Agent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Lukehart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[Signature Page to 364-Day Delayed Draw Term Loan Credit Agreement]</w:t>
      </w:r>
    </w:p>
    <w:p>
      <w:pPr>
        <w:sectPr>
          <w:pgSz w:w="11900" w:h="16838" w:orient="portrait"/>
          <w:cols w:equalWidth="0" w:num="1">
            <w:col w:w="9860"/>
          </w:cols>
          <w:pgMar w:left="1440" w:top="270" w:right="59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Syndication Agent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Ehudin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[Signature Page to 364-Day Delayed Draw Term Loan Credit Agreement]</w:t>
      </w:r>
    </w:p>
    <w:p>
      <w:pPr>
        <w:sectPr>
          <w:pgSz w:w="11900" w:h="16838" w:orient="portrait"/>
          <w:cols w:equalWidth="0" w:num="1">
            <w:col w:w="9740"/>
          </w:cols>
          <w:pgMar w:left="1440" w:top="270" w:right="719"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 as Co-Documentation Agent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Craig Malloy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[Signature Page to 364-Day Delayed Draw Term Loan Credit Agreement]</w:t>
      </w:r>
    </w:p>
    <w:p>
      <w:pPr>
        <w:sectPr>
          <w:pgSz w:w="11900" w:h="16838" w:orient="portrait"/>
          <w:cols w:equalWidth="0" w:num="1">
            <w:col w:w="9940"/>
          </w:cols>
          <w:pgMar w:left="1440" w:top="270" w:right="51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Co-Documentation Agent and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Susan M.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Susan M. Olsen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[Signature Page to 364-Day Delayed Draw Term Loan Credit Agreement]</w:t>
      </w:r>
    </w:p>
    <w:p>
      <w:pPr>
        <w:sectPr>
          <w:pgSz w:w="11900" w:h="16838" w:orient="portrait"/>
          <w:cols w:equalWidth="0" w:num="1">
            <w:col w:w="9560"/>
          </w:cols>
          <w:pgMar w:left="1440" w:top="270" w:right="8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0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auto"/>
                <w:w w:val="99"/>
              </w:rPr>
              <w:t>SCHEDULE 1.1A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0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90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405"/>
        </w:trPr>
        <w:tc>
          <w:tcPr>
            <w:tcW w:w="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OMMITMENTS</w:t>
            </w:r>
          </w:p>
        </w:tc>
        <w:tc>
          <w:tcPr>
            <w:tcW w:w="0" w:type="dxa"/>
            <w:vAlign w:val="bottom"/>
          </w:tcPr>
          <w:p>
            <w:pPr>
              <w:spacing w:after="0"/>
              <w:rPr>
                <w:sz w:val="1"/>
                <w:szCs w:val="1"/>
                <w:color w:val="auto"/>
              </w:rPr>
            </w:pPr>
          </w:p>
        </w:tc>
      </w:tr>
      <w:tr>
        <w:trPr>
          <w:trHeight w:val="387"/>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4440" w:type="dxa"/>
            <w:vAlign w:val="bottom"/>
            <w:vMerge w:val="restart"/>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BANK OF AMERICA, N.A.</w:t>
            </w:r>
          </w:p>
        </w:tc>
        <w:tc>
          <w:tcPr>
            <w:tcW w:w="12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6120" w:type="dxa"/>
            <w:vAlign w:val="bottom"/>
            <w:gridSpan w:val="3"/>
          </w:tcPr>
          <w:p>
            <w:pPr>
              <w:jc w:val="center"/>
              <w:ind w:left="51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6120" w:type="dxa"/>
            <w:vAlign w:val="bottom"/>
            <w:gridSpan w:val="3"/>
            <w:shd w:val="clear" w:color="auto" w:fill="CCEEFF"/>
          </w:tcPr>
          <w:p>
            <w:pPr>
              <w:jc w:val="center"/>
              <w:ind w:left="51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120" w:type="dxa"/>
            <w:vAlign w:val="bottom"/>
            <w:gridSpan w:val="3"/>
          </w:tcPr>
          <w:p>
            <w:pPr>
              <w:jc w:val="center"/>
              <w:ind w:left="51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120" w:type="dxa"/>
            <w:vAlign w:val="bottom"/>
            <w:gridSpan w:val="3"/>
            <w:shd w:val="clear" w:color="auto" w:fill="CCEEFF"/>
          </w:tcPr>
          <w:p>
            <w:pPr>
              <w:jc w:val="center"/>
              <w:ind w:left="51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Schedule 1.1A</w:t>
            </w:r>
          </w:p>
        </w:tc>
        <w:tc>
          <w:tcPr>
            <w:tcW w:w="1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4" w:name="page125"/>
    <w:bookmarkEnd w:id="124"/>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260" w:type="dxa"/>
            <w:vAlign w:val="bottom"/>
            <w:gridSpan w:val="2"/>
          </w:tcPr>
          <w:p>
            <w:pPr>
              <w:jc w:val="center"/>
              <w:ind w:left="5188"/>
              <w:spacing w:after="0"/>
              <w:rPr>
                <w:sz w:val="20"/>
                <w:szCs w:val="20"/>
                <w:color w:val="auto"/>
              </w:rPr>
            </w:pPr>
            <w:r>
              <w:rPr>
                <w:rFonts w:ascii="Times New Roman" w:cs="Times New Roman" w:eastAsia="Times New Roman" w:hAnsi="Times New Roman"/>
                <w:sz w:val="18"/>
                <w:szCs w:val="18"/>
                <w:color w:val="auto"/>
              </w:rPr>
              <w:t>SCHEDULE 1.1B</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260" w:type="dxa"/>
            <w:vAlign w:val="bottom"/>
            <w:gridSpan w:val="2"/>
          </w:tcPr>
          <w:p>
            <w:pPr>
              <w:jc w:val="center"/>
              <w:ind w:left="5188"/>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260" w:type="dxa"/>
            <w:vAlign w:val="bottom"/>
            <w:gridSpan w:val="2"/>
          </w:tcPr>
          <w:p>
            <w:pPr>
              <w:jc w:val="center"/>
              <w:ind w:left="5188"/>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465"/>
        </w:trPr>
        <w:tc>
          <w:tcPr>
            <w:tcW w:w="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INITIAL EXCLUDED SUBSIDIARIES</w:t>
            </w:r>
          </w:p>
        </w:tc>
        <w:tc>
          <w:tcPr>
            <w:tcW w:w="0" w:type="dxa"/>
            <w:vAlign w:val="bottom"/>
          </w:tcPr>
          <w:p>
            <w:pPr>
              <w:spacing w:after="0"/>
              <w:rPr>
                <w:sz w:val="1"/>
                <w:szCs w:val="1"/>
                <w:color w:val="auto"/>
              </w:rPr>
            </w:pPr>
          </w:p>
        </w:tc>
      </w:tr>
      <w:tr>
        <w:trPr>
          <w:trHeight w:val="361"/>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6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634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85"/>
        </w:trPr>
        <w:tc>
          <w:tcPr>
            <w:tcW w:w="9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Cruise LLC</w:t>
            </w:r>
          </w:p>
        </w:tc>
        <w:tc>
          <w:tcPr>
            <w:tcW w:w="28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9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China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Ventures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Services Detroit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Canada Holdings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Regional Holdings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GMGP Holdings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Maven Drive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Cruise Holdings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Global Services Corporation</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Solutions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BrightDrop Vehicle Distribution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 Insurance Holdings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National Insurance Company</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Insurance Services, Inc.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Property and Casualty Insurance Company</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OnStar Indemnity Company</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Stellar Connected Claims Services,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Protections, LLC</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Financial Insurance Company</w:t>
            </w:r>
          </w:p>
        </w:tc>
        <w:tc>
          <w:tcPr>
            <w:tcW w:w="63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Motors Energy LLC</w:t>
            </w:r>
          </w:p>
        </w:tc>
        <w:tc>
          <w:tcPr>
            <w:tcW w:w="63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43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Agreement Schedule 1.1B</w:t>
            </w:r>
          </w:p>
        </w:tc>
        <w:tc>
          <w:tcPr>
            <w:tcW w:w="6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5" w:name="page126"/>
    <w:bookmarkEnd w:id="125"/>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SCHEDULE 1.1C</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center"/>
              <w:ind w:right="719"/>
              <w:spacing w:after="0"/>
              <w:rPr>
                <w:sz w:val="20"/>
                <w:szCs w:val="20"/>
                <w:color w:val="auto"/>
              </w:rPr>
            </w:pPr>
            <w:r>
              <w:rPr>
                <w:rFonts w:ascii="Times New Roman" w:cs="Times New Roman" w:eastAsia="Times New Roman" w:hAnsi="Times New Roman"/>
                <w:sz w:val="18"/>
                <w:szCs w:val="18"/>
                <w:color w:val="auto"/>
                <w:w w:val="99"/>
              </w:rPr>
              <w:t>to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Credit Agreement</w:t>
            </w:r>
          </w:p>
        </w:tc>
        <w:tc>
          <w:tcPr>
            <w:tcW w:w="0" w:type="dxa"/>
            <w:vAlign w:val="bottom"/>
          </w:tcPr>
          <w:p>
            <w:pPr>
              <w:spacing w:after="0"/>
              <w:rPr>
                <w:sz w:val="1"/>
                <w:szCs w:val="1"/>
                <w:color w:val="auto"/>
              </w:rPr>
            </w:pPr>
          </w:p>
        </w:tc>
      </w:tr>
      <w:tr>
        <w:trPr>
          <w:trHeight w:val="465"/>
        </w:trPr>
        <w:tc>
          <w:tcPr>
            <w:tcW w:w="1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8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auto"/>
              </w:rPr>
              <w:t>PRICING GRID</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Margin for Daily</w:t>
            </w: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Simple SOFR</w:t>
            </w: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S&amp;P / Moody’s / Fitch</w:t>
            </w:r>
          </w:p>
        </w:tc>
        <w:tc>
          <w:tcPr>
            <w:tcW w:w="46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Loans and Term</w:t>
            </w:r>
          </w:p>
        </w:tc>
        <w:tc>
          <w:tcPr>
            <w:tcW w:w="96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Margin</w:t>
            </w:r>
          </w:p>
        </w:tc>
        <w:tc>
          <w:tcPr>
            <w:tcW w:w="0" w:type="dxa"/>
            <w:vAlign w:val="bottom"/>
          </w:tcPr>
          <w:p>
            <w:pPr>
              <w:spacing w:after="0"/>
              <w:rPr>
                <w:sz w:val="1"/>
                <w:szCs w:val="1"/>
                <w:color w:val="auto"/>
              </w:rPr>
            </w:pPr>
          </w:p>
        </w:tc>
      </w:tr>
      <w:tr>
        <w:trPr>
          <w:trHeight w:val="146"/>
        </w:trPr>
        <w:tc>
          <w:tcPr>
            <w:tcW w:w="3200" w:type="dxa"/>
            <w:vAlign w:val="bottom"/>
            <w:gridSpan w:val="2"/>
            <w:vMerge w:val="continue"/>
          </w:tcPr>
          <w:p>
            <w:pPr>
              <w:spacing w:after="0"/>
              <w:rPr>
                <w:sz w:val="12"/>
                <w:szCs w:val="12"/>
                <w:color w:val="auto"/>
              </w:rPr>
            </w:pPr>
          </w:p>
        </w:tc>
        <w:tc>
          <w:tcPr>
            <w:tcW w:w="462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9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Applicable Rating</w:t>
            </w:r>
          </w:p>
        </w:tc>
        <w:tc>
          <w:tcPr>
            <w:tcW w:w="20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ABR Loans</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A-/A3/A-</w:t>
            </w:r>
          </w:p>
        </w:tc>
        <w:tc>
          <w:tcPr>
            <w:tcW w:w="46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c>
          <w:tcPr>
            <w:tcW w:w="9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Baa1 / BBB+</w:t>
            </w:r>
          </w:p>
        </w:tc>
        <w:tc>
          <w:tcPr>
            <w:tcW w:w="5680" w:type="dxa"/>
            <w:vAlign w:val="bottom"/>
            <w:gridSpan w:val="2"/>
          </w:tcPr>
          <w:p>
            <w:pPr>
              <w:jc w:val="center"/>
              <w:ind w:left="4528"/>
              <w:spacing w:after="0"/>
              <w:rPr>
                <w:sz w:val="20"/>
                <w:szCs w:val="20"/>
                <w:color w:val="auto"/>
              </w:rPr>
            </w:pPr>
            <w:r>
              <w:rPr>
                <w:rFonts w:ascii="Times New Roman" w:cs="Times New Roman" w:eastAsia="Times New Roman" w:hAnsi="Times New Roman"/>
                <w:sz w:val="18"/>
                <w:szCs w:val="18"/>
                <w:color w:val="auto"/>
                <w:w w:val="97"/>
              </w:rPr>
              <w:t>[***]</w:t>
            </w:r>
          </w:p>
        </w:tc>
        <w:tc>
          <w:tcPr>
            <w:tcW w:w="21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 / Baa2 / BBB</w:t>
            </w:r>
          </w:p>
        </w:tc>
        <w:tc>
          <w:tcPr>
            <w:tcW w:w="5680" w:type="dxa"/>
            <w:vAlign w:val="bottom"/>
            <w:gridSpan w:val="2"/>
            <w:shd w:val="clear" w:color="auto" w:fill="CCEEFF"/>
          </w:tcPr>
          <w:p>
            <w:pPr>
              <w:jc w:val="center"/>
              <w:ind w:left="4528"/>
              <w:spacing w:after="0"/>
              <w:rPr>
                <w:sz w:val="20"/>
                <w:szCs w:val="20"/>
                <w:color w:val="auto"/>
              </w:rPr>
            </w:pPr>
            <w:r>
              <w:rPr>
                <w:rFonts w:ascii="Times New Roman" w:cs="Times New Roman" w:eastAsia="Times New Roman" w:hAnsi="Times New Roman"/>
                <w:sz w:val="18"/>
                <w:szCs w:val="18"/>
                <w:color w:val="auto"/>
                <w:w w:val="97"/>
              </w:rPr>
              <w:t>[***]</w:t>
            </w:r>
          </w:p>
        </w:tc>
        <w:tc>
          <w:tcPr>
            <w:tcW w:w="21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BBB- / Baa3 / BBB-</w:t>
            </w:r>
          </w:p>
        </w:tc>
        <w:tc>
          <w:tcPr>
            <w:tcW w:w="5680" w:type="dxa"/>
            <w:vAlign w:val="bottom"/>
            <w:gridSpan w:val="2"/>
          </w:tcPr>
          <w:p>
            <w:pPr>
              <w:jc w:val="center"/>
              <w:ind w:left="4528"/>
              <w:spacing w:after="0"/>
              <w:rPr>
                <w:sz w:val="20"/>
                <w:szCs w:val="20"/>
                <w:color w:val="auto"/>
              </w:rPr>
            </w:pPr>
            <w:r>
              <w:rPr>
                <w:rFonts w:ascii="Times New Roman" w:cs="Times New Roman" w:eastAsia="Times New Roman" w:hAnsi="Times New Roman"/>
                <w:sz w:val="18"/>
                <w:szCs w:val="18"/>
                <w:color w:val="auto"/>
                <w:w w:val="97"/>
              </w:rPr>
              <w:t>[***]</w:t>
            </w:r>
          </w:p>
        </w:tc>
        <w:tc>
          <w:tcPr>
            <w:tcW w:w="214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BB+ / Ba1 / BB+</w:t>
            </w:r>
          </w:p>
        </w:tc>
        <w:tc>
          <w:tcPr>
            <w:tcW w:w="5680" w:type="dxa"/>
            <w:vAlign w:val="bottom"/>
            <w:gridSpan w:val="2"/>
            <w:shd w:val="clear" w:color="auto" w:fill="CCEEFF"/>
          </w:tcPr>
          <w:p>
            <w:pPr>
              <w:jc w:val="center"/>
              <w:ind w:left="4528"/>
              <w:spacing w:after="0"/>
              <w:rPr>
                <w:sz w:val="20"/>
                <w:szCs w:val="20"/>
                <w:color w:val="auto"/>
              </w:rPr>
            </w:pPr>
            <w:r>
              <w:rPr>
                <w:rFonts w:ascii="Times New Roman" w:cs="Times New Roman" w:eastAsia="Times New Roman" w:hAnsi="Times New Roman"/>
                <w:sz w:val="18"/>
                <w:szCs w:val="18"/>
                <w:color w:val="auto"/>
                <w:w w:val="97"/>
              </w:rPr>
              <w:t>[***]</w:t>
            </w:r>
          </w:p>
        </w:tc>
        <w:tc>
          <w:tcPr>
            <w:tcW w:w="214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Changes in the Applicable Margin set forth in the pricing grid above shall become effective on the date on which S&amp;P, Moody’s and/or Fitch changes the rating it has issued with respect to the Company’s senior unsecured debt rating. Each such change in the Applicable Margin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1.1C</w:t>
      </w:r>
    </w:p>
    <w:p>
      <w:pPr>
        <w:sectPr>
          <w:pgSz w:w="11900" w:h="16838" w:orient="portrait"/>
          <w:cols w:equalWidth="0" w:num="1">
            <w:col w:w="11020"/>
          </w:cols>
          <w:pgMar w:left="440" w:top="270" w:right="439" w:bottom="1440" w:gutter="0" w:footer="0" w:header="0"/>
        </w:sectPr>
      </w:pPr>
    </w:p>
    <w:bookmarkStart w:id="126" w:name="page127"/>
    <w:bookmarkEnd w:id="126"/>
    <w:p>
      <w:pPr>
        <w:jc w:val="center"/>
        <w:ind w:left="90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1.1D</w:t>
      </w:r>
    </w:p>
    <w:p>
      <w:pPr>
        <w:spacing w:after="0" w:line="3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EXISTING LIENS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reflected in the lien search results, dated as of November 27, 2023 delivered to the Administrative Agent prior to the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1.1D</w:t>
      </w:r>
    </w:p>
    <w:p>
      <w:pPr>
        <w:sectPr>
          <w:pgSz w:w="11900" w:h="16838" w:orient="portrait"/>
          <w:cols w:equalWidth="0" w:num="1">
            <w:col w:w="10700"/>
          </w:cols>
          <w:pgMar w:left="440" w:top="270" w:right="759" w:bottom="1440" w:gutter="0" w:footer="0" w:header="0"/>
        </w:sectPr>
      </w:pPr>
    </w:p>
    <w:bookmarkStart w:id="127" w:name="page128"/>
    <w:bookmarkEnd w:id="127"/>
    <w:p>
      <w:pPr>
        <w:jc w:val="center"/>
        <w:ind w:left="90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1.1E</w:t>
      </w:r>
    </w:p>
    <w:p>
      <w:pPr>
        <w:spacing w:after="0" w:line="39"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EXCLUDED SUBSIDIARY BUSINESSES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1.1E</w:t>
      </w:r>
    </w:p>
    <w:p>
      <w:pPr>
        <w:sectPr>
          <w:pgSz w:w="11900" w:h="16838" w:orient="portrait"/>
          <w:cols w:equalWidth="0" w:num="1">
            <w:col w:w="10680"/>
          </w:cols>
          <w:pgMar w:left="440" w:top="270" w:right="779" w:bottom="1440" w:gutter="0" w:footer="0" w:header="0"/>
        </w:sectPr>
      </w:pPr>
    </w:p>
    <w:bookmarkStart w:id="128" w:name="page129"/>
    <w:bookmarkEnd w:id="128"/>
    <w:p>
      <w:pPr>
        <w:jc w:val="center"/>
        <w:ind w:left="90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4.6</w:t>
      </w:r>
    </w:p>
    <w:p>
      <w:pPr>
        <w:spacing w:after="0" w:line="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4"/>
          <w:szCs w:val="14"/>
          <w:b w:val="1"/>
          <w:bCs w:val="1"/>
          <w:u w:val="single" w:color="auto"/>
          <w:color w:val="auto"/>
        </w:rPr>
        <w:t>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Schedule 4.6</w:t>
      </w:r>
    </w:p>
    <w:p>
      <w:pPr>
        <w:sectPr>
          <w:pgSz w:w="11900" w:h="16838" w:orient="portrait"/>
          <w:cols w:equalWidth="0" w:num="1">
            <w:col w:w="10680"/>
          </w:cols>
          <w:pgMar w:left="440" w:top="270" w:right="779" w:bottom="1440" w:gutter="0" w:footer="0" w:header="0"/>
        </w:sectPr>
      </w:pPr>
    </w:p>
    <w:bookmarkStart w:id="129" w:name="page130"/>
    <w:bookmarkEnd w:id="129"/>
    <w:p>
      <w:pPr>
        <w:jc w:val="center"/>
        <w:ind w:left="90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184785</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227330</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0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made by</w:t>
      </w:r>
    </w:p>
    <w:p>
      <w:pPr>
        <w:spacing w:after="0" w:line="22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 xml:space="preserve">THE SUBSIDIARY GUARANTORS FROM TIME TO TIME PARTIES HERETO, </w:t>
      </w:r>
      <w:r>
        <w:rPr>
          <w:rFonts w:ascii="Times New Roman" w:cs="Times New Roman" w:eastAsia="Times New Roman" w:hAnsi="Times New Roman"/>
          <w:sz w:val="17"/>
          <w:szCs w:val="17"/>
          <w:i w:val="1"/>
          <w:iCs w:val="1"/>
          <w:color w:val="auto"/>
        </w:rPr>
        <w:t>as the Guarantors</w:t>
      </w:r>
    </w:p>
    <w:p>
      <w:pPr>
        <w:spacing w:after="0" w:line="23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in favor of</w:t>
      </w:r>
    </w:p>
    <w:p>
      <w:pPr>
        <w:spacing w:after="0" w:line="22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 xml:space="preserve">BANK OF AMERICA, N.A., </w:t>
      </w:r>
      <w:r>
        <w:rPr>
          <w:rFonts w:ascii="Times New Roman" w:cs="Times New Roman" w:eastAsia="Times New Roman" w:hAnsi="Times New Roman"/>
          <w:sz w:val="18"/>
          <w:szCs w:val="18"/>
          <w:i w:val="1"/>
          <w:iCs w:val="1"/>
          <w:color w:val="auto"/>
        </w:rPr>
        <w:t>as the Administrative Agent</w:t>
      </w:r>
    </w:p>
    <w:p>
      <w:pPr>
        <w:spacing w:after="0" w:line="2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Dated as of [_], [_]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720"/>
          </w:cols>
          <w:pgMar w:left="1440" w:top="266" w:right="7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90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w:t>
            </w:r>
          </w:p>
        </w:tc>
        <w:tc>
          <w:tcPr>
            <w:tcW w:w="9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28"/>
        </w:trPr>
        <w:tc>
          <w:tcPr>
            <w:tcW w:w="780" w:type="dxa"/>
            <w:vAlign w:val="bottom"/>
            <w:vMerge w:val="continue"/>
          </w:tcPr>
          <w:p>
            <w:pPr>
              <w:spacing w:after="0"/>
              <w:rPr>
                <w:sz w:val="19"/>
                <w:szCs w:val="19"/>
                <w:color w:val="auto"/>
              </w:rPr>
            </w:pPr>
          </w:p>
        </w:tc>
        <w:tc>
          <w:tcPr>
            <w:tcW w:w="990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Subrogation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etc. with respect to the Guaranteed Obligations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of Administrative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Electronic Signature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Headings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2"/>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Guarantors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2"/>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ANNEX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I Form of Joinder Agreement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31" w:name="page132"/>
    <w:bookmarkEnd w:id="131"/>
    <w:p>
      <w:pPr>
        <w:ind w:firstLine="991"/>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 AGREEMENT, dated as of [_]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made by each of the Subsidiary Guarantors (such term and certain other capitalized terms used herein being defined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from time to time party hereto, and each of the Other Guarantors from time to time party hereto (together with the Subsidiary Guarantors, collectively, the “</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in favor of BANK OF AMERICA, N.A., as administrative agent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for the lenders (collectively, the “</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from time to time party to that certain 364-Day Delayed Draw Term Loan Credit Agreement, dated as of November 29,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the Lenders, the Administrative Agent, Goldman Sachs Bank USA, as syndication agent (in such capacity, the “</w:t>
      </w:r>
      <w:r>
        <w:rPr>
          <w:rFonts w:ascii="Times New Roman" w:cs="Times New Roman" w:eastAsia="Times New Roman" w:hAnsi="Times New Roman"/>
          <w:sz w:val="17"/>
          <w:szCs w:val="17"/>
          <w:u w:val="single" w:color="auto"/>
          <w:color w:val="auto"/>
        </w:rPr>
        <w:t>Syndication Agent</w:t>
      </w:r>
      <w:r>
        <w:rPr>
          <w:rFonts w:ascii="Times New Roman" w:cs="Times New Roman" w:eastAsia="Times New Roman" w:hAnsi="Times New Roman"/>
          <w:sz w:val="17"/>
          <w:szCs w:val="17"/>
          <w:color w:val="auto"/>
        </w:rPr>
        <w:t>”), and the other agents named therein.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Lenders have severally agreed to make extensions of credit to or for the account of the Company upon the terms and subject to the conditions set forth therein;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is a member of an affiliated group of companies that includes each Guarantor; and</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WHEREAS, each Guarantor will derive substantial direct and indirect benefit from the making of the extensions of credit made by the Lenders to or for the account of the Company under the Credit Agreement;</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to induce the Administrative Agent and the Lenders to enter into the Credit Agreement and to induce the Lenders to make their respective extensions of credit to or for the Company, under the Credit Agreement, each Guarantor hereby agrees with the Administrative Agent, for the benefit of the Guaranteed Parties, as follows: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1DEFINED TERMS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left="440" w:right="80" w:firstLine="419"/>
        <w:spacing w:after="0" w:line="282" w:lineRule="auto"/>
        <w:tabs>
          <w:tab w:leader="none" w:pos="11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assigned to such terms in the Credit Agreement.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following meanings: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132" w:name="page133"/>
    <w:bookmarkEnd w:id="132"/>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means, collectively, the unpaid principal of and interest on the Loans and all other obligations and liabilities of the Company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pursuant to the terms of any of the Loan Documents).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means, collectively, the Administrative Agent, the Lenders, and each other Person that holds a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has the meaning assigned to such term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xml:space="preserve">” means each Person, other than the Subsidiary Guarantors party to this Agreement on the date hereof or the Administrative Agent, that becomes a party to this Agreement pursuant to a Joinder Agreement executed and delivered by such Person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80"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each Principal Domestic Subsidiary that became a party to this Agreement pursuant to Sections 6.6(a) or 10.1(b) of the Credit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Provisions.</w:t>
      </w:r>
    </w:p>
    <w:p>
      <w:pPr>
        <w:spacing w:after="0" w:line="117" w:lineRule="exact"/>
        <w:rPr>
          <w:sz w:val="20"/>
          <w:szCs w:val="20"/>
          <w:color w:val="auto"/>
        </w:rPr>
      </w:pPr>
    </w:p>
    <w:p>
      <w:pPr>
        <w:ind w:left="440" w:right="400" w:firstLine="419"/>
        <w:spacing w:after="0" w:line="266" w:lineRule="auto"/>
        <w:tabs>
          <w:tab w:leader="none" w:pos="110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to agreements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2GUARANTEE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Guarantee.</w:t>
      </w:r>
    </w:p>
    <w:p>
      <w:pPr>
        <w:spacing w:after="0" w:line="117" w:lineRule="exact"/>
        <w:rPr>
          <w:sz w:val="20"/>
          <w:szCs w:val="20"/>
          <w:color w:val="auto"/>
        </w:rPr>
      </w:pPr>
    </w:p>
    <w:p>
      <w:pPr>
        <w:jc w:val="both"/>
        <w:ind w:left="440" w:right="40" w:firstLine="419"/>
        <w:spacing w:after="0" w:line="261" w:lineRule="auto"/>
        <w:tabs>
          <w:tab w:leader="none" w:pos="11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when due (whether at the stated maturity, by acceleration or otherwise) and at all times thereafter, of all Guaranteed Obligations.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the Guaranteed Obligations may at any time and from time to time exceed the amount of the liability of such Guarantor hereunder without impairing the guarantee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affecting the rights and remedies of the Guaranteed Parties hereunder.</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312" w:lineRule="auto"/>
        <w:tabs>
          <w:tab w:leader="none" w:pos="1118"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guarantee contained in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shall remain in full force and effect until all the Guaranteed Obligations shall have been paid in full, notwithstanding that from time to time during the term of the Credit Agreement, the Company may be free from any Guaranteed Obligations.</w:t>
      </w:r>
    </w:p>
    <w:p>
      <w:pPr>
        <w:spacing w:after="0" w:line="31" w:lineRule="exact"/>
        <w:rPr>
          <w:rFonts w:ascii="Times New Roman" w:cs="Times New Roman" w:eastAsia="Times New Roman" w:hAnsi="Times New Roman"/>
          <w:sz w:val="17"/>
          <w:szCs w:val="17"/>
          <w:color w:val="auto"/>
        </w:rPr>
      </w:pPr>
    </w:p>
    <w:p>
      <w:pPr>
        <w:ind w:left="440" w:right="80" w:firstLine="419"/>
        <w:spacing w:after="0" w:line="255" w:lineRule="auto"/>
        <w:tabs>
          <w:tab w:leader="none" w:pos="11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made by the Company, any of the Guarantors, any other guarantor or any other Person, or received or collected by any Guaranteed Party from the Company,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Right of Contribution.</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34" w:name="page135"/>
    <w:bookmarkEnd w:id="13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No Subrogation.</w:t>
      </w:r>
    </w:p>
    <w:p>
      <w:pPr>
        <w:spacing w:after="0" w:line="225"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color w:val="auto"/>
        </w:rPr>
        <w:t>Notwithstanding any payment made by any Guarantor hereunder or any set-off or application of funds of any Guarantor by any Guaranteed Party, no Guarantor shall be entitled to be subrogated to any of the rights of any Guaranteed Party against the Company or any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or any Guarantor in respect of payments made by such Guarantor hereunder, until all amounts owing to the Guaranteed Parties by the Company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Amendments, etc. with respect to the Guaranteed Obligations.</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Guarantee Absolute and Unconditional.</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w:t>
      </w:r>
    </w:p>
    <w:p>
      <w:pPr>
        <w:spacing w:after="0" w:line="5" w:lineRule="exact"/>
        <w:rPr>
          <w:sz w:val="20"/>
          <w:szCs w:val="20"/>
          <w:color w:val="auto"/>
        </w:rPr>
      </w:pPr>
    </w:p>
    <w:p>
      <w:pPr>
        <w:ind w:left="4" w:right="240" w:hanging="4"/>
        <w:spacing w:after="0" w:line="255" w:lineRule="auto"/>
        <w:tabs>
          <w:tab w:leader="none" w:pos="2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set-off or counterclaim (other than a defense of payment or performance) which may at any time be available to or be asserted by the Company or any other Person against any Guaranteed Party, (c) any law or regulation of any jurisdiction or any other event affecting any term of the Guaranteed Obligations or (d) any other circumstance whatsoever (with or without notice to or knowledge of the Company or such Guarantor)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35" w:name="page136"/>
    <w:bookmarkEnd w:id="13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constitutes, or might be construed to constitute, an equitable or legal discharge or defense of a surety or guarantor or any other obligor on any obligation of the Company for any of the Guaranteed Obligations, or of such Guarantor under the guarantee contained herein, in bankruptcy or in any other instance. Notwithstanding anything herein to the contrary, each of the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Guarantor or any other Person or to realize upon any such collateral security or guarantee or to exercise any such right of offset, or any release of the Company, any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Reinstatement.</w:t>
      </w:r>
    </w:p>
    <w:p>
      <w:pPr>
        <w:spacing w:after="0" w:line="225"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Payments.</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3MISCELLANEOUS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Administrative Agent.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6" w:name="page137"/>
    <w:bookmarkEnd w:id="1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Amendments in Writing.</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None of the terms or provisions of this Agreement may be waived, amended, supplemented or otherwise modified except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All notices, requests and demands to or upon the Administrative Agent or any Guarantor hereunder shall be effected in the manner provided for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provided, that any such notice, request or demand to or upon any Guarantor shall be addressed to the Company at the addresses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Credit Agreement (or such other address as the Company may at any time or from time to time provide for purposes of the Credit Agreement and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Waiver by Course of Conduct; Cumulative Remedies.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 Guaranteed Party shall by any act (except by a written instrument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Enforcement Expenses; Indemnification.</w:t>
      </w:r>
    </w:p>
    <w:p>
      <w:pPr>
        <w:spacing w:after="0" w:line="225" w:lineRule="exact"/>
        <w:rPr>
          <w:sz w:val="20"/>
          <w:szCs w:val="20"/>
          <w:color w:val="auto"/>
        </w:rPr>
      </w:pPr>
    </w:p>
    <w:p>
      <w:pPr>
        <w:ind w:right="120" w:firstLine="436"/>
        <w:spacing w:after="0" w:line="258"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intending to duplicate the obligations of the Guarantors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and to the extent that the Company is required to pay or reimburse the Guaranteed Parties (or any of them), for various costs and expenses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or to indemnify the Indemnitees (or any of them) for the Indemnified Liabilities, in each case as and to the extent (and in the manner) contemplated by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 Credit Agreement, each Guarantor, jointly and severally, hereby agrees to make such payments or reimbursements and to provide such indemnification.</w:t>
      </w:r>
    </w:p>
    <w:p>
      <w:pPr>
        <w:spacing w:after="0" w:line="183"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of each Guarantor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shall survive repayment of the Guaranteed Obligations and all other amounts payable under the Credit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Successors and Assigns.</w:t>
      </w:r>
    </w:p>
    <w:p>
      <w:pPr>
        <w:spacing w:after="0" w:line="225"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Counterparts; Electronic Signature.</w:t>
      </w:r>
    </w:p>
    <w:p>
      <w:pPr>
        <w:spacing w:after="0" w:line="225" w:lineRule="exact"/>
        <w:rPr>
          <w:sz w:val="20"/>
          <w:szCs w:val="20"/>
          <w:color w:val="auto"/>
        </w:rPr>
      </w:pPr>
    </w:p>
    <w:p>
      <w:pPr>
        <w:ind w:right="20" w:firstLine="991"/>
        <w:spacing w:after="0" w:line="270" w:lineRule="auto"/>
        <w:rPr>
          <w:sz w:val="20"/>
          <w:szCs w:val="20"/>
          <w:color w:val="auto"/>
        </w:rPr>
      </w:pPr>
      <w:r>
        <w:rPr>
          <w:rFonts w:ascii="Times New Roman" w:cs="Times New Roman" w:eastAsia="Times New Roman" w:hAnsi="Times New Roman"/>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7"/>
          <w:szCs w:val="17"/>
          <w:u w:val="single" w:color="auto"/>
          <w:color w:val="auto"/>
        </w:rPr>
        <w:t>Electronic Signature</w:t>
      </w:r>
      <w:r>
        <w:rPr>
          <w:rFonts w:ascii="Times New Roman" w:cs="Times New Roman" w:eastAsia="Times New Roman" w:hAnsi="Times New Roman"/>
          <w:sz w:val="17"/>
          <w:szCs w:val="17"/>
          <w:color w:val="auto"/>
        </w:rPr>
        <w:t xml:space="preserve">”,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The provisions of Section 10.8 of the Credit Agreement are hereby incorporated herein,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Section Headings.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Section headings used in this Agreement are for convenience of reference only and are not to affect the construction hereof or be taken into consideration in the interpretation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Integration.</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u w:val="single" w:color="auto"/>
          <w:color w:val="auto"/>
        </w:rPr>
        <w:t>GOVERNING LAW.</w:t>
      </w:r>
    </w:p>
    <w:p>
      <w:pPr>
        <w:spacing w:after="0" w:line="225" w:lineRule="exact"/>
        <w:rPr>
          <w:sz w:val="20"/>
          <w:szCs w:val="20"/>
          <w:color w:val="auto"/>
        </w:rPr>
      </w:pPr>
    </w:p>
    <w:p>
      <w:pPr>
        <w:ind w:right="18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THIS AGREEMENT AND THE RIGHTS AND OBLIGATIONS OF THE PARTIES UNDER THIS AGREEMENT SHALL BE GOVERNED BY, AND CONSTRUED AND INTERPRETED IN ACCORDANCE WITH, THE LAW OF THE STATE OF NEW YORK.</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Submission To Jurisdiction; Waivers.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Guarantor hereby irrevocably and unconditionally:</w:t>
      </w:r>
    </w:p>
    <w:p>
      <w:pPr>
        <w:spacing w:after="0" w:line="117" w:lineRule="exact"/>
        <w:rPr>
          <w:sz w:val="20"/>
          <w:szCs w:val="20"/>
          <w:color w:val="auto"/>
        </w:rPr>
      </w:pPr>
    </w:p>
    <w:p>
      <w:pPr>
        <w:jc w:val="both"/>
        <w:ind w:left="440" w:right="100" w:firstLine="419"/>
        <w:spacing w:after="0" w:line="261"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38" w:name="page139"/>
    <w:bookmarkEnd w:id="138"/>
    <w:p>
      <w:pPr>
        <w:ind w:left="440" w:right="40" w:firstLine="419"/>
        <w:spacing w:after="0" w:line="266"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67" w:lineRule="exact"/>
        <w:rPr>
          <w:rFonts w:ascii="Times New Roman" w:cs="Times New Roman" w:eastAsia="Times New Roman" w:hAnsi="Times New Roman"/>
          <w:sz w:val="18"/>
          <w:szCs w:val="18"/>
          <w:color w:val="auto"/>
        </w:rPr>
      </w:pPr>
    </w:p>
    <w:p>
      <w:pPr>
        <w:jc w:val="both"/>
        <w:ind w:left="440" w:right="140" w:firstLine="419"/>
        <w:spacing w:after="0" w:line="266"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at such other address of which the Administrative Agent shall have been notified pursuant thereto;</w:t>
      </w:r>
    </w:p>
    <w:p>
      <w:pPr>
        <w:spacing w:after="0" w:line="6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irrevocably designates the Company (and the Company hereby irrevocably accepts such designation) as its agent to receive service of process in any such action or proceeding;</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8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Judgment.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parties hereto agree that Section 10.13 of the Credit Agreement shall apply to the obligations of the Guarantors hereunder, </w:t>
      </w:r>
      <w:r>
        <w:rPr>
          <w:rFonts w:ascii="Times New Roman" w:cs="Times New Roman" w:eastAsia="Times New Roman" w:hAnsi="Times New Roman"/>
          <w:sz w:val="18"/>
          <w:szCs w:val="18"/>
          <w:i w:val="1"/>
          <w:iCs w:val="1"/>
          <w:color w:val="auto"/>
        </w:rPr>
        <w:t>mutatis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Additional Guarantors.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Subsidiary of the Company that is required to become a party to this Agreement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the Credit Agreement, and each other Person (whether or not a Subsidiary of the Company) that the Company desires to become a party to this Agreement pursuant to</w:t>
      </w: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Section 10.1(b) of the Credit Agreement or otherwise, shall become a Guarantor for all purposes of this Agreement upon execution and delivery by such Subsidiary or other Person of a Joinder Agreement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Releases.</w:t>
      </w:r>
    </w:p>
    <w:p>
      <w:pPr>
        <w:spacing w:after="0" w:line="117" w:lineRule="exact"/>
        <w:rPr>
          <w:sz w:val="20"/>
          <w:szCs w:val="20"/>
          <w:color w:val="auto"/>
        </w:rPr>
      </w:pPr>
    </w:p>
    <w:p>
      <w:pPr>
        <w:ind w:left="440" w:right="160" w:firstLine="419"/>
        <w:spacing w:after="0" w:line="266" w:lineRule="auto"/>
        <w:tabs>
          <w:tab w:leader="none" w:pos="11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satisfaction of the conditions set forth in </w:t>
      </w:r>
      <w:r>
        <w:rPr>
          <w:rFonts w:ascii="Times New Roman" w:cs="Times New Roman" w:eastAsia="Times New Roman" w:hAnsi="Times New Roman"/>
          <w:sz w:val="18"/>
          <w:szCs w:val="18"/>
          <w:u w:val="single" w:color="auto"/>
          <w:color w:val="auto"/>
        </w:rPr>
        <w:t>Section 10.15(c)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9" w:name="page140"/>
    <w:bookmarkEnd w:id="1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3.16. </w:t>
      </w:r>
      <w:r>
        <w:rPr>
          <w:rFonts w:ascii="Times New Roman" w:cs="Times New Roman" w:eastAsia="Times New Roman" w:hAnsi="Times New Roman"/>
          <w:sz w:val="18"/>
          <w:szCs w:val="18"/>
          <w:b w:val="1"/>
          <w:bCs w:val="1"/>
          <w:u w:val="single" w:color="auto"/>
          <w:color w:val="auto"/>
        </w:rPr>
        <w:t>WAIVER OF JURY TRIAL.</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7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w:t>
      </w:r>
    </w:p>
    <w:p>
      <w:pPr>
        <w:spacing w:after="0" w:line="1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40"/>
          </w:cols>
          <w:pgMar w:left="440" w:top="266" w:right="719" w:bottom="1440" w:gutter="0" w:footer="0" w:header="0"/>
        </w:sectPr>
      </w:pPr>
    </w:p>
    <w:bookmarkStart w:id="140" w:name="page141"/>
    <w:bookmarkEnd w:id="140"/>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[SUBSIDIARY GUARANTORS]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-7620</wp:posOffset>
            </wp:positionV>
            <wp:extent cx="22282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128905</wp:posOffset>
            </wp:positionV>
            <wp:extent cx="1143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-7620</wp:posOffset>
            </wp:positionV>
            <wp:extent cx="22282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128905</wp:posOffset>
            </wp:positionV>
            <wp:extent cx="1714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Page to 364-Day Guarantee Agreement</w:t>
      </w:r>
    </w:p>
    <w:p>
      <w:pPr>
        <w:sectPr>
          <w:pgSz w:w="11900" w:h="16838" w:orient="portrait"/>
          <w:cols w:equalWidth="0" w:num="1">
            <w:col w:w="10960"/>
          </w:cols>
          <w:pgMar w:left="440" w:top="270"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BANK OF AMERICA, N.A., </w:t>
      </w:r>
      <w:r>
        <w:rPr>
          <w:rFonts w:ascii="Times New Roman" w:cs="Times New Roman" w:eastAsia="Times New Roman" w:hAnsi="Times New Roman"/>
          <w:sz w:val="18"/>
          <w:szCs w:val="18"/>
          <w:i w:val="1"/>
          <w:iCs w:val="1"/>
          <w:color w:val="auto"/>
        </w:rPr>
        <w:t>as the Administrative Agent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right"/>
        <w:ind w:right="1599"/>
        <w:spacing w:after="0"/>
        <w:rPr>
          <w:sz w:val="20"/>
          <w:szCs w:val="20"/>
          <w:color w:val="auto"/>
        </w:rPr>
      </w:pPr>
      <w:r>
        <w:rPr>
          <w:rFonts w:ascii="Times New Roman" w:cs="Times New Roman" w:eastAsia="Times New Roman" w:hAnsi="Times New Roman"/>
          <w:sz w:val="18"/>
          <w:szCs w:val="18"/>
          <w:b w:val="1"/>
          <w:bCs w:val="1"/>
          <w:color w:val="auto"/>
        </w:rPr>
        <w:t>Signature Page to 364-Day Delayed Draw Term Loan Guarantee Agreement</w:t>
      </w:r>
    </w:p>
    <w:p>
      <w:pPr>
        <w:sectPr>
          <w:pgSz w:w="11900" w:h="16838" w:orient="portrait"/>
          <w:cols w:equalWidth="0" w:num="1">
            <w:col w:w="10019"/>
          </w:cols>
          <w:pgMar w:left="440" w:top="270" w:right="1440" w:bottom="1440" w:gutter="0" w:footer="0" w:header="0"/>
        </w:sectPr>
      </w:pPr>
    </w:p>
    <w:bookmarkStart w:id="142" w:name="page143"/>
    <w:bookmarkEnd w:id="142"/>
    <w:p>
      <w:pPr>
        <w:jc w:val="center"/>
        <w:ind w:left="6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w:t>
      </w:r>
    </w:p>
    <w:p>
      <w:pPr>
        <w:spacing w:after="0" w:line="2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Guarantee 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JOINDER AGREEMENT, dated as of ________________, 20__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made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 (the “</w:t>
      </w:r>
      <w:r>
        <w:rPr>
          <w:rFonts w:ascii="Times New Roman" w:cs="Times New Roman" w:eastAsia="Times New Roman" w:hAnsi="Times New Roman"/>
          <w:sz w:val="18"/>
          <w:szCs w:val="18"/>
          <w:u w:val="single" w:color="auto"/>
          <w:color w:val="auto"/>
        </w:rPr>
        <w:t>Additional Guarantor</w:t>
      </w:r>
      <w:r>
        <w:rPr>
          <w:rFonts w:ascii="Times New Roman" w:cs="Times New Roman" w:eastAsia="Times New Roman" w:hAnsi="Times New Roman"/>
          <w:sz w:val="18"/>
          <w:szCs w:val="18"/>
          <w:color w:val="auto"/>
        </w:rPr>
        <w:t>”), in favor of Bank of America, N.A., as administrative agent (in such capacity, the</w:t>
      </w:r>
    </w:p>
    <w:p>
      <w:pPr>
        <w:spacing w:after="0" w:line="9"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WHEREAS, pursuant to the terms of the certain 364-Day Delayed Draw Term Loan Credit Agreement, dated as of November 29,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Lenders, the Administrative Agent, Goldman Sachs Bank USA, as syndication agent, and the other agents named therein, the Subsidiary Guarantors (together with the other Persons party to the Guarantee Agreement (as defined below) as guarantors,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entered into the Guarantee Agreement, dated as of [_], [_]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the Additional Guarantor desires to become a party to the Guarantee Agreement in accordance with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firstLine="987"/>
        <w:spacing w:after="0" w:line="261" w:lineRule="auto"/>
        <w:tabs>
          <w:tab w:leader="none" w:pos="11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By executing and delivering this Joinder Agreement, the Additional Guarantor, as provided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w:t>
      </w:r>
    </w:p>
    <w:p>
      <w:pPr>
        <w:spacing w:after="0" w:line="175" w:lineRule="exact"/>
        <w:rPr>
          <w:rFonts w:ascii="Times New Roman" w:cs="Times New Roman" w:eastAsia="Times New Roman" w:hAnsi="Times New Roman"/>
          <w:sz w:val="18"/>
          <w:szCs w:val="18"/>
          <w:color w:val="auto"/>
        </w:rPr>
      </w:pPr>
    </w:p>
    <w:p>
      <w:pPr>
        <w:ind w:right="320" w:firstLine="987"/>
        <w:spacing w:after="0" w:line="268" w:lineRule="auto"/>
        <w:tabs>
          <w:tab w:leader="none" w:pos="11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JOINDER AGREEMENT AND THE RIGHTS AND OBLIGATIONS OF THE PARTIES HEREUNDER SHALL BE GOVERNED BY, AND CONSTRUED AND INTERPRETED IN ACCORDANCE WITH, THE LAW OF THE STATE OF NEW YORK.</w:t>
      </w:r>
    </w:p>
    <w:p>
      <w:pPr>
        <w:sectPr>
          <w:pgSz w:w="11900" w:h="16838" w:orient="portrait"/>
          <w:cols w:equalWidth="0" w:num="1">
            <w:col w:w="11000"/>
          </w:cols>
          <w:pgMar w:left="440" w:top="270" w:right="459" w:bottom="1440" w:gutter="0" w:footer="0" w:header="0"/>
        </w:sectPr>
      </w:pPr>
    </w:p>
    <w:bookmarkStart w:id="143" w:name="page144"/>
    <w:bookmarkEnd w:id="143"/>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has caused this Joinder Agreement to be duly executed and delivered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[ADDITIONAL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60"/>
          </w:cols>
          <w:pgMar w:left="440" w:top="270"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SET FORTH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BANK OF AMERICA, N.A., </w:t>
      </w:r>
      <w:r>
        <w:rPr>
          <w:rFonts w:ascii="Times New Roman" w:cs="Times New Roman" w:eastAsia="Times New Roman" w:hAnsi="Times New Roman"/>
          <w:sz w:val="17"/>
          <w:szCs w:val="17"/>
          <w:i w:val="1"/>
          <w:iCs w:val="1"/>
          <w:color w:val="auto"/>
        </w:rPr>
        <w:t>as the Administrative Agent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145" w:name="page146"/>
    <w:bookmarkEnd w:id="145"/>
    <w:p>
      <w:pPr>
        <w:jc w:val="center"/>
        <w:ind w:left="61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019"/>
          </w:cols>
          <w:pgMar w:left="1440" w:top="266" w:right="1440" w:bottom="1440" w:gutter="0" w:footer="0" w:header="0"/>
        </w:sectPr>
      </w:pPr>
    </w:p>
    <w:bookmarkStart w:id="146" w:name="page147"/>
    <w:bookmarkEnd w:id="146"/>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019"/>
          </w:cols>
          <w:pgMar w:left="1440" w:top="266" w:right="1440" w:bottom="1440" w:gutter="0" w:footer="0" w:header="0"/>
        </w:sectPr>
      </w:pPr>
    </w:p>
    <w:bookmarkStart w:id="147" w:name="page148"/>
    <w:bookmarkEnd w:id="147"/>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019"/>
          </w:cols>
          <w:pgMar w:left="1440" w:top="266" w:right="1440" w:bottom="1440" w:gutter="0" w:footer="0" w:header="0"/>
        </w:sectPr>
      </w:pPr>
    </w:p>
    <w:bookmarkStart w:id="148" w:name="page149"/>
    <w:bookmarkEnd w:id="148"/>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019"/>
          </w:cols>
          <w:pgMar w:left="1440" w:top="266" w:right="1440" w:bottom="1440" w:gutter="0" w:footer="0" w:header="0"/>
        </w:sectPr>
      </w:pPr>
    </w:p>
    <w:bookmarkStart w:id="149" w:name="page150"/>
    <w:bookmarkEnd w:id="149"/>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CLOSING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07"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__________, 20__</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This Certificate is furnished pursuant to Section 5.1(c) of that certain 364-Day Delayed Draw Term Loan Credit Agreement, dated as of November 29,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lenders from time to time party thereto, Bank of America, N.A. as the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Goldman Sachs Bank USA as syndication agent, and the other agents party thereto. Unless otherwise defined herein, capitalized terms used in this Certificate have the meanings assigned to such terms in the Credit Agreement.</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 of the Company, do hereby certify, in the name and on behalf of the Company, and without assuming any personal liability, that:</w:t>
      </w:r>
    </w:p>
    <w:p>
      <w:pPr>
        <w:spacing w:after="0" w:line="162" w:lineRule="exact"/>
        <w:rPr>
          <w:sz w:val="20"/>
          <w:szCs w:val="20"/>
          <w:color w:val="auto"/>
        </w:rPr>
      </w:pPr>
    </w:p>
    <w:p>
      <w:pPr>
        <w:jc w:val="both"/>
        <w:ind w:right="80" w:firstLine="436"/>
        <w:spacing w:after="0" w:line="266" w:lineRule="auto"/>
        <w:tabs>
          <w:tab w:leader="none" w:pos="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 is a true and complete copy of the Certificate of Incorporation of the Company as in effect of the date hereof. There have been no amendments to the Certificate of Incorporation of the Company except for those attached in Annex I, if any, and no action has been taken by the Company, its Board of Directors, or officers in contemplation of liquidation or dissolution of the Company.</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Annex II is a true, correct and complete copy of the by-laws of the Company as in effect on the date hereof.</w:t>
      </w:r>
    </w:p>
    <w:p>
      <w:pPr>
        <w:sectPr>
          <w:pgSz w:w="11900" w:h="16838" w:orient="portrait"/>
          <w:cols w:equalWidth="0" w:num="1">
            <w:col w:w="11020"/>
          </w:cols>
          <w:pgMar w:left="440" w:top="266" w:right="439" w:bottom="1440" w:gutter="0" w:footer="0" w:header="0"/>
        </w:sectPr>
      </w:pPr>
    </w:p>
    <w:bookmarkStart w:id="150" w:name="page151"/>
    <w:bookmarkEnd w:id="150"/>
    <w:p>
      <w:pPr>
        <w:ind w:firstLine="436"/>
        <w:spacing w:after="0" w:line="261" w:lineRule="auto"/>
        <w:tabs>
          <w:tab w:leader="none" w:pos="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ATTACHED HERETO AS ANNEX III IS A TRUE, CORRECT AND COMPLETE COPY OF RESOLUTIONS DULY ADOPTED BY THE BOARD OF DIRECTORS OF THE COMPANY [AT A MEETING THEREOF] [BY WRITTEN CONSENT] AS OF THE ___ DAY OF</w:t>
      </w: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OF THE COMPANY [AT SUCH MEETING].</w:t>
      </w:r>
    </w:p>
    <w:p>
      <w:pPr>
        <w:spacing w:after="0" w:line="189"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900"/>
          </w:cols>
          <w:pgMar w:left="440" w:top="270" w:right="559" w:bottom="1440" w:gutter="0" w:footer="0" w:header="0"/>
        </w:sectPr>
      </w:pPr>
    </w:p>
    <w:bookmarkStart w:id="151" w:name="page152"/>
    <w:bookmarkEnd w:id="15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Witness my hand as of the first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308610</wp:posOffset>
            </wp:positionV>
            <wp:extent cx="27946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 the undersigned, [[Assistant] Secretary][Responsible Officer] of the Company, do hereby certify, in the name and on behalf of the Company, and without assuming any personal liability, that:</w:t>
      </w:r>
    </w:p>
    <w:p>
      <w:pPr>
        <w:spacing w:after="0" w:line="162" w:lineRule="exact"/>
        <w:rPr>
          <w:sz w:val="20"/>
          <w:szCs w:val="20"/>
          <w:color w:val="auto"/>
        </w:rPr>
      </w:pPr>
    </w:p>
    <w:p>
      <w:pPr>
        <w:ind w:left="4" w:right="580" w:firstLine="436"/>
        <w:spacing w:after="0" w:line="282" w:lineRule="auto"/>
        <w:tabs>
          <w:tab w:leader="none" w:pos="62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 is [a] [the] duly elected and qualified [Assistant] Secretary of the Company and the signature above is [his][her] genuine signature.</w:t>
      </w:r>
    </w:p>
    <w:p>
      <w:pPr>
        <w:spacing w:after="0" w:line="161" w:lineRule="exact"/>
        <w:rPr>
          <w:rFonts w:ascii="Times New Roman" w:cs="Times New Roman" w:eastAsia="Times New Roman" w:hAnsi="Times New Roman"/>
          <w:sz w:val="18"/>
          <w:szCs w:val="18"/>
          <w:color w:val="auto"/>
        </w:rPr>
      </w:pPr>
    </w:p>
    <w:p>
      <w:pPr>
        <w:ind w:left="4" w:right="20" w:hanging="4"/>
        <w:spacing w:after="0" w:line="261" w:lineRule="auto"/>
        <w:tabs>
          <w:tab w:leader="none" w:pos="18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308610</wp:posOffset>
            </wp:positionV>
            <wp:extent cx="27946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Secretary][Responsible Officer of Company]</w:t>
      </w:r>
    </w:p>
    <w:p>
      <w:pPr>
        <w:sectPr>
          <w:pgSz w:w="11900" w:h="16838" w:orient="portrait"/>
          <w:cols w:equalWidth="0" w:num="1">
            <w:col w:w="11004"/>
          </w:cols>
          <w:pgMar w:left="436" w:top="270" w:right="459" w:bottom="1440" w:gutter="0" w:footer="0" w:header="0"/>
        </w:sectPr>
      </w:pPr>
    </w:p>
    <w:bookmarkStart w:id="152" w:name="page153"/>
    <w:bookmarkEnd w:id="152"/>
    <w:p>
      <w:pPr>
        <w:jc w:val="center"/>
        <w:ind w:left="6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7"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Copy of the Certificate of Incorporation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MOTORS COMPANY</w:t>
      </w:r>
    </w:p>
    <w:p>
      <w:pPr>
        <w:sectPr>
          <w:pgSz w:w="11900" w:h="16838" w:orient="portrait"/>
          <w:cols w:equalWidth="0" w:num="1">
            <w:col w:w="9019"/>
          </w:cols>
          <w:pgMar w:left="1440" w:top="270" w:right="1440" w:bottom="1440" w:gutter="0" w:footer="0" w:header="0"/>
        </w:sectPr>
      </w:pPr>
    </w:p>
    <w:bookmarkStart w:id="153" w:name="page154"/>
    <w:bookmarkEnd w:id="153"/>
    <w:p>
      <w:pPr>
        <w:jc w:val="center"/>
        <w:ind w:left="61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w:t>
      </w:r>
    </w:p>
    <w:p>
      <w:pPr>
        <w:spacing w:after="0" w:line="3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Copy of the by-laws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GENERAL MOTORS COMPANY</w:t>
      </w:r>
    </w:p>
    <w:p>
      <w:pPr>
        <w:sectPr>
          <w:pgSz w:w="11900" w:h="16838" w:orient="portrait"/>
          <w:cols w:equalWidth="0" w:num="1">
            <w:col w:w="9019"/>
          </w:cols>
          <w:pgMar w:left="1440" w:top="270" w:right="1440" w:bottom="1440" w:gutter="0" w:footer="0" w:header="0"/>
        </w:sectPr>
      </w:pPr>
    </w:p>
    <w:bookmarkStart w:id="154" w:name="page155"/>
    <w:bookmarkEnd w:id="154"/>
    <w:p>
      <w:pPr>
        <w:jc w:val="center"/>
        <w:ind w:left="6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III</w:t>
      </w:r>
    </w:p>
    <w:p>
      <w:pPr>
        <w:spacing w:after="0" w:line="2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Resolutions of the Board of Directors of GENERAL MOTORS COMPANY</w:t>
      </w:r>
    </w:p>
    <w:p>
      <w:pPr>
        <w:sectPr>
          <w:pgSz w:w="11900" w:h="16838" w:orient="portrait"/>
          <w:cols w:equalWidth="0" w:num="1">
            <w:col w:w="9019"/>
          </w:cols>
          <w:pgMar w:left="1440" w:top="270" w:right="1440" w:bottom="1440" w:gutter="0" w:footer="0" w:header="0"/>
        </w:sectPr>
      </w:pPr>
    </w:p>
    <w:bookmarkStart w:id="155" w:name="page156"/>
    <w:bookmarkEnd w:id="155"/>
    <w:p>
      <w:pPr>
        <w:jc w:val="center"/>
        <w:ind w:left="6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IV</w:t>
      </w:r>
    </w:p>
    <w:p>
      <w:pPr>
        <w:spacing w:after="0" w:line="2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Certificate</w:t>
      </w:r>
    </w:p>
    <w:p>
      <w:pPr>
        <w:spacing w:after="0" w:line="229" w:lineRule="exact"/>
        <w:rPr>
          <w:sz w:val="20"/>
          <w:szCs w:val="20"/>
          <w:color w:val="auto"/>
        </w:rPr>
      </w:pPr>
    </w:p>
    <w:p>
      <w:pPr>
        <w:ind w:left="460"/>
        <w:spacing w:after="0"/>
        <w:tabs>
          <w:tab w:leader="none" w:pos="4540" w:val="left"/>
          <w:tab w:leader="none" w:pos="8020" w:val="left"/>
        </w:tabs>
        <w:rPr>
          <w:sz w:val="20"/>
          <w:szCs w:val="20"/>
          <w:color w:val="auto"/>
        </w:rPr>
      </w:pPr>
      <w:r>
        <w:rPr>
          <w:rFonts w:ascii="Times New Roman" w:cs="Times New Roman" w:eastAsia="Times New Roman" w:hAnsi="Times New Roman"/>
          <w:sz w:val="14"/>
          <w:szCs w:val="14"/>
          <w:u w:val="single" w:color="auto"/>
          <w:color w:val="auto"/>
        </w:rPr>
        <w:t>Name of Officer</w:t>
      </w:r>
      <w:r>
        <w:rPr>
          <w:sz w:val="20"/>
          <w:szCs w:val="20"/>
          <w:color w:val="auto"/>
        </w:rPr>
        <w:tab/>
      </w:r>
      <w:r>
        <w:rPr>
          <w:rFonts w:ascii="Times New Roman" w:cs="Times New Roman" w:eastAsia="Times New Roman" w:hAnsi="Times New Roman"/>
          <w:sz w:val="14"/>
          <w:szCs w:val="14"/>
          <w:u w:val="single" w:color="auto"/>
          <w:color w:val="auto"/>
        </w:rPr>
        <w:t>Office</w:t>
      </w:r>
      <w:r>
        <w:rPr>
          <w:sz w:val="20"/>
          <w:szCs w:val="20"/>
          <w:color w:val="auto"/>
        </w:rPr>
        <w:tab/>
      </w:r>
      <w:r>
        <w:rPr>
          <w:rFonts w:ascii="Times New Roman" w:cs="Times New Roman" w:eastAsia="Times New Roman" w:hAnsi="Times New Roman"/>
          <w:sz w:val="14"/>
          <w:szCs w:val="14"/>
          <w:u w:val="single" w:color="auto"/>
          <w:color w:val="auto"/>
        </w:rPr>
        <w:t>Signature</w:t>
      </w:r>
    </w:p>
    <w:p>
      <w:pPr>
        <w:sectPr>
          <w:pgSz w:w="11900" w:h="16838" w:orient="portrait"/>
          <w:cols w:equalWidth="0" w:num="1">
            <w:col w:w="9019"/>
          </w:cols>
          <w:pgMar w:left="1440" w:top="270" w:right="1440" w:bottom="1440" w:gutter="0" w:footer="0" w:header="0"/>
        </w:sectPr>
      </w:pPr>
    </w:p>
    <w:bookmarkStart w:id="156" w:name="page157"/>
    <w:bookmarkEnd w:id="156"/>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31"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b w:val="1"/>
          <w:bCs w:val="1"/>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217" w:lineRule="exact"/>
        <w:rPr>
          <w:sz w:val="20"/>
          <w:szCs w:val="20"/>
          <w:color w:val="auto"/>
        </w:rPr>
      </w:pPr>
    </w:p>
    <w:p>
      <w:pPr>
        <w:ind w:left="784" w:hanging="784"/>
        <w:spacing w:after="0"/>
        <w:tabs>
          <w:tab w:leader="none" w:pos="78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144"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-205105</wp:posOffset>
            </wp:positionV>
            <wp:extent cx="50317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31740" cy="825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17145</wp:posOffset>
            </wp:positionV>
            <wp:extent cx="50317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4" w:lineRule="exact"/>
        <w:rPr>
          <w:sz w:val="20"/>
          <w:szCs w:val="20"/>
          <w:color w:val="auto"/>
        </w:rPr>
      </w:pPr>
    </w:p>
    <w:p>
      <w:pPr>
        <w:ind w:left="3084"/>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t>
      </w:r>
    </w:p>
    <w:p>
      <w:pPr>
        <w:spacing w:after="0" w:line="47" w:lineRule="exact"/>
        <w:rPr>
          <w:sz w:val="20"/>
          <w:szCs w:val="20"/>
          <w:color w:val="auto"/>
        </w:rPr>
      </w:pPr>
    </w:p>
    <w:p>
      <w:pPr>
        <w:ind w:left="784" w:hanging="784"/>
        <w:spacing w:after="0"/>
        <w:tabs>
          <w:tab w:leader="none" w:pos="78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4445</wp:posOffset>
            </wp:positionV>
            <wp:extent cx="50317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31740" cy="8255"/>
                    </a:xfrm>
                    <a:prstGeom prst="rect">
                      <a:avLst/>
                    </a:prstGeom>
                    <a:noFill/>
                  </pic:spPr>
                </pic:pic>
              </a:graphicData>
            </a:graphic>
          </wp:anchor>
        </w:drawing>
      </w:r>
    </w:p>
    <w:p>
      <w:pPr>
        <w:spacing w:after="0" w:line="104" w:lineRule="exact"/>
        <w:rPr>
          <w:sz w:val="20"/>
          <w:szCs w:val="20"/>
          <w:color w:val="auto"/>
        </w:rPr>
      </w:pPr>
    </w:p>
    <w:p>
      <w:pPr>
        <w:ind w:left="4"/>
        <w:spacing w:after="0"/>
        <w:tabs>
          <w:tab w:leader="none" w:pos="764" w:val="left"/>
          <w:tab w:leader="none" w:pos="3064"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Administrative Agent:</w:t>
      </w:r>
      <w:r>
        <w:rPr>
          <w:sz w:val="20"/>
          <w:szCs w:val="20"/>
          <w:color w:val="auto"/>
        </w:rPr>
        <w:tab/>
      </w:r>
      <w:r>
        <w:rPr>
          <w:rFonts w:ascii="Times New Roman" w:cs="Times New Roman" w:eastAsia="Times New Roman" w:hAnsi="Times New Roman"/>
          <w:sz w:val="18"/>
          <w:szCs w:val="18"/>
          <w:color w:val="auto"/>
        </w:rPr>
        <w:t>Bank of America,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Select as applicable.</w:t>
      </w:r>
    </w:p>
    <w:p>
      <w:pPr>
        <w:sectPr>
          <w:pgSz w:w="11900" w:h="16838" w:orient="portrait"/>
          <w:cols w:equalWidth="0" w:num="1">
            <w:col w:w="11004"/>
          </w:cols>
          <w:pgMar w:left="436" w:top="266" w:right="459" w:bottom="1440" w:gutter="0" w:footer="0" w:header="0"/>
        </w:sectPr>
      </w:pPr>
    </w:p>
    <w:bookmarkStart w:id="157" w:name="page158"/>
    <w:bookmarkEnd w:id="157"/>
    <w:tbl>
      <w:tblPr>
        <w:tblLayout w:type="fixed"/>
        <w:tblInd w:w="4" w:type="dxa"/>
        <w:tblCellMar>
          <w:top w:w="0" w:type="dxa"/>
          <w:left w:w="0" w:type="dxa"/>
          <w:bottom w:w="0" w:type="dxa"/>
          <w:right w:w="0" w:type="dxa"/>
        </w:tblCellMar>
      </w:tblPr>
      <w:tr>
        <w:trPr>
          <w:trHeight w:val="216"/>
        </w:trPr>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5.</w:t>
            </w:r>
          </w:p>
        </w:tc>
        <w:tc>
          <w:tcPr>
            <w:tcW w:w="2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Agreement:</w:t>
            </w:r>
          </w:p>
        </w:tc>
        <w:tc>
          <w:tcPr>
            <w:tcW w:w="80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The 364-Day Delayed Draw Term Loan Credit Agreement, dated as of November 29, 2023 (as amended,</w:t>
            </w:r>
          </w:p>
        </w:tc>
      </w:tr>
      <w:tr>
        <w:trPr>
          <w:trHeight w:val="194"/>
        </w:trPr>
        <w:tc>
          <w:tcPr>
            <w:tcW w:w="4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40" w:type="dxa"/>
            <w:vAlign w:val="bottom"/>
            <w:gridSpan w:val="3"/>
          </w:tcPr>
          <w:p>
            <w:pPr>
              <w:ind w:left="480"/>
              <w:spacing w:after="0" w:line="194" w:lineRule="exact"/>
              <w:rPr>
                <w:sz w:val="20"/>
                <w:szCs w:val="20"/>
                <w:color w:val="auto"/>
              </w:rPr>
            </w:pPr>
            <w:r>
              <w:rPr>
                <w:rFonts w:ascii="Times New Roman" w:cs="Times New Roman" w:eastAsia="Times New Roman" w:hAnsi="Times New Roman"/>
                <w:sz w:val="18"/>
                <w:szCs w:val="18"/>
                <w:color w:val="auto"/>
              </w:rPr>
              <w:t>restated, amended and restated, renewed, supplemented or modified from time to time, the “Credit</w:t>
            </w:r>
          </w:p>
        </w:tc>
      </w:tr>
      <w:tr>
        <w:trPr>
          <w:trHeight w:val="20"/>
        </w:trPr>
        <w:tc>
          <w:tcPr>
            <w:tcW w:w="4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084"/>
        <w:spacing w:after="0" w:line="258" w:lineRule="auto"/>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General Motors Company, a Delaware corporation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lenders from time to time party thereto, Bank of America, N.A. for the Lenders, as administrative agent, Goldman Sachs Bank USA, as syndication agent, and the other agents party thereto. Unless otherwise defined herein, terms used herein have the meanings assigned to such terms in the Credit Agreement.</w:t>
      </w:r>
    </w:p>
    <w:p>
      <w:pPr>
        <w:spacing w:after="0" w:line="75" w:lineRule="exact"/>
        <w:rPr>
          <w:sz w:val="20"/>
          <w:szCs w:val="20"/>
          <w:color w:val="auto"/>
        </w:rPr>
      </w:pPr>
    </w:p>
    <w:p>
      <w:pPr>
        <w:ind w:left="784" w:hanging="784"/>
        <w:spacing w:after="0"/>
        <w:tabs>
          <w:tab w:leader="none" w:pos="78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Aggregate Amount of</w:t>
            </w:r>
          </w:p>
        </w:tc>
        <w:tc>
          <w:tcPr>
            <w:tcW w:w="25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Percentage Assigned of</w:t>
            </w: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Commitment/Loans for all</w:t>
            </w:r>
          </w:p>
        </w:tc>
        <w:tc>
          <w:tcPr>
            <w:tcW w:w="3740" w:type="dxa"/>
            <w:vAlign w:val="bottom"/>
            <w:gridSpan w:val="2"/>
          </w:tcPr>
          <w:p>
            <w:pPr>
              <w:jc w:val="center"/>
              <w:ind w:left="2456"/>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3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Lenders</w:t>
            </w:r>
          </w:p>
        </w:tc>
        <w:tc>
          <w:tcPr>
            <w:tcW w:w="2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Assigned</w:t>
            </w:r>
          </w:p>
        </w:tc>
        <w:tc>
          <w:tcPr>
            <w:tcW w:w="256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Commitment/Loans</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09"/>
        </w:trPr>
        <w:tc>
          <w:tcPr>
            <w:tcW w:w="1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tcPr>
          <w:p>
            <w:pPr>
              <w:jc w:val="right"/>
              <w:ind w:right="1004"/>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gridSpan w:val="2"/>
            <w:shd w:val="clear" w:color="auto" w:fill="CCEEFF"/>
          </w:tcPr>
          <w:p>
            <w:pPr>
              <w:jc w:val="right"/>
              <w:ind w:right="1004"/>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RECORDATION OF TRANSFER IN THE REGISTER THEREFOR.]</w:t>
      </w:r>
    </w:p>
    <w:p>
      <w:pPr>
        <w:spacing w:after="0" w:line="207"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1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Set forth, to at least 9 decimals, as a percentage of the Commitment/Loans of all Lenders thereunder.</w:t>
      </w:r>
    </w:p>
    <w:p>
      <w:pPr>
        <w:sectPr>
          <w:pgSz w:w="11900" w:h="16838" w:orient="portrait"/>
          <w:cols w:equalWidth="0" w:num="1">
            <w:col w:w="11004"/>
          </w:cols>
          <w:pgMar w:left="436" w:top="378" w:right="459" w:bottom="1440" w:gutter="0" w:footer="0" w:header="0"/>
        </w:sectPr>
      </w:pPr>
    </w:p>
    <w:bookmarkStart w:id="158" w:name="page159"/>
    <w:bookmarkEnd w:id="1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terms set forth in this Assignment and Assumption are hereby agreed to:</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OF AMERICA, N.A., as Administrative Agent</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6"/>
          <w:szCs w:val="26"/>
          <w:color w:val="auto"/>
          <w:vertAlign w:val="superscript"/>
        </w:rPr>
        <w:t>3</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jc w:val="both"/>
        <w:ind w:left="424" w:hanging="424"/>
        <w:spacing w:after="0" w:line="227" w:lineRule="auto"/>
        <w:tabs>
          <w:tab w:leader="none" w:pos="424" w:val="left"/>
        </w:tabs>
        <w:numPr>
          <w:ilvl w:val="0"/>
          <w:numId w:val="1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0924"/>
          </w:cols>
          <w:pgMar w:left="436" w:top="270" w:right="539" w:bottom="1440" w:gutter="0" w:footer="0" w:header="0"/>
        </w:sectPr>
      </w:pPr>
    </w:p>
    <w:bookmarkStart w:id="159" w:name="page160"/>
    <w:bookmarkEnd w:id="159"/>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TERMS AND CONDITIONS FOR</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5" w:lineRule="exact"/>
        <w:rPr>
          <w:sz w:val="20"/>
          <w:szCs w:val="20"/>
          <w:color w:val="auto"/>
        </w:rPr>
      </w:pPr>
    </w:p>
    <w:p>
      <w:pPr>
        <w:ind w:left="624" w:hanging="184"/>
        <w:spacing w:after="0"/>
        <w:tabs>
          <w:tab w:leader="none" w:pos="6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Assignor</w:t>
      </w:r>
      <w:r>
        <w:rPr>
          <w:rFonts w:ascii="Times New Roman" w:cs="Times New Roman" w:eastAsia="Times New Roman" w:hAnsi="Times New Roman"/>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w:t>
      </w:r>
    </w:p>
    <w:p>
      <w:pPr>
        <w:spacing w:after="0" w:line="64"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Assignee</w:t>
      </w:r>
      <w:r>
        <w:rPr>
          <w:rFonts w:ascii="Times New Roman" w:cs="Times New Roman" w:eastAsia="Times New Roman" w:hAnsi="Times New Roman"/>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4" w:hanging="4"/>
        <w:spacing w:after="0" w:line="251" w:lineRule="auto"/>
        <w:tabs>
          <w:tab w:leader="none" w:pos="26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thereof (or, if none of such financial statements shall have then been delivered or deemed delivered, then copies of the financial statements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pacing w:after="0" w:line="80" w:lineRule="exact"/>
        <w:rPr>
          <w:rFonts w:ascii="Times New Roman" w:cs="Times New Roman" w:eastAsia="Times New Roman" w:hAnsi="Times New Roman"/>
          <w:sz w:val="18"/>
          <w:szCs w:val="18"/>
          <w:color w:val="auto"/>
        </w:rPr>
      </w:pPr>
    </w:p>
    <w:p>
      <w:pPr>
        <w:jc w:val="both"/>
        <w:ind w:left="4" w:right="140" w:firstLine="436"/>
        <w:spacing w:after="0" w:line="267" w:lineRule="auto"/>
        <w:tabs>
          <w:tab w:leader="none" w:pos="62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principal, interest, fees and other amounts) to the Assignor for amounts which have accrued to but excluding the Effective Date and to the Assignee for amounts which have accrued from and after the Effective Date.</w:t>
      </w:r>
    </w:p>
    <w:p>
      <w:pPr>
        <w:sectPr>
          <w:pgSz w:w="11900" w:h="16838" w:orient="portrait"/>
          <w:cols w:equalWidth="0" w:num="1">
            <w:col w:w="10984"/>
          </w:cols>
          <w:pgMar w:left="436" w:top="270" w:right="479" w:bottom="1440" w:gutter="0" w:footer="0" w:header="0"/>
        </w:sectPr>
      </w:pPr>
    </w:p>
    <w:bookmarkStart w:id="160" w:name="page161"/>
    <w:bookmarkEnd w:id="160"/>
    <w:p>
      <w:pPr>
        <w:ind w:left="-436" w:firstLine="436"/>
        <w:spacing w:after="0" w:line="257" w:lineRule="auto"/>
        <w:tabs>
          <w:tab w:leader="none" w:pos="1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504"/>
          </w:cols>
          <w:pgMar w:left="876" w:top="268" w:right="519" w:bottom="1440" w:gutter="0" w:footer="0" w:header="0"/>
        </w:sectPr>
      </w:pPr>
    </w:p>
    <w:bookmarkStart w:id="161" w:name="page162"/>
    <w:bookmarkEnd w:id="161"/>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[Reserved]</w:t>
      </w:r>
    </w:p>
    <w:p>
      <w:pPr>
        <w:sectPr>
          <w:pgSz w:w="11900" w:h="16838" w:orient="portrait"/>
          <w:cols w:equalWidth="0" w:num="1">
            <w:col w:w="9720"/>
          </w:cols>
          <w:pgMar w:left="1440" w:top="266" w:right="739" w:bottom="1440" w:gutter="0" w:footer="0" w:header="0"/>
        </w:sectPr>
      </w:pPr>
    </w:p>
    <w:bookmarkStart w:id="162" w:name="page163"/>
    <w:bookmarkEnd w:id="162"/>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I-1</w:t>
      </w:r>
    </w:p>
    <w:p>
      <w:pPr>
        <w:spacing w:after="0" w:line="31"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Non-U.S. Lenders That Are Not Partnerships For U.S. Federal Income Tax Purposes)</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Reference is hereby made to the 364-Day Delayed Draw Term Loan Credit Agreement, dated as of November 29,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Lenders from time to time party thereto,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Goldman Sachs Bank USA, as syndication agent, and the other agents party thereto. Unless otherwise defined herein, terms defined in the Credit Agreement and used herein shall have the meanings given to them in the Credit Agreement.</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0940"/>
          </w:cols>
          <w:pgMar w:left="440" w:top="266" w:right="519" w:bottom="1440" w:gutter="0" w:footer="0" w:header="0"/>
        </w:sectPr>
      </w:pPr>
    </w:p>
    <w:bookmarkStart w:id="163" w:name="page164"/>
    <w:bookmarkEnd w:id="16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 20__</w:t>
      </w:r>
    </w:p>
    <w:p>
      <w:pPr>
        <w:sectPr>
          <w:pgSz w:w="11900" w:h="16838" w:orient="portrait"/>
          <w:cols w:equalWidth="0" w:num="1">
            <w:col w:w="10540"/>
          </w:cols>
          <w:pgMar w:left="440" w:top="270" w:right="919" w:bottom="1440" w:gutter="0" w:footer="0" w:header="0"/>
        </w:sectPr>
      </w:pPr>
    </w:p>
    <w:bookmarkStart w:id="164" w:name="page165"/>
    <w:bookmarkEnd w:id="164"/>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I-2</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Non-U.S. Lenders That Are Partnerships For U.S. Federal Income Tax Purposes)</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Reference is hereby made to the 364-Day Delayed Draw Term Loan Credit Agreement, dated as of November 29,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Lenders from time to time party thereto,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Goldman Sachs Bank USA, as syndication agent, and the other agents party thereto. Unless otherwise defined herein, terms defined in the Credit Agreement and used herein shall have the meanings given to them in the Credit Agreement.</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000"/>
          </w:cols>
          <w:pgMar w:left="440" w:top="266" w:right="459" w:bottom="1440" w:gutter="0" w:footer="0" w:header="0"/>
        </w:sectPr>
      </w:pPr>
    </w:p>
    <w:bookmarkStart w:id="165" w:name="page166"/>
    <w:bookmarkEnd w:id="16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 20__</w:t>
      </w:r>
    </w:p>
    <w:p>
      <w:pPr>
        <w:sectPr>
          <w:pgSz w:w="11900" w:h="16838" w:orient="portrait"/>
          <w:cols w:equalWidth="0" w:num="1">
            <w:col w:w="10540"/>
          </w:cols>
          <w:pgMar w:left="440" w:top="270" w:right="919" w:bottom="1440" w:gutter="0" w:footer="0" w:header="0"/>
        </w:sectPr>
      </w:pPr>
    </w:p>
    <w:bookmarkStart w:id="166" w:name="page167"/>
    <w:bookmarkEnd w:id="166"/>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I-3</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 Non-U.S. Participants That Are Not Partnerships For U.S. Federal Income Tax Purposes)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Reference is hereby made to the 364-Day Delayed Draw Term Loan Credit Agreement, dated as of November 29,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Lenders from time to time party thereto,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Goldman Sachs Bank USA, as syndication agent, and the other agents party thereto. Unless otherwise defined herein, terms defined in the Credit Agreement and used herein shall have the meanings given to them in the Credit Agreement.</w:t>
      </w:r>
    </w:p>
    <w:p>
      <w:pPr>
        <w:spacing w:after="0" w:line="183"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0900"/>
          </w:cols>
          <w:pgMar w:left="440" w:top="266" w:right="559" w:bottom="1440" w:gutter="0" w:footer="0" w:header="0"/>
        </w:sectPr>
      </w:pPr>
    </w:p>
    <w:bookmarkStart w:id="167" w:name="page168"/>
    <w:bookmarkEnd w:id="16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defined herein, terms defined in the Credit Agreement and used herein shall have the meanings given to them in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 20__</w:t>
      </w:r>
    </w:p>
    <w:p>
      <w:pPr>
        <w:sectPr>
          <w:pgSz w:w="11900" w:h="16838" w:orient="portrait"/>
          <w:cols w:equalWidth="0" w:num="1">
            <w:col w:w="10540"/>
          </w:cols>
          <w:pgMar w:left="440" w:top="270" w:right="919" w:bottom="1440" w:gutter="0" w:footer="0" w:header="0"/>
        </w:sectPr>
      </w:pPr>
    </w:p>
    <w:bookmarkStart w:id="168" w:name="page169"/>
    <w:bookmarkEnd w:id="168"/>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I-4</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Non-U.S. Participants That Are Partnerships For U.S. Federal Income Tax Purposes)</w:t>
      </w:r>
    </w:p>
    <w:p>
      <w:pPr>
        <w:spacing w:after="0" w:line="225"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Reference is hereby made to the 364-Day Delayed Draw Term Loan Credit Agreement, dated as of November 29, 2023 (as amended, restated, amended and restated, renewed,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Lenders from time to time party thereto, Bank of America,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Goldman Sachs Bank USA, as syndication agent, and the other agents party thereto. Unless otherwise defined herein, terms defined in the Credit Agreement and used herein shall have the meanings given to them in the Credit Agreement.</w:t>
      </w:r>
    </w:p>
    <w:p>
      <w:pPr>
        <w:spacing w:after="0" w:line="18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direct or indirect partners/members that is claiming the portfolio interest exception: (i) an IRS Form W-8BEN or IRS Form W-8BEN-E, as applicable, or</w:t>
      </w:r>
    </w:p>
    <w:p>
      <w:pPr>
        <w:spacing w:after="0" w:line="21" w:lineRule="exact"/>
        <w:rPr>
          <w:sz w:val="20"/>
          <w:szCs w:val="20"/>
          <w:color w:val="auto"/>
        </w:rPr>
      </w:pPr>
    </w:p>
    <w:p>
      <w:pPr>
        <w:ind w:left="4" w:right="20" w:hanging="4"/>
        <w:spacing w:after="0" w:line="252" w:lineRule="auto"/>
        <w:tabs>
          <w:tab w:leader="none" w:pos="26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pacing w:after="0" w:line="190"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ectPr>
          <w:pgSz w:w="11900" w:h="16838" w:orient="portrait"/>
          <w:cols w:equalWidth="0" w:num="1">
            <w:col w:w="11004"/>
          </w:cols>
          <w:pgMar w:left="436" w:top="266"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PARTICIPANT]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 20__</w:t>
      </w:r>
    </w:p>
    <w:p>
      <w:pPr>
        <w:sectPr>
          <w:pgSz w:w="11900" w:h="16838" w:orient="portrait"/>
          <w:cols w:equalWidth="0" w:num="1">
            <w:col w:w="10019"/>
          </w:cols>
          <w:pgMar w:left="440" w:top="270" w:right="1440" w:bottom="1440" w:gutter="0" w:footer="0" w:header="0"/>
        </w:sectPr>
      </w:pPr>
    </w:p>
    <w:bookmarkStart w:id="170" w:name="page171"/>
    <w:bookmarkEnd w:id="170"/>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J</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_____________, 20__</w:t>
      </w: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Bank of America, N.A., as Administrative Agent under the 364-Day Delayed Draw Term Loan Credit Agreement referred to below</w:t>
      </w:r>
    </w:p>
    <w:p>
      <w:pPr>
        <w:spacing w:after="0" w:line="131" w:lineRule="exact"/>
        <w:rPr>
          <w:sz w:val="20"/>
          <w:szCs w:val="20"/>
          <w:color w:val="auto"/>
        </w:rPr>
      </w:pPr>
    </w:p>
    <w:p>
      <w:pPr>
        <w:ind w:left="420" w:right="100" w:hanging="419"/>
        <w:spacing w:after="0" w:line="256" w:lineRule="auto"/>
        <w:tabs>
          <w:tab w:leader="none" w:pos="400" w:val="left"/>
        </w:tabs>
        <w:rPr>
          <w:sz w:val="20"/>
          <w:szCs w:val="20"/>
          <w:color w:val="auto"/>
        </w:rPr>
      </w:pPr>
      <w:r>
        <w:rPr>
          <w:rFonts w:ascii="Times New Roman" w:cs="Times New Roman" w:eastAsia="Times New Roman" w:hAnsi="Times New Roman"/>
          <w:sz w:val="18"/>
          <w:szCs w:val="18"/>
          <w:color w:val="auto"/>
        </w:rPr>
        <w:t>Re:</w:t>
        <w:tab/>
        <w:t>the 364-Day Delayed Draw Term Loan Credit Agreement, dated as of November 29, 2023 (as amended, restated, amended and restated, renewed, supplemented or modified from time to time, the “</w:t>
      </w:r>
      <w:r>
        <w:rPr>
          <w:rFonts w:ascii="Times New Roman" w:cs="Times New Roman" w:eastAsia="Times New Roman" w:hAnsi="Times New Roman"/>
          <w:sz w:val="18"/>
          <w:szCs w:val="18"/>
          <w:u w:val="single" w:color="auto"/>
          <w:color w:val="auto"/>
        </w:rPr>
        <w:t>364-Day Delayed Draw Term Loan Credit Agreement</w:t>
      </w:r>
      <w:r>
        <w:rPr>
          <w:rFonts w:ascii="Times New Roman" w:cs="Times New Roman" w:eastAsia="Times New Roman" w:hAnsi="Times New Roman"/>
          <w:sz w:val="18"/>
          <w:szCs w:val="18"/>
          <w:color w:val="auto"/>
        </w:rPr>
        <w:t>”), among General Motors Company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lenders from time to time party thereto, as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Bank of America, N.A. as the Administrative Agent for the Lenders (in such capacity, together with any successor thereto in such capacity, the “</w:t>
      </w:r>
      <w:r>
        <w:rPr>
          <w:rFonts w:ascii="Times New Roman" w:cs="Times New Roman" w:eastAsia="Times New Roman" w:hAnsi="Times New Roman"/>
          <w:sz w:val="18"/>
          <w:szCs w:val="18"/>
          <w:u w:val="single" w:color="auto"/>
          <w:color w:val="auto"/>
        </w:rPr>
        <w:t>364-Day Delayed Draw Term Loan Administrative Agent</w:t>
      </w:r>
      <w:r>
        <w:rPr>
          <w:rFonts w:ascii="Times New Roman" w:cs="Times New Roman" w:eastAsia="Times New Roman" w:hAnsi="Times New Roman"/>
          <w:sz w:val="18"/>
          <w:szCs w:val="18"/>
          <w:color w:val="auto"/>
        </w:rPr>
        <w:t>”), Goldman Sachs Bank USA, as Syndication Agent, and the other agents party thereto.</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Compliance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is furnished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364-Day Delayed Draw Term Loan Credit Agreement. Unless otherwise defined herein, terms used in this Compliance Certificate have the meanings assigned to such terms in the 364-Day Delayed Draw Term Loan Credit Agreement. I, the undersigned, a Responsible Officer of the Company, do hereby certify, in the name and on behalf of the Company, and without assuming any personal liability, as follows:</w:t>
      </w:r>
    </w:p>
    <w:p>
      <w:pPr>
        <w:spacing w:after="0" w:line="72" w:lineRule="exact"/>
        <w:rPr>
          <w:sz w:val="20"/>
          <w:szCs w:val="20"/>
          <w:color w:val="auto"/>
        </w:rPr>
      </w:pPr>
    </w:p>
    <w:p>
      <w:pPr>
        <w:ind w:left="620" w:hanging="184"/>
        <w:spacing w:after="0"/>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[a] duly elected [insert title of Responsible Officer] of the Company;</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no Default or Event of Default has occurred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and is continuing as of the date hereof [, except as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hereto];</w:t>
      </w:r>
    </w:p>
    <w:p>
      <w:pPr>
        <w:spacing w:after="0" w:line="117" w:lineRule="exact"/>
        <w:rPr>
          <w:sz w:val="20"/>
          <w:szCs w:val="20"/>
          <w:color w:val="auto"/>
        </w:rPr>
      </w:pPr>
    </w:p>
    <w:p>
      <w:pPr>
        <w:ind w:right="200" w:firstLine="436"/>
        <w:spacing w:after="0" w:line="266" w:lineRule="auto"/>
        <w:tabs>
          <w:tab w:leader="none" w:pos="6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the calculation of Consolidated Domestic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364-Day Delayed Draw Term Loan Credit Agreement; and</w:t>
      </w:r>
    </w:p>
    <w:p>
      <w:pPr>
        <w:spacing w:after="0" w:line="67" w:lineRule="exact"/>
        <w:rPr>
          <w:rFonts w:ascii="Times New Roman" w:cs="Times New Roman" w:eastAsia="Times New Roman" w:hAnsi="Times New Roman"/>
          <w:sz w:val="18"/>
          <w:szCs w:val="18"/>
          <w:color w:val="auto"/>
        </w:rPr>
      </w:pPr>
    </w:p>
    <w:p>
      <w:pPr>
        <w:ind w:right="120" w:firstLine="436"/>
        <w:spacing w:after="0" w:line="266" w:lineRule="auto"/>
        <w:tabs>
          <w:tab w:leader="none" w:pos="6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364-Day Delayed Draw Term Loan Credit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20"/>
          </w:cols>
          <w:pgMar w:left="440" w:top="266" w:right="439" w:bottom="1440" w:gutter="0" w:footer="0" w:header="0"/>
        </w:sectPr>
      </w:pPr>
    </w:p>
    <w:bookmarkStart w:id="171" w:name="page172"/>
    <w:bookmarkEnd w:id="17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certifications, together with the calculations set forth in </w:t>
      </w:r>
      <w:r>
        <w:rPr>
          <w:rFonts w:ascii="Times New Roman" w:cs="Times New Roman" w:eastAsia="Times New Roman" w:hAnsi="Times New Roman"/>
          <w:sz w:val="18"/>
          <w:szCs w:val="18"/>
          <w:u w:val="single" w:color="auto"/>
          <w:color w:val="auto"/>
        </w:rPr>
        <w:t>Schedules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hereto, are made and delivered in my capacity described in </w:t>
      </w:r>
      <w:r>
        <w:rPr>
          <w:rFonts w:ascii="Times New Roman" w:cs="Times New Roman" w:eastAsia="Times New Roman" w:hAnsi="Times New Roman"/>
          <w:sz w:val="18"/>
          <w:szCs w:val="18"/>
          <w:u w:val="single" w:color="auto"/>
          <w:color w:val="auto"/>
        </w:rPr>
        <w:t>paragraph 1</w:t>
      </w:r>
      <w:r>
        <w:rPr>
          <w:rFonts w:ascii="Times New Roman" w:cs="Times New Roman" w:eastAsia="Times New Roman" w:hAnsi="Times New Roman"/>
          <w:sz w:val="18"/>
          <w:szCs w:val="18"/>
          <w:color w:val="auto"/>
        </w:rPr>
        <w:t xml:space="preserve"> above for and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_________________________________</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_______________________________</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________________________________</w:t>
      </w:r>
    </w:p>
    <w:p>
      <w:pPr>
        <w:sectPr>
          <w:pgSz w:w="11900" w:h="16838" w:orient="portrait"/>
          <w:cols w:equalWidth="0" w:num="1">
            <w:col w:w="10920"/>
          </w:cols>
          <w:pgMar w:left="440" w:top="270" w:right="539" w:bottom="1440" w:gutter="0" w:footer="0" w:header="0"/>
        </w:sectPr>
      </w:pPr>
    </w:p>
    <w:bookmarkStart w:id="172" w:name="page173"/>
    <w:bookmarkEnd w:id="172"/>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32" w:lineRule="exact"/>
        <w:rPr>
          <w:sz w:val="20"/>
          <w:szCs w:val="20"/>
          <w:color w:val="auto"/>
        </w:rPr>
      </w:pPr>
    </w:p>
    <w:p>
      <w:pPr>
        <w:ind w:left="2364"/>
        <w:spacing w:after="0"/>
        <w:rPr>
          <w:sz w:val="20"/>
          <w:szCs w:val="20"/>
          <w:color w:val="auto"/>
        </w:rPr>
      </w:pPr>
      <w:r>
        <w:rPr>
          <w:rFonts w:ascii="Times New Roman" w:cs="Times New Roman" w:eastAsia="Times New Roman" w:hAnsi="Times New Roman"/>
          <w:sz w:val="18"/>
          <w:szCs w:val="18"/>
          <w:u w:val="single" w:color="auto"/>
          <w:color w:val="auto"/>
        </w:rPr>
        <w:t>Consolidated Domestic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60" w:lineRule="exact"/>
        <w:rPr>
          <w:sz w:val="20"/>
          <w:szCs w:val="20"/>
          <w:color w:val="auto"/>
        </w:rPr>
      </w:pPr>
    </w:p>
    <w:p>
      <w:pPr>
        <w:ind w:left="304" w:hanging="304"/>
        <w:spacing w:after="0"/>
        <w:tabs>
          <w:tab w:leader="none" w:pos="3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Revolving Credit Agreement as of the Calculation Date</w:t>
      </w:r>
    </w:p>
    <w:p>
      <w:pPr>
        <w:spacing w:after="0" w:line="117" w:lineRule="exact"/>
        <w:rPr>
          <w:rFonts w:ascii="Times New Roman" w:cs="Times New Roman" w:eastAsia="Times New Roman" w:hAnsi="Times New Roman"/>
          <w:sz w:val="18"/>
          <w:szCs w:val="18"/>
          <w:color w:val="auto"/>
        </w:rPr>
      </w:pPr>
    </w:p>
    <w:p>
      <w:pPr>
        <w:ind w:left="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Revolving Credit Agreement as of the Calculation Date</w:t>
      </w:r>
    </w:p>
    <w:p>
      <w:pPr>
        <w:spacing w:after="0" w:line="117" w:lineRule="exact"/>
        <w:rPr>
          <w:rFonts w:ascii="Times New Roman" w:cs="Times New Roman" w:eastAsia="Times New Roman" w:hAnsi="Times New Roman"/>
          <w:sz w:val="18"/>
          <w:szCs w:val="18"/>
          <w:color w:val="auto"/>
        </w:rPr>
      </w:pPr>
    </w:p>
    <w:p>
      <w:pPr>
        <w:ind w:left="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2023 364-Day Revolving Credit Agreement as of the Calculation Date</w:t>
      </w:r>
    </w:p>
    <w:p>
      <w:pPr>
        <w:spacing w:after="0" w:line="117" w:lineRule="exact"/>
        <w:rPr>
          <w:rFonts w:ascii="Times New Roman" w:cs="Times New Roman" w:eastAsia="Times New Roman" w:hAnsi="Times New Roman"/>
          <w:sz w:val="18"/>
          <w:szCs w:val="18"/>
          <w:color w:val="auto"/>
        </w:rPr>
      </w:pPr>
    </w:p>
    <w:p>
      <w:pPr>
        <w:ind w:left="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Commitments available under the 364-Day Delayed Draw Term Loan Credit Agreement as of the Calculation Date</w:t>
      </w:r>
    </w:p>
    <w:p>
      <w:pPr>
        <w:spacing w:after="0" w:line="117" w:lineRule="exact"/>
        <w:rPr>
          <w:rFonts w:ascii="Times New Roman" w:cs="Times New Roman" w:eastAsia="Times New Roman" w:hAnsi="Times New Roman"/>
          <w:sz w:val="18"/>
          <w:szCs w:val="18"/>
          <w:color w:val="auto"/>
        </w:rPr>
      </w:pPr>
    </w:p>
    <w:p>
      <w:pPr>
        <w:ind w:left="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84" w:right="1240" w:hanging="184"/>
        <w:spacing w:after="0" w:line="294" w:lineRule="auto"/>
        <w:tabs>
          <w:tab w:leader="none" w:pos="27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Domestic Subsidiary</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the Calculation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460" w:hanging="424"/>
        <w:spacing w:after="0" w:line="208" w:lineRule="auto"/>
        <w:tabs>
          <w:tab w:leader="none" w:pos="424" w:val="left"/>
        </w:tabs>
        <w:numPr>
          <w:ilvl w:val="0"/>
          <w:numId w:val="1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364-Day Delayed Draw Term Loan Credit Agreement.</w:t>
      </w:r>
    </w:p>
    <w:p>
      <w:pPr>
        <w:ind w:left="424" w:hanging="424"/>
        <w:spacing w:after="0" w:line="181" w:lineRule="auto"/>
        <w:tabs>
          <w:tab w:leader="none" w:pos="424" w:val="left"/>
        </w:tabs>
        <w:numPr>
          <w:ilvl w:val="0"/>
          <w:numId w:val="17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Excluding any warehouse facilities of GMF.</w:t>
      </w:r>
    </w:p>
    <w:p>
      <w:pPr>
        <w:sectPr>
          <w:pgSz w:w="11900" w:h="16838" w:orient="portrait"/>
          <w:cols w:equalWidth="0" w:num="1">
            <w:col w:w="10924"/>
          </w:cols>
          <w:pgMar w:left="436" w:top="266" w:right="539" w:bottom="1440" w:gutter="0" w:footer="0" w:header="0"/>
        </w:sectPr>
      </w:pPr>
    </w:p>
    <w:bookmarkStart w:id="173" w:name="page174"/>
    <w:bookmarkEnd w:id="173"/>
    <w:p>
      <w:pPr>
        <w:ind w:left="1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PLUS</w:t>
      </w:r>
    </w:p>
    <w:p>
      <w:pPr>
        <w:spacing w:after="0" w:line="117" w:lineRule="exact"/>
        <w:rPr>
          <w:sz w:val="20"/>
          <w:szCs w:val="20"/>
          <w:color w:val="auto"/>
        </w:rPr>
      </w:pPr>
    </w:p>
    <w:p>
      <w:pPr>
        <w:ind w:left="184" w:right="1940" w:hanging="184"/>
        <w:spacing w:after="0" w:line="258" w:lineRule="auto"/>
        <w:tabs>
          <w:tab w:leader="none" w:pos="26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75" w:lineRule="exact"/>
        <w:rPr>
          <w:sz w:val="20"/>
          <w:szCs w:val="20"/>
          <w:color w:val="auto"/>
        </w:rPr>
      </w:pPr>
    </w:p>
    <w:p>
      <w:pPr>
        <w:ind w:left="4"/>
        <w:spacing w:after="0"/>
        <w:tabs>
          <w:tab w:leader="none" w:pos="9124" w:val="left"/>
        </w:tabs>
        <w:rPr>
          <w:sz w:val="20"/>
          <w:szCs w:val="20"/>
          <w:color w:val="auto"/>
        </w:rPr>
      </w:pPr>
      <w:r>
        <w:rPr>
          <w:rFonts w:ascii="Times New Roman" w:cs="Times New Roman" w:eastAsia="Times New Roman" w:hAnsi="Times New Roman"/>
          <w:sz w:val="18"/>
          <w:szCs w:val="18"/>
          <w:u w:val="single" w:color="auto"/>
          <w:color w:val="auto"/>
        </w:rPr>
        <w:t>Sum of (A) plus (B) plus (C) plus (D) plus (E) plus (F): Consolidated Domestic Liquidity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__________________</w:t>
      </w:r>
    </w:p>
    <w:p>
      <w:pPr>
        <w:sectPr>
          <w:pgSz w:w="11900" w:h="16838" w:orient="portrait"/>
          <w:cols w:equalWidth="0" w:num="1">
            <w:col w:w="10944"/>
          </w:cols>
          <w:pgMar w:left="436" w:top="378" w:right="519" w:bottom="1440" w:gutter="0" w:footer="0" w:header="0"/>
        </w:sectPr>
      </w:pPr>
    </w:p>
    <w:bookmarkStart w:id="174" w:name="page175"/>
    <w:bookmarkEnd w:id="174"/>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32" w:lineRule="exact"/>
        <w:rPr>
          <w:sz w:val="20"/>
          <w:szCs w:val="20"/>
          <w:color w:val="auto"/>
        </w:rPr>
      </w:pPr>
    </w:p>
    <w:p>
      <w:pPr>
        <w:ind w:left="2464"/>
        <w:spacing w:after="0"/>
        <w:rPr>
          <w:sz w:val="20"/>
          <w:szCs w:val="20"/>
          <w:color w:val="auto"/>
        </w:rPr>
      </w:pPr>
      <w:r>
        <w:rPr>
          <w:rFonts w:ascii="Times New Roman" w:cs="Times New Roman" w:eastAsia="Times New Roman" w:hAnsi="Times New Roman"/>
          <w:sz w:val="18"/>
          <w:szCs w:val="18"/>
          <w:u w:val="single" w:color="auto"/>
          <w:color w:val="auto"/>
        </w:rPr>
        <w:t>Consolidated Global Liquidity as of _____________, 20__(the “Calculation Date”)</w:t>
      </w:r>
      <w:r>
        <w:rPr>
          <w:rFonts w:ascii="Times New Roman" w:cs="Times New Roman" w:eastAsia="Times New Roman" w:hAnsi="Times New Roman"/>
          <w:sz w:val="26"/>
          <w:szCs w:val="26"/>
          <w:u w:val="single" w:color="auto"/>
          <w:color w:val="auto"/>
          <w:vertAlign w:val="superscript"/>
        </w:rPr>
        <w:t>1</w:t>
      </w:r>
    </w:p>
    <w:p>
      <w:pPr>
        <w:spacing w:after="0" w:line="160" w:lineRule="exact"/>
        <w:rPr>
          <w:sz w:val="20"/>
          <w:szCs w:val="20"/>
          <w:color w:val="auto"/>
        </w:rPr>
      </w:pPr>
    </w:p>
    <w:p>
      <w:pPr>
        <w:ind w:left="304" w:hanging="304"/>
        <w:spacing w:after="0"/>
        <w:tabs>
          <w:tab w:leader="none" w:pos="30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3-Year Revolving Credit Agreement as of the Calculation Date</w:t>
      </w:r>
    </w:p>
    <w:p>
      <w:pPr>
        <w:spacing w:after="0" w:line="117" w:lineRule="exact"/>
        <w:rPr>
          <w:rFonts w:ascii="Times New Roman" w:cs="Times New Roman" w:eastAsia="Times New Roman" w:hAnsi="Times New Roman"/>
          <w:sz w:val="18"/>
          <w:szCs w:val="18"/>
          <w:color w:val="auto"/>
        </w:rPr>
      </w:pPr>
    </w:p>
    <w:p>
      <w:pPr>
        <w:ind w:left="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5-Year Revolving Credit Agreement as of the Calculation Date</w:t>
      </w:r>
    </w:p>
    <w:p>
      <w:pPr>
        <w:spacing w:after="0" w:line="117" w:lineRule="exact"/>
        <w:rPr>
          <w:rFonts w:ascii="Times New Roman" w:cs="Times New Roman" w:eastAsia="Times New Roman" w:hAnsi="Times New Roman"/>
          <w:sz w:val="18"/>
          <w:szCs w:val="18"/>
          <w:color w:val="auto"/>
        </w:rPr>
      </w:pPr>
    </w:p>
    <w:p>
      <w:pPr>
        <w:ind w:left="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under the 2023 364-Day Revolving Credit Agreement as of the Calculation Date</w:t>
      </w:r>
    </w:p>
    <w:p>
      <w:pPr>
        <w:spacing w:after="0" w:line="117" w:lineRule="exact"/>
        <w:rPr>
          <w:rFonts w:ascii="Times New Roman" w:cs="Times New Roman" w:eastAsia="Times New Roman" w:hAnsi="Times New Roman"/>
          <w:sz w:val="18"/>
          <w:szCs w:val="18"/>
          <w:color w:val="auto"/>
        </w:rPr>
      </w:pPr>
    </w:p>
    <w:p>
      <w:pPr>
        <w:ind w:left="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Commitments available under the 364-Day Delayed Draw Term Loan Credit Agreement as of the Calculation Date</w:t>
      </w:r>
    </w:p>
    <w:p>
      <w:pPr>
        <w:spacing w:after="0" w:line="117" w:lineRule="exact"/>
        <w:rPr>
          <w:rFonts w:ascii="Times New Roman" w:cs="Times New Roman" w:eastAsia="Times New Roman" w:hAnsi="Times New Roman"/>
          <w:sz w:val="18"/>
          <w:szCs w:val="18"/>
          <w:color w:val="auto"/>
        </w:rPr>
      </w:pPr>
    </w:p>
    <w:p>
      <w:pPr>
        <w:ind w:left="1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84" w:right="1240" w:hanging="184"/>
        <w:spacing w:after="0" w:line="294" w:lineRule="auto"/>
        <w:tabs>
          <w:tab w:leader="none" w:pos="27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available commitments (after giving effect to any applicable borrowing base limitations) under other effective committed credit facilities of the Company or any of its Subsidiaries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the Calculation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715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460" w:hanging="424"/>
        <w:spacing w:after="0" w:line="208" w:lineRule="auto"/>
        <w:tabs>
          <w:tab w:leader="none" w:pos="424" w:val="left"/>
        </w:tabs>
        <w:numPr>
          <w:ilvl w:val="0"/>
          <w:numId w:val="1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The last day of the most recent fiscal period covered by the financial statements of the Company delivered or deemed delivered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364-Day Delayed Draw Term Loan Credit Agreement.</w:t>
      </w:r>
    </w:p>
    <w:p>
      <w:pPr>
        <w:ind w:left="424" w:hanging="424"/>
        <w:spacing w:after="0" w:line="181" w:lineRule="auto"/>
        <w:tabs>
          <w:tab w:leader="none" w:pos="424" w:val="left"/>
        </w:tabs>
        <w:numPr>
          <w:ilvl w:val="0"/>
          <w:numId w:val="17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Excluding any warehouse facilities of GMF.</w:t>
      </w:r>
    </w:p>
    <w:p>
      <w:pPr>
        <w:sectPr>
          <w:pgSz w:w="11900" w:h="16838" w:orient="portrait"/>
          <w:cols w:equalWidth="0" w:num="1">
            <w:col w:w="10924"/>
          </w:cols>
          <w:pgMar w:left="436" w:top="266" w:right="539" w:bottom="1440" w:gutter="0" w:footer="0" w:header="0"/>
        </w:sectPr>
      </w:pPr>
    </w:p>
    <w:bookmarkStart w:id="175" w:name="page176"/>
    <w:bookmarkEnd w:id="175"/>
    <w:p>
      <w:pPr>
        <w:ind w:left="1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PLUS</w:t>
      </w:r>
    </w:p>
    <w:p>
      <w:pPr>
        <w:spacing w:after="0" w:line="117" w:lineRule="exact"/>
        <w:rPr>
          <w:sz w:val="20"/>
          <w:szCs w:val="20"/>
          <w:color w:val="auto"/>
        </w:rPr>
      </w:pPr>
    </w:p>
    <w:p>
      <w:pPr>
        <w:ind w:left="184" w:right="1600" w:hanging="184"/>
        <w:spacing w:after="0" w:line="266" w:lineRule="auto"/>
        <w:tabs>
          <w:tab w:leader="none" w:pos="26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68" w:lineRule="exact"/>
        <w:rPr>
          <w:sz w:val="20"/>
          <w:szCs w:val="20"/>
          <w:color w:val="auto"/>
        </w:rPr>
      </w:pPr>
    </w:p>
    <w:p>
      <w:pPr>
        <w:ind w:left="4"/>
        <w:spacing w:after="0"/>
        <w:tabs>
          <w:tab w:leader="none" w:pos="9544" w:val="left"/>
        </w:tabs>
        <w:rPr>
          <w:sz w:val="20"/>
          <w:szCs w:val="20"/>
          <w:color w:val="auto"/>
        </w:rPr>
      </w:pPr>
      <w:r>
        <w:rPr>
          <w:rFonts w:ascii="Times New Roman" w:cs="Times New Roman" w:eastAsia="Times New Roman" w:hAnsi="Times New Roman"/>
          <w:sz w:val="18"/>
          <w:szCs w:val="18"/>
          <w:u w:val="single" w:color="auto"/>
          <w:color w:val="auto"/>
        </w:rPr>
        <w:t>Sum of (A) plus (B) plus (C) plus (D) plus (E) plus (F): Consolidated Global Liquidity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______________</w:t>
      </w:r>
    </w:p>
    <w:p>
      <w:pPr>
        <w:sectPr>
          <w:pgSz w:w="11900" w:h="16838" w:orient="portrait"/>
          <w:cols w:equalWidth="0" w:num="1">
            <w:col w:w="10944"/>
          </w:cols>
          <w:pgMar w:left="436" w:top="378" w:right="519" w:bottom="1440" w:gutter="0" w:footer="0" w:header="0"/>
        </w:sectPr>
      </w:pPr>
    </w:p>
    <w:bookmarkStart w:id="176" w:name="page177"/>
    <w:bookmarkEnd w:id="176"/>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pacing w:after="0" w:line="23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[Defaults/Events of Default that have occurred and are continuing]</w:t>
      </w:r>
    </w:p>
    <w:p>
      <w:pPr>
        <w:sectPr>
          <w:pgSz w:w="11900" w:h="16838" w:orient="portrait"/>
          <w:cols w:equalWidth="0" w:num="1">
            <w:col w:w="9920"/>
          </w:cols>
          <w:pgMar w:left="1440" w:top="266" w:right="539" w:bottom="1440" w:gutter="0" w:footer="0" w:header="0"/>
        </w:sectPr>
      </w:pPr>
    </w:p>
    <w:bookmarkStart w:id="177" w:name="page178"/>
    <w:bookmarkEnd w:id="177"/>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K</w:t>
      </w:r>
    </w:p>
    <w:p>
      <w:pPr>
        <w:spacing w:after="0" w:line="31"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29"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ectPr>
          <w:pgSz w:w="11900" w:h="16838" w:orient="portrait"/>
          <w:cols w:equalWidth="0" w:num="1">
            <w:col w:w="11024"/>
          </w:cols>
          <w:pgMar w:left="436" w:top="266" w:right="439" w:bottom="1440" w:gutter="0" w:footer="0" w:header="0"/>
        </w:sectPr>
      </w:pPr>
    </w:p>
    <w:p>
      <w:pPr>
        <w:spacing w:after="0" w:line="3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20__</w:t>
      </w:r>
    </w:p>
    <w:p>
      <w:pPr>
        <w:spacing w:after="0" w:line="200" w:lineRule="exact"/>
        <w:rPr>
          <w:sz w:val="20"/>
          <w:szCs w:val="20"/>
          <w:color w:val="auto"/>
        </w:rPr>
      </w:pPr>
    </w:p>
    <w:p>
      <w:pPr>
        <w:sectPr>
          <w:pgSz w:w="11900" w:h="16838" w:orient="portrait"/>
          <w:cols w:equalWidth="0" w:num="2">
            <w:col w:w="8584" w:space="720"/>
            <w:col w:w="1720"/>
          </w:cols>
          <w:pgMar w:left="436" w:top="266" w:right="439" w:bottom="1440" w:gutter="0" w:footer="0" w:header="0"/>
          <w:type w:val="continuous"/>
        </w:sectPr>
      </w:pPr>
    </w:p>
    <w:p>
      <w:pPr>
        <w:spacing w:after="0" w:line="7" w:lineRule="exact"/>
        <w:rPr>
          <w:sz w:val="20"/>
          <w:szCs w:val="20"/>
          <w:color w:val="auto"/>
        </w:rPr>
      </w:pPr>
    </w:p>
    <w:p>
      <w:pPr>
        <w:ind w:left="4" w:right="300" w:firstLine="440"/>
        <w:spacing w:after="0" w:line="276" w:lineRule="auto"/>
        <w:rPr>
          <w:sz w:val="20"/>
          <w:szCs w:val="20"/>
          <w:color w:val="auto"/>
        </w:rPr>
      </w:pPr>
      <w:r>
        <w:rPr>
          <w:rFonts w:ascii="Times New Roman" w:cs="Times New Roman" w:eastAsia="Times New Roman" w:hAnsi="Times New Roman"/>
          <w:sz w:val="17"/>
          <w:szCs w:val="17"/>
          <w:color w:val="auto"/>
        </w:rPr>
        <w:t>FOR VALUE RECEIVED, the undersigned, GENERAL MOTORS COMPANY, a Delaware corporation (together with its successors and permitted assigns,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hereby unconditionally promises to pay to ______________ (the “</w:t>
      </w:r>
      <w:r>
        <w:rPr>
          <w:rFonts w:ascii="Times New Roman" w:cs="Times New Roman" w:eastAsia="Times New Roman" w:hAnsi="Times New Roman"/>
          <w:sz w:val="17"/>
          <w:szCs w:val="17"/>
          <w:u w:val="single" w:color="auto"/>
          <w:color w:val="auto"/>
        </w:rPr>
        <w:t>Lender</w:t>
      </w:r>
      <w:r>
        <w:rPr>
          <w:rFonts w:ascii="Times New Roman" w:cs="Times New Roman" w:eastAsia="Times New Roman" w:hAnsi="Times New Roman"/>
          <w:sz w:val="17"/>
          <w:szCs w:val="17"/>
          <w:color w:val="auto"/>
        </w:rPr>
        <w:t>”) or its registered assigns, on Maturity</w:t>
      </w:r>
    </w:p>
    <w:p>
      <w:pPr>
        <w:spacing w:after="0" w:line="1" w:lineRule="exact"/>
        <w:rPr>
          <w:sz w:val="20"/>
          <w:szCs w:val="20"/>
          <w:color w:val="auto"/>
        </w:rPr>
      </w:pPr>
    </w:p>
    <w:p>
      <w:pPr>
        <w:ind w:left="4" w:right="80"/>
        <w:spacing w:after="0" w:line="265" w:lineRule="auto"/>
        <w:rPr>
          <w:sz w:val="20"/>
          <w:szCs w:val="20"/>
          <w:color w:val="auto"/>
        </w:rPr>
      </w:pPr>
      <w:r>
        <w:rPr>
          <w:rFonts w:ascii="Times New Roman" w:cs="Times New Roman" w:eastAsia="Times New Roman" w:hAnsi="Times New Roman"/>
          <w:sz w:val="17"/>
          <w:szCs w:val="17"/>
          <w:color w:val="auto"/>
        </w:rPr>
        <w:t>Date specified in the Credit Agreement (as hereinafter defined) at the Funding Office specified in such Credit Agreement, in the currency of such Loans and in immediately available funds, the principal amount of (a) ___________________ (__________), or, if less, (b) the unpaid principal amount of the</w:t>
      </w:r>
    </w:p>
    <w:p>
      <w:pPr>
        <w:ind w:left="4" w:right="180"/>
        <w:spacing w:after="0" w:line="260" w:lineRule="auto"/>
        <w:rPr>
          <w:sz w:val="20"/>
          <w:szCs w:val="20"/>
          <w:color w:val="auto"/>
        </w:rPr>
      </w:pPr>
      <w:r>
        <w:rPr>
          <w:rFonts w:ascii="Times New Roman" w:cs="Times New Roman" w:eastAsia="Times New Roman" w:hAnsi="Times New Roman"/>
          <w:sz w:val="18"/>
          <w:szCs w:val="18"/>
          <w:color w:val="auto"/>
        </w:rPr>
        <w:t xml:space="preserve">Loans of the Lender outstanding under the Credit Agreement. The Company further agrees to pay interest in like money at such Funding Office on the unpaid principal amount hereof from time to time outstanding at the rates and on the dates specified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the Credit Agreement.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holder of this Note is authorized to endorse on the schedules annexed hereto and made a part hereof or on a continuation thereof which shall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attached hereto and made a part hereof the date, Type and amount of each Loan evidenced hereby, and the date and amount of each payment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prepayment of principal with respect thereto, each conversion of all or a portion thereof to another Type, each continuation of all or a portion thereof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same Type and, in the case of Term Benchmark Loans, the length of each Interest Period with respect thereto. Subject to the provisions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of the Credit Agreement, each such endorsement shall constitute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accuracy of the information endorsed.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failure to make any such endorsement or any error in any such endorsement shall not affect the obligations of the Company in respect of the Loans.</w:t>
      </w:r>
    </w:p>
    <w:p>
      <w:pPr>
        <w:spacing w:after="0" w:line="207"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This Note (a) is one of the Notes referred to in the 364-Day Delayed Draw Term Loan Credit Agreement, dated as of November 29, 2023 (as amended, restated, amended and restated, renewed,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General Motors Company, a Delaware corporation, the Lender, the other lenders from time to time party thereto, Bank of America, N.A., as Administrative Agent, Goldman Sachs Bank USA, as syndication agent, and the other agents party thereto, (b) is subject to the provisions of the Credit Agreement and</w:t>
      </w:r>
    </w:p>
    <w:p>
      <w:pPr>
        <w:spacing w:after="0" w:line="3" w:lineRule="exact"/>
        <w:rPr>
          <w:sz w:val="20"/>
          <w:szCs w:val="20"/>
          <w:color w:val="auto"/>
        </w:rPr>
      </w:pPr>
    </w:p>
    <w:p>
      <w:pPr>
        <w:ind w:left="4" w:right="100" w:hanging="4"/>
        <w:spacing w:after="0" w:line="260" w:lineRule="auto"/>
        <w:tabs>
          <w:tab w:leader="none" w:pos="24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optional and mandatory prepayment in whole or in part as provided in the Credit Agreement. This Note is guaranteed as provided in the Loan Documents subject to the release and termination provisions contained therein.</w:t>
      </w:r>
    </w:p>
    <w:p>
      <w:pPr>
        <w:sectPr>
          <w:pgSz w:w="11900" w:h="16838" w:orient="portrait"/>
          <w:cols w:equalWidth="0" w:num="1">
            <w:col w:w="11024"/>
          </w:cols>
          <w:pgMar w:left="436" w:top="266" w:right="439" w:bottom="1440" w:gutter="0" w:footer="0" w:header="0"/>
          <w:type w:val="continuous"/>
        </w:sectPr>
      </w:pPr>
    </w:p>
    <w:bookmarkStart w:id="178" w:name="page179"/>
    <w:bookmarkEnd w:id="178"/>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parties now and hereafter liable with respect to this Note, whether as maker, principal, surety, guarantor, endorser or otherwise, hereby waive presentment, demand, protest and all other notices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defined herein, terms used herein have the meanings assigned to such terms in the Credit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THE CREDIT AGREEMENT, THIS NOTE MAY NOT BE TRANSFERRED EXCEPT PURSUANT TO AND IN ACCORDANCE WITH THE REGISTRATION AND OTHER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OF THE CREDIT AGREEMENT.</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LAW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____________________________________</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__________________________________</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___________________________________</w:t>
      </w:r>
    </w:p>
    <w:p>
      <w:pPr>
        <w:sectPr>
          <w:pgSz w:w="11900" w:h="16838" w:orient="portrait"/>
          <w:cols w:equalWidth="0" w:num="1">
            <w:col w:w="10880"/>
          </w:cols>
          <w:pgMar w:left="440" w:top="270" w:right="579" w:bottom="1440" w:gutter="0" w:footer="0" w:header="0"/>
        </w:sectPr>
      </w:pPr>
    </w:p>
    <w:bookmarkStart w:id="179" w:name="page180"/>
    <w:bookmarkEnd w:id="179"/>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ABR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Converted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 ABR</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Unpaid Principal</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Loans Converted to</w:t>
            </w:r>
          </w:p>
        </w:tc>
        <w:tc>
          <w:tcPr>
            <w:tcW w:w="15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Date</w:t>
            </w:r>
          </w:p>
        </w:tc>
        <w:tc>
          <w:tcPr>
            <w:tcW w:w="12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ABR Loans</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13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ABR Loans</w:t>
            </w: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0" w:name="page181"/>
    <w:bookmarkEnd w:id="180"/>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TERM BENCHMARK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 Term</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Unpaid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restart"/>
          </w:tcPr>
          <w:p>
            <w:pPr>
              <w:jc w:val="center"/>
              <w:ind w:right="1060"/>
              <w:spacing w:after="0"/>
              <w:rPr>
                <w:sz w:val="20"/>
                <w:szCs w:val="20"/>
                <w:color w:val="auto"/>
              </w:rPr>
            </w:pPr>
            <w:r>
              <w:rPr>
                <w:rFonts w:ascii="Times New Roman" w:cs="Times New Roman" w:eastAsia="Times New Roman" w:hAnsi="Times New Roman"/>
                <w:sz w:val="14"/>
                <w:szCs w:val="14"/>
                <w:color w:val="auto"/>
              </w:rPr>
              <w:t>Amount of</w:t>
            </w: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 Principal</w:t>
            </w:r>
          </w:p>
        </w:tc>
        <w:tc>
          <w:tcPr>
            <w:tcW w:w="120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Converted to</w:t>
            </w:r>
          </w:p>
        </w:tc>
        <w:tc>
          <w:tcPr>
            <w:tcW w:w="142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154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Term Benchmark</w:t>
            </w: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6"/>
              </w:rPr>
              <w:t>of Term</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Date</w:t>
            </w:r>
          </w:p>
        </w:tc>
        <w:tc>
          <w:tcPr>
            <w:tcW w:w="100" w:type="dxa"/>
            <w:vAlign w:val="bottom"/>
            <w:vMerge w:val="restart"/>
          </w:tcPr>
          <w:p>
            <w:pPr>
              <w:spacing w:after="0"/>
              <w:rPr>
                <w:sz w:val="12"/>
                <w:szCs w:val="12"/>
                <w:color w:val="auto"/>
              </w:rPr>
            </w:pPr>
          </w:p>
        </w:tc>
        <w:tc>
          <w:tcPr>
            <w:tcW w:w="1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Interest Period</w:t>
            </w:r>
          </w:p>
        </w:tc>
        <w:tc>
          <w:tcPr>
            <w:tcW w:w="100" w:type="dxa"/>
            <w:vAlign w:val="bottom"/>
            <w:vMerge w:val="restart"/>
          </w:tcPr>
          <w:p>
            <w:pPr>
              <w:spacing w:after="0"/>
              <w:rPr>
                <w:sz w:val="12"/>
                <w:szCs w:val="12"/>
                <w:color w:val="auto"/>
              </w:rPr>
            </w:pPr>
          </w:p>
        </w:tc>
        <w:tc>
          <w:tcPr>
            <w:tcW w:w="228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Term Benchmark</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Loans</w:t>
            </w: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1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0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1" w:name="page182"/>
    <w:bookmarkEnd w:id="181"/>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LOANS, CONVERSIONS AND REPAYMENTS OF DAILY SIMPLE SOFR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 Principal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 Daily</w:t>
            </w: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Unpaid Principal</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10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Simple SOFR</w:t>
            </w:r>
          </w:p>
        </w:tc>
        <w:tc>
          <w:tcPr>
            <w:tcW w:w="12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Daily Simple</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Balance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Date</w:t>
            </w:r>
          </w:p>
        </w:tc>
        <w:tc>
          <w:tcPr>
            <w:tcW w:w="120" w:type="dxa"/>
            <w:vAlign w:val="bottom"/>
            <w:vMerge w:val="restart"/>
          </w:tcPr>
          <w:p>
            <w:pPr>
              <w:spacing w:after="0"/>
              <w:rPr>
                <w:sz w:val="12"/>
                <w:szCs w:val="12"/>
                <w:color w:val="auto"/>
              </w:rPr>
            </w:pP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Facility</w:t>
            </w:r>
          </w:p>
        </w:tc>
        <w:tc>
          <w:tcPr>
            <w:tcW w:w="100" w:type="dxa"/>
            <w:vAlign w:val="bottom"/>
            <w:vMerge w:val="restart"/>
          </w:tcPr>
          <w:p>
            <w:pPr>
              <w:spacing w:after="0"/>
              <w:rPr>
                <w:sz w:val="12"/>
                <w:szCs w:val="12"/>
                <w:color w:val="auto"/>
              </w:rPr>
            </w:pP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Currency</w:t>
            </w:r>
          </w:p>
        </w:tc>
        <w:tc>
          <w:tcPr>
            <w:tcW w:w="1300" w:type="dxa"/>
            <w:vAlign w:val="bottom"/>
            <w:vMerge w:val="restart"/>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Daily Simple</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Daily Simple</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SOFR Loans</w:t>
            </w: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Daily Simple</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r>
        <w:trPr>
          <w:trHeight w:val="185"/>
        </w:trPr>
        <w:tc>
          <w:tcPr>
            <w:tcW w:w="1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ABR Loans</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SOFR Loans</w:t>
            </w:r>
          </w:p>
        </w:tc>
        <w:tc>
          <w:tcPr>
            <w:tcW w:w="12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2" w:name="page183"/>
    <w:bookmarkEnd w:id="182"/>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L</w:t>
      </w:r>
    </w:p>
    <w:p>
      <w:pPr>
        <w:spacing w:after="0" w:line="31"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16" w:lineRule="exact"/>
        <w:rPr>
          <w:sz w:val="20"/>
          <w:szCs w:val="20"/>
          <w:color w:val="auto"/>
        </w:rPr>
      </w:pPr>
    </w:p>
    <w:p>
      <w:pPr>
        <w:ind w:left="4024"/>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of America, N.A., as Administrative Agent for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lenders referred to below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10036, United States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joanna.herrera2@bofa.com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469-201-8731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Joanna Herrera</w:t>
      </w:r>
    </w:p>
    <w:p>
      <w:pPr>
        <w:spacing w:after="0" w:line="207" w:lineRule="exact"/>
        <w:rPr>
          <w:sz w:val="20"/>
          <w:szCs w:val="20"/>
          <w:color w:val="auto"/>
        </w:rPr>
      </w:pPr>
    </w:p>
    <w:p>
      <w:pPr>
        <w:ind w:left="9764"/>
        <w:spacing w:after="0"/>
        <w:rPr>
          <w:sz w:val="20"/>
          <w:szCs w:val="20"/>
          <w:color w:val="auto"/>
        </w:rPr>
      </w:pPr>
      <w:r>
        <w:rPr>
          <w:rFonts w:ascii="Times New Roman" w:cs="Times New Roman" w:eastAsia="Times New Roman" w:hAnsi="Times New Roman"/>
          <w:sz w:val="17"/>
          <w:szCs w:val="17"/>
          <w:color w:val="auto"/>
        </w:rPr>
        <w:t>_________, 20__</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Ladies/Gentlemen:</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undersigned, General Motors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refers to the 364-Day Delayed Draw Term Loan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Credit Agreement, dated as of November 29, 2023, as amended, restated, amended and restated, renewed, supplemented or modified from time to time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the Company, the several banks and other financial institutions or entities from time to time party thereto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Bank of America, N.A., as administrative agent, Goldman Sachs Bank USA, as syndication agent, and the other agents named therein.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meanings assigned to such terms in the Credit Agreement. The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hereby gives you notice pursuant to Section 2.2 of the Credit Agreement that it requests an Extension of Credit under the Credit Agreement, and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connection sets forth below the terms on which such Extension of Credit is requested to be made:</w:t>
      </w:r>
    </w:p>
    <w:p>
      <w:pPr>
        <w:sectPr>
          <w:pgSz w:w="11900" w:h="16838" w:orient="portrait"/>
          <w:cols w:equalWidth="0" w:num="1">
            <w:col w:w="11024"/>
          </w:cols>
          <w:pgMar w:left="436" w:top="266" w:right="439" w:bottom="1440" w:gutter="0" w:footer="0" w:header="0"/>
        </w:sectPr>
      </w:pPr>
    </w:p>
    <w:p>
      <w:pPr>
        <w:spacing w:after="0" w:line="234" w:lineRule="exact"/>
        <w:rPr>
          <w:sz w:val="20"/>
          <w:szCs w:val="20"/>
          <w:color w:val="auto"/>
        </w:rPr>
      </w:pPr>
    </w:p>
    <w:p>
      <w:pPr>
        <w:ind w:left="444"/>
        <w:spacing w:after="0"/>
        <w:tabs>
          <w:tab w:leader="none" w:pos="86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Funding Date</w:t>
      </w:r>
    </w:p>
    <w:p>
      <w:pPr>
        <w:spacing w:after="0" w:line="2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7"/>
          <w:szCs w:val="17"/>
          <w:color w:val="auto"/>
        </w:rPr>
        <w:t>(which is a Business Day)</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346" w:lineRule="exact"/>
        <w:rPr>
          <w:sz w:val="20"/>
          <w:szCs w:val="20"/>
          <w:color w:val="auto"/>
        </w:rPr>
      </w:pPr>
    </w:p>
    <w:p>
      <w:pPr>
        <w:sectPr>
          <w:pgSz w:w="11900" w:h="16838" w:orient="portrait"/>
          <w:cols w:equalWidth="0" w:num="2">
            <w:col w:w="8724" w:space="720"/>
            <w:col w:w="1580"/>
          </w:cols>
          <w:pgMar w:left="436" w:top="266" w:right="439" w:bottom="1440" w:gutter="0" w:footer="0" w:header="0"/>
          <w:type w:val="continuous"/>
        </w:sectPr>
      </w:pPr>
    </w:p>
    <w:p>
      <w:pPr>
        <w:ind w:left="444"/>
        <w:spacing w:after="0"/>
        <w:tabs>
          <w:tab w:leader="none" w:pos="864" w:val="left"/>
        </w:tabs>
        <w:rPr>
          <w:sz w:val="20"/>
          <w:szCs w:val="20"/>
          <w:color w:val="auto"/>
        </w:rPr>
      </w:pPr>
      <w:r>
        <w:rPr>
          <w:rFonts w:ascii="Times New Roman" w:cs="Times New Roman" w:eastAsia="Times New Roman" w:hAnsi="Times New Roman"/>
          <w:sz w:val="17"/>
          <w:szCs w:val="17"/>
          <w:color w:val="auto"/>
        </w:rPr>
        <w:t>(B)</w:t>
        <w:tab/>
        <w:t xml:space="preserve">Aggregate Amount of Loan </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00" w:lineRule="exact"/>
        <w:rPr>
          <w:sz w:val="20"/>
          <w:szCs w:val="20"/>
          <w:color w:val="auto"/>
        </w:rPr>
      </w:pPr>
    </w:p>
    <w:p>
      <w:pPr>
        <w:sectPr>
          <w:pgSz w:w="11900" w:h="16838" w:orient="portrait"/>
          <w:cols w:equalWidth="0" w:num="2">
            <w:col w:w="8724" w:space="720"/>
            <w:col w:w="1580"/>
          </w:cols>
          <w:pgMar w:left="436" w:top="266" w:right="439" w:bottom="1440" w:gutter="0" w:footer="0" w:header="0"/>
          <w:type w:val="continuous"/>
        </w:sectPr>
      </w:pPr>
    </w:p>
    <w:p>
      <w:pPr>
        <w:spacing w:after="0" w:line="241" w:lineRule="exact"/>
        <w:rPr>
          <w:sz w:val="20"/>
          <w:szCs w:val="20"/>
          <w:color w:val="auto"/>
        </w:rPr>
      </w:pPr>
    </w:p>
    <w:p>
      <w:pPr>
        <w:ind w:left="424" w:right="100" w:hanging="424"/>
        <w:spacing w:after="0" w:line="218" w:lineRule="auto"/>
        <w:tabs>
          <w:tab w:leader="none" w:pos="424" w:val="left"/>
        </w:tabs>
        <w:numPr>
          <w:ilvl w:val="0"/>
          <w:numId w:val="1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Borrowing Request to be delivered to the Administrative Agent prior to (a) in the case of Term Benchmark Loans, 11:00 a.m., New York City time, three U.S. Government Securities Business Days prior to the requested Borrowing Date, (b) in the case of Daily Simple SOFR Loans, 11:00</w:t>
      </w:r>
    </w:p>
    <w:p>
      <w:pPr>
        <w:spacing w:after="0" w:line="1" w:lineRule="exact"/>
        <w:rPr>
          <w:sz w:val="20"/>
          <w:szCs w:val="20"/>
          <w:color w:val="auto"/>
        </w:rPr>
      </w:pPr>
    </w:p>
    <w:p>
      <w:pPr>
        <w:ind w:left="424" w:right="520"/>
        <w:spacing w:after="0" w:line="250" w:lineRule="auto"/>
        <w:rPr>
          <w:sz w:val="20"/>
          <w:szCs w:val="20"/>
          <w:color w:val="auto"/>
        </w:rPr>
      </w:pPr>
      <w:r>
        <w:rPr>
          <w:rFonts w:ascii="Times New Roman" w:cs="Times New Roman" w:eastAsia="Times New Roman" w:hAnsi="Times New Roman"/>
          <w:sz w:val="18"/>
          <w:szCs w:val="18"/>
          <w:color w:val="auto"/>
        </w:rPr>
        <w:t>a.m., New York City time, three U.S. Government Securities Business Days prior to the requested Borrowing date or (c) in the case of ABR Loans, 11:00 A.M., New York City time, on the date of the proposed borrowing.</w:t>
      </w:r>
    </w:p>
    <w:p>
      <w:pPr>
        <w:spacing w:after="0" w:line="1" w:lineRule="exact"/>
        <w:rPr>
          <w:sz w:val="20"/>
          <w:szCs w:val="20"/>
          <w:color w:val="auto"/>
        </w:rPr>
      </w:pPr>
    </w:p>
    <w:p>
      <w:pPr>
        <w:ind w:left="424" w:right="280" w:hanging="424"/>
        <w:spacing w:after="0" w:line="200" w:lineRule="auto"/>
        <w:tabs>
          <w:tab w:leader="none" w:pos="424" w:val="left"/>
        </w:tabs>
        <w:numPr>
          <w:ilvl w:val="0"/>
          <w:numId w:val="1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borrowing shall be in an amount equal to $25 million (or, if the Total Available Commitments at such time are less than $25 million, such lesser amount) or a whole multiple of $5 million in excess thereof.</w:t>
      </w:r>
    </w:p>
    <w:p>
      <w:pPr>
        <w:sectPr>
          <w:pgSz w:w="11900" w:h="16838" w:orient="portrait"/>
          <w:cols w:equalWidth="0" w:num="1">
            <w:col w:w="11024"/>
          </w:cols>
          <w:pgMar w:left="436" w:top="266" w:right="439" w:bottom="1440" w:gutter="0" w:footer="0" w:header="0"/>
          <w:type w:val="continuous"/>
        </w:sectPr>
      </w:pPr>
    </w:p>
    <w:bookmarkStart w:id="183" w:name="page184"/>
    <w:bookmarkEnd w:id="183"/>
    <w:tbl>
      <w:tblPr>
        <w:tblLayout w:type="fixed"/>
        <w:tblInd w:w="444" w:type="dxa"/>
        <w:tblCellMar>
          <w:top w:w="0" w:type="dxa"/>
          <w:left w:w="0" w:type="dxa"/>
          <w:bottom w:w="0" w:type="dxa"/>
          <w:right w:w="0" w:type="dxa"/>
        </w:tblCellMar>
      </w:tblP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Type of Loan </w:t>
            </w:r>
            <w:r>
              <w:rPr>
                <w:rFonts w:ascii="Times New Roman" w:cs="Times New Roman" w:eastAsia="Times New Roman" w:hAnsi="Times New Roman"/>
                <w:sz w:val="26"/>
                <w:szCs w:val="26"/>
                <w:color w:val="auto"/>
                <w:vertAlign w:val="superscript"/>
              </w:rPr>
              <w:t>3</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w:t>
            </w: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Period and the last day thereof</w:t>
            </w:r>
            <w:r>
              <w:rPr>
                <w:rFonts w:ascii="Times New Roman" w:cs="Times New Roman" w:eastAsia="Times New Roman" w:hAnsi="Times New Roman"/>
                <w:sz w:val="26"/>
                <w:szCs w:val="26"/>
                <w:color w:val="auto"/>
                <w:vertAlign w:val="superscript"/>
              </w:rPr>
              <w:t>4</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Funds are requested to be disbursed to the Company’s account with _____________ (Account No.</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w:t>
            </w:r>
          </w:p>
        </w:tc>
      </w:tr>
      <w:tr>
        <w:trPr>
          <w:trHeight w:val="234"/>
        </w:trPr>
        <w:tc>
          <w:tcPr>
            <w:tcW w:w="340" w:type="dxa"/>
            <w:vAlign w:val="bottom"/>
          </w:tcPr>
          <w:p>
            <w:pPr>
              <w:spacing w:after="0"/>
              <w:rPr>
                <w:sz w:val="20"/>
                <w:szCs w:val="20"/>
                <w:color w:val="auto"/>
              </w:rPr>
            </w:pPr>
          </w:p>
        </w:tc>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_________________ ).</w:t>
            </w:r>
          </w:p>
        </w:tc>
        <w:tc>
          <w:tcPr>
            <w:tcW w:w="21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92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[Remainder of page intentionally left blank]</w:t>
            </w:r>
          </w:p>
        </w:tc>
        <w:tc>
          <w:tcPr>
            <w:tcW w:w="2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248285</wp:posOffset>
            </wp:positionV>
            <wp:extent cx="7715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8" w:lineRule="exact"/>
        <w:rPr>
          <w:sz w:val="20"/>
          <w:szCs w:val="20"/>
          <w:color w:val="auto"/>
        </w:rPr>
      </w:pPr>
    </w:p>
    <w:p>
      <w:pPr>
        <w:ind w:left="424" w:hanging="424"/>
        <w:spacing w:after="0"/>
        <w:tabs>
          <w:tab w:leader="none" w:pos="424" w:val="left"/>
        </w:tabs>
        <w:numPr>
          <w:ilvl w:val="0"/>
          <w:numId w:val="1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Specify Term Benchmark Borrowing, Daily Simple SOFR or ABR Borrowing.</w:t>
      </w:r>
    </w:p>
    <w:p>
      <w:pPr>
        <w:ind w:left="424" w:hanging="424"/>
        <w:spacing w:after="0" w:line="180" w:lineRule="auto"/>
        <w:tabs>
          <w:tab w:leader="none" w:pos="424" w:val="left"/>
        </w:tabs>
        <w:numPr>
          <w:ilvl w:val="0"/>
          <w:numId w:val="1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Which shall be subject to the definition of “Interest Period” and end on or before the Termination Date.</w:t>
      </w:r>
    </w:p>
    <w:p>
      <w:pPr>
        <w:sectPr>
          <w:pgSz w:w="11900" w:h="16838" w:orient="portrait"/>
          <w:cols w:equalWidth="0" w:num="1">
            <w:col w:w="10884"/>
          </w:cols>
          <w:pgMar w:left="436" w:top="270" w:right="579" w:bottom="1440" w:gutter="0" w:footer="0" w:header="0"/>
        </w:sectPr>
      </w:pPr>
    </w:p>
    <w:bookmarkStart w:id="184" w:name="page185"/>
    <w:bookmarkEnd w:id="184"/>
    <w:p>
      <w:pPr>
        <w:ind w:left="4" w:firstLine="991"/>
        <w:spacing w:after="0" w:line="29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Borrower hereby represents and warrants to the Administrative Agent and the Lenders that, on the date of the requested Extension of Credit, the conditions to lending specified in Section[s] [5.1 and</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5.2 of the Credit Agreement have been satisfied.</w:t>
      </w:r>
    </w:p>
    <w:p>
      <w:pPr>
        <w:spacing w:after="0" w:line="5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715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5" w:lineRule="exact"/>
        <w:rPr>
          <w:sz w:val="20"/>
          <w:szCs w:val="20"/>
          <w:color w:val="auto"/>
        </w:rPr>
      </w:pPr>
    </w:p>
    <w:p>
      <w:pPr>
        <w:ind w:left="424" w:hanging="424"/>
        <w:spacing w:after="0"/>
        <w:tabs>
          <w:tab w:leader="none" w:pos="424" w:val="left"/>
        </w:tabs>
        <w:numPr>
          <w:ilvl w:val="0"/>
          <w:numId w:val="1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Borrowing on the Closing Date.]</w:t>
      </w:r>
    </w:p>
    <w:p>
      <w:pPr>
        <w:sectPr>
          <w:pgSz w:w="11900" w:h="16838" w:orient="portrait"/>
          <w:cols w:equalWidth="0" w:num="1">
            <w:col w:w="10764"/>
          </w:cols>
          <w:pgMar w:left="436" w:top="270" w:right="699" w:bottom="1440" w:gutter="0" w:footer="0" w:header="0"/>
        </w:sectPr>
      </w:pPr>
    </w:p>
    <w:bookmarkStart w:id="185" w:name="page186"/>
    <w:bookmarkEnd w:id="185"/>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GM Reinstates 2023 Earnings Guidance and Announces a $10 Billion Accelerated Share Repurchase Program and 33% Dividend Increase Starting in 2024</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Co. (NYSE: GM) announced today it is reinstating its full-year 2023 earnings guidance. In addition,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a $10 billion accelerated share repurchase (ASR) program and its intention to increase its common stock dividend by 33% beginning with the January 2024 declaration.</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“GM will deliver very strong profits in 2023 thanks to an exceptional portfolio of vehicles that customers love and our operating discipline,” said GM Chair and CEO Mary Barra.</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finalizing a 2024 budget that will fully offset the incremental costs of our new labor agreements and the long-term plan we are executing includes reducing the capital intensity of the business, developing products even more efficiently, and further reducing our fixed and variable costs,” she added. “With this clear path forward, and our strong balance sheet, we will return significant capital to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guidance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2023, GM twice raised its full-year earnings guidance before withdrawing it in the third quarter due to labor disruptions. GM’s reinstated guidance includes an estimated $1.1 billion EBIT-adjusted impact from the UAW strike, primarily from lost production.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include:</w:t>
      </w:r>
    </w:p>
    <w:p>
      <w:pPr>
        <w:spacing w:after="0" w:line="131" w:lineRule="exact"/>
        <w:rPr>
          <w:sz w:val="20"/>
          <w:szCs w:val="20"/>
          <w:color w:val="auto"/>
        </w:rPr>
      </w:pPr>
    </w:p>
    <w:p>
      <w:pPr>
        <w:ind w:left="960" w:hanging="424"/>
        <w:spacing w:after="0"/>
        <w:tabs>
          <w:tab w:leader="none" w:pos="9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stockholders of $9.1 billion-$9.7 billion, compared to the previous outlook of $9.3 billion-$10.7 billion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EBIT-adjusted of $11.7 billion-$12.7 billion, compared to the previous outlook of $12.0 billion-$14.0 billion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EPS-diluted in the $6.52-$7.02 range, including the estimated impact of the ASR, compared to the previous outlook of $6.54-$7.54</w:t>
      </w:r>
    </w:p>
    <w:p>
      <w:pPr>
        <w:spacing w:after="0" w:line="130" w:lineRule="exact"/>
        <w:rPr>
          <w:rFonts w:ascii="Times New Roman" w:cs="Times New Roman" w:eastAsia="Times New Roman" w:hAnsi="Times New Roman"/>
          <w:sz w:val="18"/>
          <w:szCs w:val="18"/>
          <w:color w:val="auto"/>
        </w:rPr>
      </w:pPr>
    </w:p>
    <w:p>
      <w:pPr>
        <w:ind w:left="960" w:right="900" w:hanging="424"/>
        <w:spacing w:after="0" w:line="282" w:lineRule="auto"/>
        <w:tabs>
          <w:tab w:leader="none" w:pos="9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EPS-diluted-adjusted in the $7.20-$7.70 range including the estimated impact of the ASR, compared to the previous outlook of $7.15-$8.15</w:t>
      </w:r>
    </w:p>
    <w:p>
      <w:pPr>
        <w:spacing w:after="0" w:line="67" w:lineRule="exact"/>
        <w:rPr>
          <w:rFonts w:ascii="Times New Roman" w:cs="Times New Roman" w:eastAsia="Times New Roman" w:hAnsi="Times New Roman"/>
          <w:sz w:val="18"/>
          <w:szCs w:val="18"/>
          <w:color w:val="auto"/>
        </w:rPr>
      </w:pPr>
    </w:p>
    <w:p>
      <w:pPr>
        <w:ind w:left="960" w:right="1600" w:hanging="424"/>
        <w:spacing w:after="0" w:line="282" w:lineRule="auto"/>
        <w:tabs>
          <w:tab w:leader="none" w:pos="9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automotive cash provided by operating activities of $19.5 billion-$21.0 billion, compared to the previous outlook of $17.4 billion-$20.4 billion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automotive free cash flow of $10.5 billion-$11.5 billion, compared to the previous outlook of $7.0 billion-$9.0 billion</w:t>
      </w:r>
    </w:p>
    <w:p>
      <w:pPr>
        <w:spacing w:after="0" w:line="225" w:lineRule="exact"/>
        <w:rPr>
          <w:sz w:val="20"/>
          <w:szCs w:val="20"/>
          <w:color w:val="auto"/>
        </w:rPr>
      </w:pPr>
    </w:p>
    <w:p>
      <w:pPr>
        <w:ind w:right="980"/>
        <w:spacing w:after="0" w:line="312" w:lineRule="auto"/>
        <w:rPr>
          <w:sz w:val="20"/>
          <w:szCs w:val="20"/>
          <w:color w:val="auto"/>
        </w:rPr>
      </w:pPr>
      <w:r>
        <w:rPr>
          <w:rFonts w:ascii="Times New Roman" w:cs="Times New Roman" w:eastAsia="Times New Roman" w:hAnsi="Times New Roman"/>
          <w:sz w:val="17"/>
          <w:szCs w:val="17"/>
          <w:color w:val="auto"/>
        </w:rPr>
        <w:t>GM now anticipates full-year 2023 capital spending to be $11.0 billion-$11.5 billion, which is at the low end of its prior guidance range of $11.0 billion-$12.0 billion, driven by the previously announced retiming of certain product programs and more capital-efficient investment.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share repurchase program</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GM’s ASR program, GM will advance an aggregate of $10.0 billion to the executing banks and will immediately receive and retire $6.8 billion worth of GM’s common stock. GM had approximately 1.37 billion shares of common stock outstanding prior to the ASR.</w:t>
      </w:r>
    </w:p>
    <w:p>
      <w:pPr>
        <w:sectPr>
          <w:pgSz w:w="11900" w:h="16838" w:orient="portrait"/>
          <w:cols w:equalWidth="0" w:num="1">
            <w:col w:w="11020"/>
          </w:cols>
          <w:pgMar w:left="440" w:top="117" w:right="439" w:bottom="1440" w:gutter="0" w:footer="0" w:header="0"/>
        </w:sectPr>
      </w:pPr>
    </w:p>
    <w:bookmarkStart w:id="186" w:name="page187"/>
    <w:bookmarkEnd w:id="186"/>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total number of shares ultimately repurchased under the ASR program will be determined upon final settlement and will be based on the average of the daily volume-weighted average prices of GM’s common stock during the term of the ASR program. The ASR program is expected to conclude in the fourth quarter of 2024. The ASR program will be executed by Bank of America, N.A., Goldman Sachs &amp; Co. LLC, Barclays Bank PLC and Citibank, N.A.</w:t>
      </w:r>
    </w:p>
    <w:p>
      <w:pPr>
        <w:spacing w:after="0" w:line="180"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Outside of the ASR program, GM will have $1.4 billion of capacity remaining under its share repurchase authorization for additional, opportunistic share repurchases.</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GM has also canceled the $6.0 billion revolving credit facility it entered in October and plans to enter into a new 364-day $3.0 billion committed credit facility with the banks executing the ASR acting as lenders.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GM also expects to increase its common stock dividend by 3 cents per quarter to 12 cents beginning in 2024.</w:t>
      </w:r>
    </w:p>
    <w:p>
      <w:pPr>
        <w:spacing w:after="0" w:line="221"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(NYSE:GM) is a global company focused on advancing an all-electric future that is inclusive and accessible to all. At the heart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strategy is the Ultium battery platform, which will power everything from mass-market to high-performance vehicles. General Motors, its subsidiaries and its joint venture entities sell vehicles under the </w:t>
      </w:r>
      <w:r>
        <w:rPr>
          <w:rFonts w:ascii="Times New Roman" w:cs="Times New Roman" w:eastAsia="Times New Roman" w:hAnsi="Times New Roman"/>
          <w:sz w:val="18"/>
          <w:szCs w:val="18"/>
          <w:u w:val="single" w:color="auto"/>
          <w:color w:val="auto"/>
        </w:rPr>
        <w:t>Chevrolet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Cadillac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Baojun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Wuling</w:t>
      </w:r>
      <w:r>
        <w:rPr>
          <w:rFonts w:ascii="Times New Roman" w:cs="Times New Roman" w:eastAsia="Times New Roman" w:hAnsi="Times New Roman"/>
          <w:sz w:val="18"/>
          <w:szCs w:val="18"/>
          <w:color w:val="auto"/>
        </w:rPr>
        <w:t xml:space="preserve"> brands. More information on the company and its subsidiaries, including </w:t>
      </w:r>
      <w:r>
        <w:rPr>
          <w:rFonts w:ascii="Times New Roman" w:cs="Times New Roman" w:eastAsia="Times New Roman" w:hAnsi="Times New Roman"/>
          <w:sz w:val="18"/>
          <w:szCs w:val="18"/>
          <w:u w:val="single" w:color="auto"/>
          <w:color w:val="auto"/>
        </w:rPr>
        <w:t>OnStar</w:t>
      </w:r>
      <w:r>
        <w:rPr>
          <w:rFonts w:ascii="Times New Roman" w:cs="Times New Roman" w:eastAsia="Times New Roman" w:hAnsi="Times New Roman"/>
          <w:sz w:val="18"/>
          <w:szCs w:val="18"/>
          <w:color w:val="auto"/>
        </w:rPr>
        <w:t xml:space="preserve">, a global leader in vehicle safety and security services, can be found at </w:t>
      </w:r>
      <w:r>
        <w:rPr>
          <w:rFonts w:ascii="Times New Roman" w:cs="Times New Roman" w:eastAsia="Times New Roman" w:hAnsi="Times New Roman"/>
          <w:sz w:val="18"/>
          <w:szCs w:val="18"/>
          <w:u w:val="single" w:color="auto"/>
          <w:color w:val="auto"/>
        </w:rPr>
        <w:t>https://www.gm.com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Cautionary Note on Forward-Looking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press release and related comments by management, may include “forward-looking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within the meaning of the U.S. federal securities laws. Future declarations of quarterly dividends and the establishment of future record and payment dates are at the discretion of our Board of Directors and will be based on a number of factors, including our future financial performance and other investment priorities.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w:t>
      </w:r>
    </w:p>
    <w:p>
      <w:pPr>
        <w:spacing w:after="0" w:line="6" w:lineRule="exact"/>
        <w:rPr>
          <w:sz w:val="20"/>
          <w:szCs w:val="20"/>
          <w:color w:val="auto"/>
        </w:rPr>
      </w:pPr>
    </w:p>
    <w:p>
      <w:pPr>
        <w:ind w:left="4" w:right="140" w:hanging="4"/>
        <w:spacing w:after="0" w:line="265" w:lineRule="auto"/>
        <w:tabs>
          <w:tab w:leader="none" w:pos="259"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timely fund and introduce new and improved vehicle models; (3) our ability to profitably deliver a broad portfolio of electric vehicles (EVs); (4) the success of our current line of internal combustion engine vehicles; (5) our highly competitive industry; (6) the unique technological, operational, regulatory and competitive risks related to the timing and commercialization of autonomous vehicles (AVs), including the various regulatory approvals and permits required for operating driverless AVs in multiple markets; (7) risks associated with climate change; (8) global automobile market sales volume; (9) inflationary pressures, persistently high prices, uncertain availability of raw materials and commodities, and instability in logistics and related costs; (10) our business in China, which is subject to unique operational, competitive, regulatory and economic risks;</w:t>
      </w:r>
    </w:p>
    <w:p>
      <w:pPr>
        <w:ind w:left="344" w:hanging="344"/>
        <w:spacing w:after="0"/>
        <w:tabs>
          <w:tab w:leader="none" w:pos="3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strategic business relationships and of our joint ventures; (12) the international scale and footprint of our operations,</w:t>
      </w:r>
    </w:p>
    <w:p>
      <w:pPr>
        <w:spacing w:after="0" w:line="9"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exposes us to a variety of unique political, economic, competitive and regulatory risks; (13) any significant disruption at any of our manufacturing facilities; (14) the ability</w:t>
      </w:r>
    </w:p>
    <w:p>
      <w:pPr>
        <w:sectPr>
          <w:pgSz w:w="11900" w:h="16838" w:orient="portrait"/>
          <w:cols w:equalWidth="0" w:num="1">
            <w:col w:w="11004"/>
          </w:cols>
          <w:pgMar w:left="436" w:top="270" w:right="459" w:bottom="1440" w:gutter="0" w:footer="0" w:header="0"/>
        </w:sectPr>
      </w:pPr>
    </w:p>
    <w:bookmarkStart w:id="187" w:name="page188"/>
    <w:bookmarkEnd w:id="18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our suppliers to deliver parts, systems and components without disruption and at such times to allow us to meet production schedules;</w:t>
      </w:r>
    </w:p>
    <w:p>
      <w:pPr>
        <w:spacing w:after="0" w:line="27" w:lineRule="exact"/>
        <w:rPr>
          <w:sz w:val="20"/>
          <w:szCs w:val="20"/>
          <w:color w:val="auto"/>
        </w:rPr>
      </w:pPr>
    </w:p>
    <w:p>
      <w:pPr>
        <w:ind w:left="4" w:hanging="4"/>
        <w:spacing w:after="0" w:line="265" w:lineRule="auto"/>
        <w:tabs>
          <w:tab w:leader="none" w:pos="349"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epidemics, disease outbreaks and other public health crises;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(18) our ability to comply with increasingly complex, restrictive and punitive regulations relating to our enterprise data practices;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w:t>
      </w:r>
    </w:p>
    <w:p>
      <w:pPr>
        <w:spacing w:after="0" w:line="1" w:lineRule="exact"/>
        <w:rPr>
          <w:rFonts w:ascii="Times New Roman" w:cs="Times New Roman" w:eastAsia="Times New Roman" w:hAnsi="Times New Roman"/>
          <w:sz w:val="17"/>
          <w:szCs w:val="17"/>
          <w:color w:val="auto"/>
        </w:rPr>
      </w:pPr>
    </w:p>
    <w:p>
      <w:pPr>
        <w:ind w:left="4" w:right="20" w:hanging="4"/>
        <w:spacing w:after="0" w:line="271" w:lineRule="auto"/>
        <w:tabs>
          <w:tab w:leader="none" w:pos="349"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continued ability to develop captive financing capability through General Motors Financial Company, Inc.; and (24) any significant increase in our pension funding requirements. A further list and description of these risks, uncertainties and other factors can be found in our most recent Annual Report on Form 10-K and our subsequent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78"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Ashish Kohli</w:t>
            </w:r>
          </w:p>
        </w:tc>
        <w:tc>
          <w:tcPr>
            <w:tcW w:w="362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Jim Cain</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 Investor Relations</w:t>
            </w:r>
          </w:p>
        </w:tc>
        <w:tc>
          <w:tcPr>
            <w:tcW w:w="362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w w:val="98"/>
              </w:rPr>
              <w:t>GM Communications</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847-964-3459</w:t>
            </w:r>
          </w:p>
        </w:tc>
        <w:tc>
          <w:tcPr>
            <w:tcW w:w="2060" w:type="dxa"/>
            <w:vAlign w:val="bottom"/>
          </w:tcPr>
          <w:p>
            <w:pPr>
              <w:spacing w:after="0"/>
              <w:rPr>
                <w:sz w:val="18"/>
                <w:szCs w:val="18"/>
                <w:color w:val="auto"/>
              </w:rPr>
            </w:pPr>
          </w:p>
        </w:tc>
        <w:tc>
          <w:tcPr>
            <w:tcW w:w="3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313-407-2843</w:t>
            </w:r>
          </w:p>
        </w:tc>
        <w:tc>
          <w:tcPr>
            <w:tcW w:w="60" w:type="dxa"/>
            <w:vAlign w:val="bottom"/>
          </w:tcPr>
          <w:p>
            <w:pPr>
              <w:spacing w:after="0"/>
              <w:rPr>
                <w:sz w:val="18"/>
                <w:szCs w:val="18"/>
                <w:color w:val="auto"/>
              </w:rPr>
            </w:pPr>
          </w:p>
        </w:tc>
      </w:tr>
      <w:tr>
        <w:trPr>
          <w:trHeight w:val="194"/>
        </w:trPr>
        <w:tc>
          <w:tcPr>
            <w:tcW w:w="1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ashish.kohli@gm.com</w:t>
            </w:r>
          </w:p>
        </w:tc>
        <w:tc>
          <w:tcPr>
            <w:tcW w:w="2060" w:type="dxa"/>
            <w:vAlign w:val="bottom"/>
          </w:tcPr>
          <w:p>
            <w:pPr>
              <w:spacing w:after="0"/>
              <w:rPr>
                <w:sz w:val="16"/>
                <w:szCs w:val="16"/>
                <w:color w:val="auto"/>
              </w:rPr>
            </w:pPr>
          </w:p>
        </w:tc>
        <w:tc>
          <w:tcPr>
            <w:tcW w:w="3620" w:type="dxa"/>
            <w:vAlign w:val="bottom"/>
            <w:gridSpan w:val="3"/>
          </w:tcPr>
          <w:p>
            <w:pPr>
              <w:ind w:left="2060"/>
              <w:spacing w:after="0" w:line="194" w:lineRule="exact"/>
              <w:rPr>
                <w:sz w:val="20"/>
                <w:szCs w:val="20"/>
                <w:color w:val="auto"/>
              </w:rPr>
            </w:pPr>
            <w:r>
              <w:rPr>
                <w:rFonts w:ascii="Times New Roman" w:cs="Times New Roman" w:eastAsia="Times New Roman" w:hAnsi="Times New Roman"/>
                <w:sz w:val="18"/>
                <w:szCs w:val="18"/>
                <w:color w:val="auto"/>
              </w:rPr>
              <w:t>james.cain@gm.com</w:t>
            </w:r>
          </w:p>
        </w:tc>
      </w:tr>
      <w:tr>
        <w:trPr>
          <w:trHeight w:val="20"/>
        </w:trPr>
        <w:tc>
          <w:tcPr>
            <w:tcW w:w="16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Guidance Reconciliations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under U.S. GAAP to expected EBIT-adjusted (dollars in billions):</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interest income, net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EBIT-adjusted</w:t>
            </w:r>
          </w:p>
        </w:tc>
        <w:tc>
          <w:tcPr>
            <w:tcW w:w="18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11.7-12.7</w:t>
            </w:r>
          </w:p>
        </w:tc>
      </w:tr>
    </w:tbl>
    <w:p>
      <w:pPr>
        <w:sectPr>
          <w:pgSz w:w="11900" w:h="16838" w:orient="portrait"/>
          <w:cols w:equalWidth="0" w:num="1">
            <w:col w:w="10984"/>
          </w:cols>
          <w:pgMar w:left="436" w:top="270" w:right="479" w:bottom="1440" w:gutter="0" w:footer="0" w:header="0"/>
        </w:sectPr>
      </w:pPr>
    </w:p>
    <w:bookmarkStart w:id="188" w:name="page189"/>
    <w:bookmarkEnd w:id="18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reconciles expected EPS-diluted under U.S. GAAP to expected EPS-diluted-adjusted:</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EPS-diluted-adjusted</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7.20-7.70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following table reconciles expected automotive net cash provided by operating activities under U.S. GAAP to expected adjusted automotive free cash flow (dollars in billions):</w:t>
      </w:r>
    </w:p>
    <w:p>
      <w:pPr>
        <w:spacing w:after="0" w:line="170"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62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automotive cash provided by operating activities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19.5-21.0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10.3-10.8</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Adjusted automotive free cash flow</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5"/>
              </w:rPr>
              <w:t>10.5-11.5</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24" w:hanging="424"/>
        <w:spacing w:after="0" w:line="266" w:lineRule="auto"/>
        <w:tabs>
          <w:tab w:leader="none" w:pos="4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as of September 30th, 2023. Includes adjustments related to our Buick dealer strategy, voluntary separation program, and GM Korea wage litigation. See our Quarterly Report on Form 10-Q for the quarter ended September 30, 2023 for full details. We do not consider the potential future impact of adjustments on our expected financial results.</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1)"/>
      <w:numFmt w:val="decimal"/>
      <w:start w:val="2"/>
    </w:lvl>
  </w:abstractNum>
  <w:abstractNum w:abstractNumId="3">
    <w:nsid w:val="50801EE1"/>
    <w:multiLevelType w:val="hybridMultilevel"/>
    <w:lvl w:ilvl="0">
      <w:lvlJc w:val="left"/>
      <w:lvlText w:val="(%1)"/>
      <w:numFmt w:val="decimal"/>
      <w:start w:val="4"/>
    </w:lvl>
  </w:abstractNum>
  <w:abstractNum w:abstractNumId="4">
    <w:nsid w:val="488AC1A"/>
    <w:multiLevelType w:val="hybridMultilevel"/>
    <w:lvl w:ilvl="0">
      <w:lvlJc w:val="left"/>
      <w:lvlText w:val="(%1)"/>
      <w:numFmt w:val="decimal"/>
      <w:start w:val="15"/>
    </w:lvl>
  </w:abstractNum>
  <w:abstractNum w:abstractNumId="5">
    <w:nsid w:val="5FB8011C"/>
    <w:multiLevelType w:val="hybridMultilevel"/>
    <w:lvl w:ilvl="0">
      <w:lvlJc w:val="left"/>
      <w:lvlText w:val="(%1)"/>
      <w:numFmt w:val="decimal"/>
      <w:start w:val="23"/>
    </w:lvl>
  </w:abstractNum>
  <w:abstractNum w:abstractNumId="6">
    <w:nsid w:val="6AA78F7F"/>
    <w:multiLevelType w:val="hybridMultilevel"/>
    <w:lvl w:ilvl="0">
      <w:lvlJc w:val="left"/>
      <w:lvlText w:val="(%1)"/>
      <w:numFmt w:val="lowerLetter"/>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1"/>
      <w:numFmt w:val="bullet"/>
      <w:start w:val="1"/>
    </w:lvl>
  </w:abstractNum>
  <w:abstractNum w:abstractNumId="9">
    <w:nsid w:val="6A5F7029"/>
    <w:multiLevelType w:val="hybridMultilevel"/>
    <w:lvl w:ilvl="0">
      <w:lvlJc w:val="left"/>
      <w:lvlText w:val="%1."/>
      <w:numFmt w:val="decimal"/>
      <w:start w:val="1"/>
    </w:lvl>
  </w:abstractNum>
  <w:abstractNum w:abstractNumId="10">
    <w:nsid w:val="7D5E18F8"/>
    <w:multiLevelType w:val="hybridMultilevel"/>
    <w:lvl w:ilvl="0">
      <w:lvlJc w:val="left"/>
      <w:lvlText w:val="%1."/>
      <w:numFmt w:val="decimal"/>
      <w:start w:val="2"/>
    </w:lvl>
    <w:lvl w:ilvl="1">
      <w:lvlJc w:val="left"/>
      <w:lvlText w:val="(%2)"/>
      <w:numFmt w:val="lowerLetter"/>
      <w:start w:val="1"/>
    </w:lvl>
  </w:abstractNum>
  <w:abstractNum w:abstractNumId="11">
    <w:nsid w:val="5F3534A4"/>
    <w:multiLevelType w:val="hybridMultilevel"/>
    <w:lvl w:ilvl="0">
      <w:lvlJc w:val="left"/>
      <w:lvlText w:val="2"/>
      <w:numFmt w:val="bullet"/>
      <w:start w:val="1"/>
    </w:lvl>
  </w:abstractNum>
  <w:abstractNum w:abstractNumId="12">
    <w:nsid w:val="73A1821B"/>
    <w:multiLevelType w:val="hybridMultilevel"/>
    <w:lvl w:ilvl="0">
      <w:lvlJc w:val="left"/>
      <w:lvlText w:val="3"/>
      <w:numFmt w:val="bullet"/>
      <w:start w:val="1"/>
    </w:lvl>
  </w:abstractNum>
  <w:abstractNum w:abstractNumId="13">
    <w:nsid w:val="7DE67713"/>
    <w:multiLevelType w:val="hybridMultilevel"/>
    <w:lvl w:ilvl="0">
      <w:lvlJc w:val="left"/>
      <w:lvlText w:val="4"/>
      <w:numFmt w:val="bullet"/>
      <w:start w:val="1"/>
    </w:lvl>
  </w:abstractNum>
  <w:abstractNum w:abstractNumId="14">
    <w:nsid w:val="555C55B5"/>
    <w:multiLevelType w:val="hybridMultilevel"/>
    <w:lvl w:ilvl="0">
      <w:lvlJc w:val="left"/>
      <w:lvlText w:val="(%1)"/>
      <w:numFmt w:val="lowerLetter"/>
      <w:start w:val="2"/>
    </w:lvl>
  </w:abstractNum>
  <w:abstractNum w:abstractNumId="15">
    <w:nsid w:val="3FA62ACA"/>
    <w:multiLevelType w:val="hybridMultilevel"/>
    <w:lvl w:ilvl="0">
      <w:lvlJc w:val="left"/>
      <w:lvlText w:val="(%1)"/>
      <w:numFmt w:val="lowerLetter"/>
      <w:start w:val="7"/>
    </w:lvl>
  </w:abstractNum>
  <w:abstractNum w:abstractNumId="16">
    <w:nsid w:val="14FCE74E"/>
    <w:multiLevelType w:val="hybridMultilevel"/>
    <w:lvl w:ilvl="0">
      <w:lvlJc w:val="left"/>
      <w:lvlText w:val="%1"/>
      <w:numFmt w:val="decimal"/>
      <w:start w:val="1"/>
    </w:lvl>
    <w:lvl w:ilvl="1">
      <w:lvlJc w:val="left"/>
      <w:lvlText w:val="(%2)"/>
      <w:numFmt w:val="lowerLetter"/>
      <w:start w:val="9"/>
    </w:lvl>
  </w:abstractNum>
  <w:abstractNum w:abstractNumId="17">
    <w:nsid w:val="6A3DD3E8"/>
    <w:multiLevelType w:val="hybridMultilevel"/>
    <w:lvl w:ilvl="0">
      <w:lvlJc w:val="left"/>
      <w:lvlText w:val="%1."/>
      <w:numFmt w:val="decimal"/>
      <w:start w:val="5"/>
    </w:lvl>
    <w:lvl w:ilvl="1">
      <w:lvlJc w:val="left"/>
      <w:lvlText w:val="(%2)"/>
      <w:numFmt w:val="lowerLetter"/>
      <w:start w:val="1"/>
    </w:lvl>
  </w:abstractNum>
  <w:abstractNum w:abstractNumId="18">
    <w:nsid w:val="71C91298"/>
    <w:multiLevelType w:val="hybridMultilevel"/>
    <w:lvl w:ilvl="0">
      <w:lvlJc w:val="left"/>
      <w:lvlText w:val="%1"/>
      <w:numFmt w:val="decimal"/>
      <w:start w:val="1"/>
    </w:lvl>
    <w:lvl w:ilvl="1">
      <w:lvlJc w:val="left"/>
      <w:lvlText w:val="(%2)"/>
      <w:numFmt w:val="lowerLetter"/>
      <w:start w:val="4"/>
    </w:lvl>
  </w:abstractNum>
  <w:abstractNum w:abstractNumId="19">
    <w:nsid w:val="9DAF632"/>
    <w:multiLevelType w:val="hybridMultilevel"/>
    <w:lvl w:ilvl="0">
      <w:lvlJc w:val="left"/>
      <w:lvlText w:val="%1."/>
      <w:numFmt w:val="decimal"/>
      <w:start w:val="8"/>
    </w:lvl>
    <w:lvl w:ilvl="1">
      <w:lvlJc w:val="left"/>
      <w:lvlText w:val="(%2)"/>
      <w:numFmt w:val="lowerLetter"/>
      <w:start w:val="1"/>
    </w:lvl>
  </w:abstractNum>
  <w:abstractNum w:abstractNumId="20">
    <w:nsid w:val="53299938"/>
    <w:multiLevelType w:val="hybridMultilevel"/>
    <w:lvl w:ilvl="0">
      <w:lvlJc w:val="left"/>
      <w:lvlText w:val="(%1)"/>
      <w:numFmt w:val="lowerRoman"/>
      <w:start w:val="1"/>
    </w:lvl>
  </w:abstractNum>
  <w:abstractNum w:abstractNumId="21">
    <w:nsid w:val="1FBFE8E0"/>
    <w:multiLevelType w:val="hybridMultilevel"/>
    <w:lvl w:ilvl="0">
      <w:lvlJc w:val="left"/>
      <w:lvlText w:val="%1"/>
      <w:numFmt w:val="lowerLetter"/>
      <w:start w:val="1"/>
    </w:lvl>
    <w:lvl w:ilvl="1">
      <w:lvlJc w:val="left"/>
      <w:lvlText w:val="(%2)"/>
      <w:numFmt w:val="lowerRoman"/>
      <w:start w:val="2"/>
    </w:lvl>
  </w:abstractNum>
  <w:abstractNum w:abstractNumId="22">
    <w:nsid w:val="5092CA79"/>
    <w:multiLevelType w:val="hybridMultilevel"/>
    <w:lvl w:ilvl="0">
      <w:lvlJc w:val="left"/>
      <w:lvlText w:val="(%1)"/>
      <w:numFmt w:val="lowerLetter"/>
      <w:start w:val="2"/>
    </w:lvl>
    <w:lvl w:ilvl="1">
      <w:lvlJc w:val="left"/>
      <w:lvlText w:val="%2"/>
      <w:numFmt w:val="lowerRoman"/>
      <w:start w:val="1"/>
    </w:lvl>
  </w:abstractNum>
  <w:abstractNum w:abstractNumId="23">
    <w:nsid w:val="1D545C4D"/>
    <w:multiLevelType w:val="hybridMultilevel"/>
    <w:lvl w:ilvl="0">
      <w:lvlJc w:val="left"/>
      <w:lvlText w:val="%1."/>
      <w:numFmt w:val="decimal"/>
      <w:start w:val="10"/>
    </w:lvl>
    <w:lvl w:ilvl="1">
      <w:lvlJc w:val="left"/>
      <w:lvlText w:val="(%2)"/>
      <w:numFmt w:val="lowerLetter"/>
      <w:start w:val="2"/>
    </w:lvl>
  </w:abstractNum>
  <w:abstractNum w:abstractNumId="24">
    <w:nsid w:val="59ADEA3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5">
    <w:nsid w:val="288F1A34"/>
    <w:multiLevelType w:val="hybridMultilevel"/>
    <w:lvl w:ilvl="0">
      <w:lvlJc w:val="left"/>
      <w:lvlText w:val="%1."/>
      <w:numFmt w:val="decimal"/>
      <w:start w:val="12"/>
    </w:lvl>
  </w:abstractNum>
  <w:abstractNum w:abstractNumId="26">
    <w:nsid w:val="2A155DBC"/>
    <w:multiLevelType w:val="hybridMultilevel"/>
    <w:lvl w:ilvl="0">
      <w:lvlJc w:val="left"/>
      <w:lvlText w:val="%1."/>
      <w:numFmt w:val="decimal"/>
      <w:start w:val="16"/>
    </w:lvl>
  </w:abstractNum>
  <w:abstractNum w:abstractNumId="27">
    <w:nsid w:val="1D9F6E5F"/>
    <w:multiLevelType w:val="hybridMultilevel"/>
    <w:lvl w:ilvl="0">
      <w:lvlJc w:val="left"/>
      <w:lvlText w:val="%1."/>
      <w:numFmt w:val="decimal"/>
      <w:start w:val="20"/>
    </w:lvl>
    <w:lvl w:ilvl="1">
      <w:lvlJc w:val="left"/>
      <w:lvlText w:val="(%2)"/>
      <w:numFmt w:val="lowerLetter"/>
      <w:start w:val="1"/>
    </w:lvl>
  </w:abstractNum>
  <w:abstractNum w:abstractNumId="28">
    <w:nsid w:val="97E1B4E"/>
    <w:multiLevelType w:val="hybridMultilevel"/>
    <w:lvl w:ilvl="0">
      <w:lvlJc w:val="left"/>
      <w:lvlText w:val="%1."/>
      <w:numFmt w:val="decimal"/>
      <w:start w:val="26"/>
    </w:lvl>
    <w:lvl w:ilvl="1">
      <w:lvlJc w:val="left"/>
      <w:lvlText w:val="(%2)"/>
      <w:numFmt w:val="lowerLetter"/>
      <w:start w:val="1"/>
    </w:lvl>
  </w:abstractNum>
  <w:abstractNum w:abstractNumId="29">
    <w:nsid w:val="51088277"/>
    <w:multiLevelType w:val="hybridMultilevel"/>
    <w:lvl w:ilvl="0">
      <w:lvlJc w:val="left"/>
      <w:lvlText w:val="%1."/>
      <w:numFmt w:val="decimal"/>
      <w:start w:val="1"/>
    </w:lvl>
  </w:abstractNum>
  <w:abstractNum w:abstractNumId="30">
    <w:nsid w:val="1CA0C5FA"/>
    <w:multiLevelType w:val="hybridMultilevel"/>
    <w:lvl w:ilvl="0">
      <w:lvlJc w:val="left"/>
      <w:lvlText w:val="%1."/>
      <w:numFmt w:val="decimal"/>
      <w:start w:val="4"/>
    </w:lvl>
    <w:lvl w:ilvl="1">
      <w:lvlJc w:val="left"/>
      <w:lvlText w:val=";"/>
      <w:numFmt w:val="bullet"/>
      <w:start w:val="1"/>
    </w:lvl>
  </w:abstractNum>
  <w:abstractNum w:abstractNumId="31">
    <w:nsid w:val="53584BCB"/>
    <w:multiLevelType w:val="hybridMultilevel"/>
    <w:lvl w:ilvl="0">
      <w:lvlJc w:val="left"/>
      <w:lvlText w:val="%1."/>
      <w:numFmt w:val="decimal"/>
      <w:start w:val="6"/>
    </w:lvl>
  </w:abstractNum>
  <w:abstractNum w:abstractNumId="32">
    <w:nsid w:val="415E286C"/>
    <w:multiLevelType w:val="hybridMultilevel"/>
    <w:lvl w:ilvl="0">
      <w:lvlJc w:val="left"/>
      <w:lvlText w:val="%1."/>
      <w:numFmt w:val="decimal"/>
      <w:start w:val="2"/>
    </w:lvl>
  </w:abstractNum>
  <w:abstractNum w:abstractNumId="33">
    <w:nsid w:val="7C58FD05"/>
    <w:multiLevelType w:val="hybridMultilevel"/>
    <w:lvl w:ilvl="0">
      <w:lvlJc w:val="left"/>
      <w:lvlText w:val="(%1)"/>
      <w:numFmt w:val="lowerLetter"/>
      <w:start w:val="1"/>
    </w:lvl>
  </w:abstractNum>
  <w:abstractNum w:abstractNumId="34">
    <w:nsid w:val="23D86AAC"/>
    <w:multiLevelType w:val="hybridMultilevel"/>
    <w:lvl w:ilvl="0">
      <w:lvlJc w:val="left"/>
      <w:lvlText w:val="(%1)"/>
      <w:numFmt w:val="lowerLetter"/>
      <w:start w:val="1"/>
    </w:lvl>
  </w:abstractNum>
  <w:abstractNum w:abstractNumId="35">
    <w:nsid w:val="45E6D486"/>
    <w:multiLevelType w:val="hybridMultilevel"/>
    <w:lvl w:ilvl="0">
      <w:lvlJc w:val="left"/>
      <w:lvlText w:val="(%1)"/>
      <w:numFmt w:val="lowerLetter"/>
      <w:start w:val="3"/>
    </w:lvl>
  </w:abstractNum>
  <w:abstractNum w:abstractNumId="36">
    <w:nsid w:val="5C10FE21"/>
    <w:multiLevelType w:val="hybridMultilevel"/>
    <w:lvl w:ilvl="0">
      <w:lvlJc w:val="left"/>
      <w:lvlText w:val="%1."/>
      <w:numFmt w:val="decimal"/>
      <w:start w:val="5"/>
    </w:lvl>
  </w:abstractNum>
  <w:abstractNum w:abstractNumId="37">
    <w:nsid w:val="E7FFA2B"/>
    <w:multiLevelType w:val="hybridMultilevel"/>
    <w:lvl w:ilvl="0">
      <w:lvlJc w:val="left"/>
      <w:lvlText w:val="%1."/>
      <w:numFmt w:val="decimal"/>
      <w:start w:val="7"/>
    </w:lvl>
  </w:abstractNum>
  <w:abstractNum w:abstractNumId="38">
    <w:nsid w:val="3C5991AA"/>
    <w:multiLevelType w:val="hybridMultilevel"/>
    <w:lvl w:ilvl="0">
      <w:lvlJc w:val="left"/>
      <w:lvlText w:val="A"/>
      <w:numFmt w:val="bullet"/>
      <w:start w:val="1"/>
    </w:lvl>
  </w:abstractNum>
  <w:abstractNum w:abstractNumId="39">
    <w:nsid w:val="4BD8591A"/>
    <w:multiLevelType w:val="hybridMultilevel"/>
    <w:lvl w:ilvl="0">
      <w:lvlJc w:val="left"/>
      <w:lvlText w:val="B"/>
      <w:numFmt w:val="bullet"/>
      <w:start w:val="1"/>
    </w:lvl>
  </w:abstractNum>
  <w:abstractNum w:abstractNumId="40">
    <w:nsid w:val="78DF6A55"/>
    <w:multiLevelType w:val="hybridMultilevel"/>
    <w:lvl w:ilvl="0">
      <w:lvlJc w:val="left"/>
      <w:lvlText w:val="C"/>
      <w:numFmt w:val="bullet"/>
      <w:start w:val="1"/>
    </w:lvl>
  </w:abstractNum>
  <w:abstractNum w:abstractNumId="41">
    <w:nsid w:val="39B7AAA2"/>
    <w:multiLevelType w:val="hybridMultilevel"/>
    <w:lvl w:ilvl="0">
      <w:lvlJc w:val="left"/>
      <w:lvlText w:val="D"/>
      <w:numFmt w:val="bullet"/>
      <w:start w:val="1"/>
    </w:lvl>
  </w:abstractNum>
  <w:abstractNum w:abstractNumId="42">
    <w:nsid w:val="2B0D8DBE"/>
    <w:multiLevelType w:val="hybridMultilevel"/>
    <w:lvl w:ilvl="0">
      <w:lvlJc w:val="left"/>
      <w:lvlText w:val="E"/>
      <w:numFmt w:val="bullet"/>
      <w:start w:val="1"/>
    </w:lvl>
  </w:abstractNum>
  <w:abstractNum w:abstractNumId="43">
    <w:nsid w:val="6C80EC70"/>
    <w:multiLevelType w:val="hybridMultilevel"/>
    <w:lvl w:ilvl="0">
      <w:lvlJc w:val="left"/>
      <w:lvlText w:val="F"/>
      <w:numFmt w:val="bullet"/>
      <w:start w:val="1"/>
    </w:lvl>
  </w:abstractNum>
  <w:abstractNum w:abstractNumId="44">
    <w:nsid w:val="379E21B5"/>
    <w:multiLevelType w:val="hybridMultilevel"/>
    <w:lvl w:ilvl="0">
      <w:lvlJc w:val="left"/>
      <w:lvlText w:val="G"/>
      <w:numFmt w:val="bullet"/>
      <w:start w:val="1"/>
    </w:lvl>
  </w:abstractNum>
  <w:abstractNum w:abstractNumId="45">
    <w:nsid w:val="69E373"/>
    <w:multiLevelType w:val="hybridMultilevel"/>
    <w:lvl w:ilvl="0">
      <w:lvlJc w:val="left"/>
      <w:lvlText w:val="H"/>
      <w:numFmt w:val="bullet"/>
      <w:start w:val="1"/>
    </w:lvl>
  </w:abstractNum>
  <w:abstractNum w:abstractNumId="46">
    <w:nsid w:val="2C27173B"/>
    <w:multiLevelType w:val="hybridMultilevel"/>
    <w:lvl w:ilvl="0">
      <w:lvlJc w:val="left"/>
      <w:lvlText w:val="J"/>
      <w:numFmt w:val="bullet"/>
      <w:start w:val="1"/>
    </w:lvl>
  </w:abstractNum>
  <w:abstractNum w:abstractNumId="47">
    <w:nsid w:val="4C9B0904"/>
    <w:multiLevelType w:val="hybridMultilevel"/>
    <w:lvl w:ilvl="0">
      <w:lvlJc w:val="left"/>
      <w:lvlText w:val="K"/>
      <w:numFmt w:val="bullet"/>
      <w:start w:val="1"/>
    </w:lvl>
  </w:abstractNum>
  <w:abstractNum w:abstractNumId="48">
    <w:nsid w:val="6AA7B75C"/>
    <w:multiLevelType w:val="hybridMultilevel"/>
    <w:lvl w:ilvl="0">
      <w:lvlJc w:val="left"/>
      <w:lvlText w:val="L"/>
      <w:numFmt w:val="bullet"/>
      <w:start w:val="1"/>
    </w:lvl>
  </w:abstractNum>
  <w:abstractNum w:abstractNumId="49">
    <w:nsid w:val="1DF029D3"/>
    <w:multiLevelType w:val="hybridMultilevel"/>
    <w:lvl w:ilvl="0">
      <w:lvlJc w:val="left"/>
      <w:lvlText w:val="(%1)"/>
      <w:numFmt w:val="decimal"/>
      <w:start w:val="1"/>
    </w:lvl>
  </w:abstractNum>
  <w:abstractNum w:abstractNumId="50">
    <w:nsid w:val="5675FF36"/>
    <w:multiLevelType w:val="hybridMultilevel"/>
    <w:lvl w:ilvl="0">
      <w:lvlJc w:val="left"/>
      <w:lvlText w:val="(%1)"/>
      <w:numFmt w:val="decimal"/>
      <w:start w:val="1"/>
    </w:lvl>
  </w:abstractNum>
  <w:abstractNum w:abstractNumId="51">
    <w:nsid w:val="3DD15094"/>
    <w:multiLevelType w:val="hybridMultilevel"/>
    <w:lvl w:ilvl="0">
      <w:lvlJc w:val="left"/>
      <w:lvlText w:val="(%1)"/>
      <w:numFmt w:val="lowerRoman"/>
      <w:start w:val="1"/>
    </w:lvl>
  </w:abstractNum>
  <w:abstractNum w:abstractNumId="52">
    <w:nsid w:val="3DB012B3"/>
    <w:multiLevelType w:val="hybridMultilevel"/>
    <w:lvl w:ilvl="0">
      <w:lvlJc w:val="left"/>
      <w:lvlText w:val="(%1)"/>
      <w:numFmt w:val="lowerRoman"/>
      <w:start w:val="2"/>
    </w:lvl>
  </w:abstractNum>
  <w:abstractNum w:abstractNumId="53">
    <w:nsid w:val="2708C9AF"/>
    <w:multiLevelType w:val="hybridMultilevel"/>
    <w:lvl w:ilvl="0">
      <w:lvlJc w:val="left"/>
      <w:lvlText w:val="(%1)"/>
      <w:numFmt w:val="lowerLetter"/>
      <w:start w:val="2"/>
    </w:lvl>
  </w:abstractNum>
  <w:abstractNum w:abstractNumId="54">
    <w:nsid w:val="5B25ACE2"/>
    <w:multiLevelType w:val="hybridMultilevel"/>
    <w:lvl w:ilvl="0">
      <w:lvlJc w:val="left"/>
      <w:lvlText w:val="(%1)"/>
      <w:numFmt w:val="lowerRoman"/>
      <w:start w:val="6"/>
    </w:lvl>
  </w:abstractNum>
  <w:abstractNum w:abstractNumId="55">
    <w:nsid w:val="175DFCF0"/>
    <w:multiLevelType w:val="hybridMultilevel"/>
    <w:lvl w:ilvl="0">
      <w:lvlJc w:val="left"/>
      <w:lvlText w:val="(%1)"/>
      <w:numFmt w:val="lowerLetter"/>
      <w:start w:val="9"/>
    </w:lvl>
  </w:abstractNum>
  <w:abstractNum w:abstractNumId="56">
    <w:nsid w:val="4F97E3E4"/>
    <w:multiLevelType w:val="hybridMultilevel"/>
    <w:lvl w:ilvl="0">
      <w:lvlJc w:val="left"/>
      <w:lvlText w:val="(%1)"/>
      <w:numFmt w:val="lowerLetter"/>
      <w:start w:val="4"/>
    </w:lvl>
  </w:abstractNum>
  <w:abstractNum w:abstractNumId="57">
    <w:nsid w:val="53B0A9E"/>
    <w:multiLevelType w:val="hybridMultilevel"/>
    <w:lvl w:ilvl="0">
      <w:lvlJc w:val="left"/>
      <w:lvlText w:val="(%1)"/>
      <w:numFmt w:val="lowerLetter"/>
      <w:start w:val="1"/>
    </w:lvl>
  </w:abstractNum>
  <w:abstractNum w:abstractNumId="58">
    <w:nsid w:val="34FD6B4F"/>
    <w:multiLevelType w:val="hybridMultilevel"/>
    <w:lvl w:ilvl="0">
      <w:lvlJc w:val="left"/>
      <w:lvlText w:val="(%1)"/>
      <w:numFmt w:val="lowerLetter"/>
      <w:start w:val="6"/>
    </w:lvl>
  </w:abstractNum>
  <w:abstractNum w:abstractNumId="59">
    <w:nsid w:val="5915FF32"/>
    <w:multiLevelType w:val="hybridMultilevel"/>
    <w:lvl w:ilvl="0">
      <w:lvlJc w:val="left"/>
      <w:lvlText w:val="(%1)"/>
      <w:numFmt w:val="upperLetter"/>
      <w:start w:val="1"/>
    </w:lvl>
  </w:abstractNum>
  <w:abstractNum w:abstractNumId="60">
    <w:nsid w:val="56438D15"/>
    <w:multiLevelType w:val="hybridMultilevel"/>
    <w:lvl w:ilvl="0">
      <w:lvlJc w:val="left"/>
      <w:lvlText w:val="(%1)"/>
      <w:numFmt w:val="lowerRoman"/>
      <w:start w:val="1"/>
    </w:lvl>
  </w:abstractNum>
  <w:abstractNum w:abstractNumId="61">
    <w:nsid w:val="519E3149"/>
    <w:multiLevelType w:val="hybridMultilevel"/>
    <w:lvl w:ilvl="0">
      <w:lvlJc w:val="left"/>
      <w:lvlText w:val="(%1)"/>
      <w:numFmt w:val="lowerLetter"/>
      <w:start w:val="2"/>
    </w:lvl>
  </w:abstractNum>
  <w:abstractNum w:abstractNumId="62">
    <w:nsid w:val="2C6E4AFD"/>
    <w:multiLevelType w:val="hybridMultilevel"/>
    <w:lvl w:ilvl="0">
      <w:lvlJc w:val="left"/>
      <w:lvlText w:val="(%1)"/>
      <w:numFmt w:val="lowerLetter"/>
      <w:start w:val="1"/>
    </w:lvl>
  </w:abstractNum>
  <w:abstractNum w:abstractNumId="63">
    <w:nsid w:val="17A1B582"/>
    <w:multiLevelType w:val="hybridMultilevel"/>
    <w:lvl w:ilvl="0">
      <w:lvlJc w:val="left"/>
      <w:lvlText w:val="(%1)"/>
      <w:numFmt w:val="lowerLetter"/>
      <w:start w:val="2"/>
    </w:lvl>
  </w:abstractNum>
  <w:abstractNum w:abstractNumId="64">
    <w:nsid w:val="4DF72E4E"/>
    <w:multiLevelType w:val="hybridMultilevel"/>
    <w:lvl w:ilvl="0">
      <w:lvlJc w:val="left"/>
      <w:lvlText w:val="%1"/>
      <w:numFmt w:val="lowerRoman"/>
      <w:start w:val="1"/>
    </w:lvl>
    <w:lvl w:ilvl="1">
      <w:lvlJc w:val="left"/>
      <w:lvlText w:val="(%2)"/>
      <w:numFmt w:val="lowerLetter"/>
      <w:start w:val="10"/>
    </w:lvl>
  </w:abstractNum>
  <w:abstractNum w:abstractNumId="65">
    <w:nsid w:val="5046B5A9"/>
    <w:multiLevelType w:val="hybridMultilevel"/>
    <w:lvl w:ilvl="0">
      <w:lvlJc w:val="left"/>
      <w:lvlText w:val="(%1)"/>
      <w:numFmt w:val="lowerRoman"/>
      <w:start w:val="4"/>
    </w:lvl>
    <w:lvl w:ilvl="1">
      <w:lvlJc w:val="left"/>
      <w:lvlText w:val="%2"/>
      <w:numFmt w:val="lowerLetter"/>
      <w:start w:val="1"/>
    </w:lvl>
  </w:abstractNum>
  <w:abstractNum w:abstractNumId="66">
    <w:nsid w:val="5D888A08"/>
    <w:multiLevelType w:val="hybridMultilevel"/>
    <w:lvl w:ilvl="0">
      <w:lvlJc w:val="left"/>
      <w:lvlText w:val="(%1)"/>
      <w:numFmt w:val="lowerRoman"/>
      <w:start w:val="10"/>
    </w:lvl>
    <w:lvl w:ilvl="1">
      <w:lvlJc w:val="left"/>
      <w:lvlText w:val="(%2)"/>
      <w:numFmt w:val="lowerLetter"/>
      <w:start w:val="18"/>
    </w:lvl>
  </w:abstractNum>
  <w:abstractNum w:abstractNumId="67">
    <w:nsid w:val="2A082C70"/>
    <w:multiLevelType w:val="hybridMultilevel"/>
    <w:lvl w:ilvl="0">
      <w:lvlJc w:val="left"/>
      <w:lvlText w:val="(%1)"/>
      <w:numFmt w:val="lowerLetter"/>
      <w:start w:val="20"/>
    </w:lvl>
  </w:abstractNum>
  <w:abstractNum w:abstractNumId="68">
    <w:nsid w:val="5EC6AFD4"/>
    <w:multiLevelType w:val="hybridMultilevel"/>
    <w:lvl w:ilvl="0">
      <w:lvlJc w:val="left"/>
      <w:lvlText w:val="(%1)"/>
      <w:numFmt w:val="lowerLetter"/>
      <w:start w:val="24"/>
    </w:lvl>
  </w:abstractNum>
  <w:abstractNum w:abstractNumId="69">
    <w:nsid w:val="19E21BB2"/>
    <w:multiLevelType w:val="hybridMultilevel"/>
    <w:lvl w:ilvl="0">
      <w:lvlJc w:val="left"/>
      <w:lvlText w:val="(%1)"/>
      <w:numFmt w:val="lowerLetter"/>
      <w:start w:val="1"/>
    </w:lvl>
  </w:abstractNum>
  <w:abstractNum w:abstractNumId="70">
    <w:nsid w:val="75E0858A"/>
    <w:multiLevelType w:val="hybridMultilevel"/>
    <w:lvl w:ilvl="0">
      <w:lvlJc w:val="left"/>
      <w:lvlText w:val="(%1)"/>
      <w:numFmt w:val="lowerLetter"/>
      <w:start w:val="3"/>
    </w:lvl>
  </w:abstractNum>
  <w:abstractNum w:abstractNumId="71">
    <w:nsid w:val="57A61A29"/>
    <w:multiLevelType w:val="hybridMultilevel"/>
    <w:lvl w:ilvl="0">
      <w:lvlJc w:val="left"/>
      <w:lvlText w:val="(%1)"/>
      <w:numFmt w:val="lowerLetter"/>
      <w:start w:val="1"/>
    </w:lvl>
  </w:abstractNum>
  <w:abstractNum w:abstractNumId="72">
    <w:nsid w:val="5399C654"/>
    <w:multiLevelType w:val="hybridMultilevel"/>
    <w:lvl w:ilvl="0">
      <w:lvlJc w:val="left"/>
      <w:lvlText w:val="(%1)"/>
      <w:numFmt w:val="lowerLetter"/>
      <w:start w:val="1"/>
    </w:lvl>
  </w:abstractNum>
  <w:abstractNum w:abstractNumId="73">
    <w:nsid w:val="20EE1348"/>
    <w:multiLevelType w:val="hybridMultilevel"/>
    <w:lvl w:ilvl="0">
      <w:lvlJc w:val="left"/>
      <w:lvlText w:val="(%1)"/>
      <w:numFmt w:val="lowerLetter"/>
      <w:start w:val="1"/>
    </w:lvl>
  </w:abstractNum>
  <w:abstractNum w:abstractNumId="74">
    <w:nsid w:val="4427069A"/>
    <w:multiLevelType w:val="hybridMultilevel"/>
    <w:lvl w:ilvl="0">
      <w:lvlJc w:val="left"/>
      <w:lvlText w:val="%1"/>
      <w:numFmt w:val="decimal"/>
      <w:start w:val="1"/>
    </w:lvl>
    <w:lvl w:ilvl="1">
      <w:lvlJc w:val="left"/>
      <w:lvlText w:val="(%2)"/>
      <w:numFmt w:val="lowerLetter"/>
      <w:start w:val="1"/>
    </w:lvl>
  </w:abstractNum>
  <w:abstractNum w:abstractNumId="75">
    <w:nsid w:val="B37E80A"/>
    <w:multiLevelType w:val="hybridMultilevel"/>
    <w:lvl w:ilvl="0">
      <w:lvlJc w:val="left"/>
      <w:lvlText w:val="(%1)"/>
      <w:numFmt w:val="decimal"/>
      <w:start w:val="4"/>
    </w:lvl>
    <w:lvl w:ilvl="1">
      <w:lvlJc w:val="left"/>
      <w:lvlText w:val="(%2)"/>
      <w:numFmt w:val="lowerLetter"/>
      <w:start w:val="2"/>
    </w:lvl>
  </w:abstractNum>
  <w:abstractNum w:abstractNumId="76">
    <w:nsid w:val="2157F6BC"/>
    <w:multiLevelType w:val="hybridMultilevel"/>
    <w:lvl w:ilvl="0">
      <w:lvlJc w:val="left"/>
      <w:lvlText w:val="(%1)"/>
      <w:numFmt w:val="lowerLetter"/>
      <w:start w:val="1"/>
    </w:lvl>
  </w:abstractNum>
  <w:abstractNum w:abstractNumId="77">
    <w:nsid w:val="704E1DD5"/>
    <w:multiLevelType w:val="hybridMultilevel"/>
    <w:lvl w:ilvl="0">
      <w:lvlJc w:val="left"/>
      <w:lvlText w:val="%1"/>
      <w:numFmt w:val="decimal"/>
      <w:start w:val="1"/>
    </w:lvl>
    <w:lvl w:ilvl="1">
      <w:lvlJc w:val="left"/>
      <w:lvlText w:val="(%2)"/>
      <w:numFmt w:val="lowerLetter"/>
      <w:start w:val="1"/>
    </w:lvl>
  </w:abstractNum>
  <w:abstractNum w:abstractNumId="78">
    <w:nsid w:val="57D2F10E"/>
    <w:multiLevelType w:val="hybridMultilevel"/>
    <w:lvl w:ilvl="0">
      <w:lvlJc w:val="left"/>
      <w:lvlText w:val="(%1)"/>
      <w:numFmt w:val="decimal"/>
      <w:start w:val="1"/>
    </w:lvl>
    <w:lvl w:ilvl="1">
      <w:lvlJc w:val="left"/>
      <w:lvlText w:val="(%2)"/>
      <w:numFmt w:val="lowerLetter"/>
      <w:start w:val="3"/>
    </w:lvl>
  </w:abstractNum>
  <w:abstractNum w:abstractNumId="79">
    <w:nsid w:val="BFFAE18"/>
    <w:multiLevelType w:val="hybridMultilevel"/>
    <w:lvl w:ilvl="0">
      <w:lvlJc w:val="left"/>
      <w:lvlText w:val="(%1)"/>
      <w:numFmt w:val="lowerLetter"/>
      <w:start w:val="1"/>
    </w:lvl>
  </w:abstractNum>
  <w:abstractNum w:abstractNumId="80">
    <w:nsid w:val="E3E47A8"/>
    <w:multiLevelType w:val="hybridMultilevel"/>
    <w:lvl w:ilvl="0">
      <w:lvlJc w:val="left"/>
      <w:lvlText w:val="(%1)"/>
      <w:numFmt w:val="lowerLetter"/>
      <w:start w:val="2"/>
    </w:lvl>
  </w:abstractNum>
  <w:abstractNum w:abstractNumId="81">
    <w:nsid w:val="2E48F044"/>
    <w:multiLevelType w:val="hybridMultilevel"/>
    <w:lvl w:ilvl="0">
      <w:lvlJc w:val="left"/>
      <w:lvlText w:val="(%1)"/>
      <w:numFmt w:val="lowerLetter"/>
      <w:start w:val="1"/>
    </w:lvl>
  </w:abstractNum>
  <w:abstractNum w:abstractNumId="82">
    <w:nsid w:val="49D0FEAC"/>
    <w:multiLevelType w:val="hybridMultilevel"/>
    <w:lvl w:ilvl="0">
      <w:lvlJc w:val="left"/>
      <w:lvlText w:val="(%1)"/>
      <w:numFmt w:val="lowerLetter"/>
      <w:start w:val="2"/>
    </w:lvl>
  </w:abstractNum>
  <w:abstractNum w:abstractNumId="83">
    <w:nsid w:val="4BEE5A5B"/>
    <w:multiLevelType w:val="hybridMultilevel"/>
    <w:lvl w:ilvl="0">
      <w:lvlJc w:val="left"/>
      <w:lvlText w:val="(%1)"/>
      <w:numFmt w:val="lowerLetter"/>
      <w:start w:val="25"/>
    </w:lvl>
    <w:lvl w:ilvl="1">
      <w:lvlJc w:val="left"/>
      <w:lvlText w:val="(%2)"/>
      <w:numFmt w:val="lowerLetter"/>
      <w:start w:val="2"/>
    </w:lvl>
  </w:abstractNum>
  <w:abstractNum w:abstractNumId="84">
    <w:nsid w:val="5551B9F3"/>
    <w:multiLevelType w:val="hybridMultilevel"/>
    <w:lvl w:ilvl="0">
      <w:lvlJc w:val="left"/>
      <w:lvlText w:val="(%1)"/>
      <w:numFmt w:val="lowerRoman"/>
      <w:start w:val="1"/>
    </w:lvl>
  </w:abstractNum>
  <w:abstractNum w:abstractNumId="85">
    <w:nsid w:val="24F6AB8E"/>
    <w:multiLevelType w:val="hybridMultilevel"/>
    <w:lvl w:ilvl="0">
      <w:lvlJc w:val="left"/>
      <w:lvlText w:val="(%1)"/>
      <w:numFmt w:val="lowerLetter"/>
      <w:start w:val="25"/>
    </w:lvl>
    <w:lvl w:ilvl="1">
      <w:lvlJc w:val="left"/>
      <w:lvlText w:val="(%2)"/>
      <w:numFmt w:val="lowerRoman"/>
      <w:start w:val="3"/>
    </w:lvl>
    <w:lvl w:ilvl="2">
      <w:lvlJc w:val="left"/>
      <w:lvlText w:val="(%3)"/>
      <w:numFmt w:val="lowerLetter"/>
      <w:start w:val="2"/>
    </w:lvl>
  </w:abstractNum>
  <w:abstractNum w:abstractNumId="86">
    <w:nsid w:val="634C574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87">
    <w:nsid w:val="24E99DD7"/>
    <w:multiLevelType w:val="hybridMultilevel"/>
    <w:lvl w:ilvl="0">
      <w:lvlJc w:val="left"/>
      <w:lvlText w:val="(%1)"/>
      <w:numFmt w:val="upperLetter"/>
      <w:start w:val="1"/>
    </w:lvl>
    <w:lvl w:ilvl="1">
      <w:lvlJc w:val="left"/>
      <w:lvlText w:val="(%2)"/>
      <w:numFmt w:val="lowerLetter"/>
      <w:start w:val="6"/>
    </w:lvl>
  </w:abstractNum>
  <w:abstractNum w:abstractNumId="88">
    <w:nsid w:val="2A31B62D"/>
    <w:multiLevelType w:val="hybridMultilevel"/>
    <w:lvl w:ilvl="0">
      <w:lvlJc w:val="left"/>
      <w:lvlText w:val="(%1)"/>
      <w:numFmt w:val="lowerLetter"/>
      <w:start w:val="1"/>
    </w:lvl>
  </w:abstractNum>
  <w:abstractNum w:abstractNumId="89">
    <w:nsid w:val="1849C29B"/>
    <w:multiLevelType w:val="hybridMultilevel"/>
    <w:lvl w:ilvl="0">
      <w:lvlJc w:val="left"/>
      <w:lvlText w:val="(%1)"/>
      <w:numFmt w:val="lowerLetter"/>
      <w:start w:val="4"/>
    </w:lvl>
  </w:abstractNum>
  <w:abstractNum w:abstractNumId="90">
    <w:nsid w:val="7DFF9D09"/>
    <w:multiLevelType w:val="hybridMultilevel"/>
    <w:lvl w:ilvl="0">
      <w:lvlJc w:val="left"/>
      <w:lvlText w:val="%1"/>
      <w:numFmt w:val="lowerRoman"/>
      <w:start w:val="1"/>
    </w:lvl>
    <w:lvl w:ilvl="1">
      <w:lvlJc w:val="left"/>
      <w:lvlText w:val="(%2)"/>
      <w:numFmt w:val="lowerLetter"/>
      <w:start w:val="1"/>
    </w:lvl>
  </w:abstractNum>
  <w:abstractNum w:abstractNumId="91">
    <w:nsid w:val="754342"/>
    <w:multiLevelType w:val="hybridMultilevel"/>
    <w:lvl w:ilvl="0">
      <w:lvlJc w:val="left"/>
      <w:lvlText w:val="(%1)"/>
      <w:numFmt w:val="lowerRoman"/>
      <w:start w:val="1"/>
    </w:lvl>
    <w:lvl w:ilvl="1">
      <w:lvlJc w:val="left"/>
      <w:lvlText w:val="%2"/>
      <w:numFmt w:val="lowerLetter"/>
      <w:start w:val="1"/>
    </w:lvl>
  </w:abstractNum>
  <w:abstractNum w:abstractNumId="92">
    <w:nsid w:val="69E7F3E5"/>
    <w:multiLevelType w:val="hybridMultilevel"/>
    <w:lvl w:ilvl="0">
      <w:lvlJc w:val="left"/>
      <w:lvlText w:val="(%1)"/>
      <w:numFmt w:val="lowerLetter"/>
      <w:start w:val="2"/>
    </w:lvl>
  </w:abstractNum>
  <w:abstractNum w:abstractNumId="93">
    <w:nsid w:val="2A6DE806"/>
    <w:multiLevelType w:val="hybridMultilevel"/>
    <w:lvl w:ilvl="0">
      <w:lvlJc w:val="left"/>
      <w:lvlText w:val="(%1)"/>
      <w:numFmt w:val="lowerLetter"/>
      <w:start w:val="1"/>
    </w:lvl>
    <w:lvl w:ilvl="1">
      <w:lvlJc w:val="left"/>
      <w:lvlText w:val="(%2)"/>
      <w:numFmt w:val="decimal"/>
      <w:start w:val="2"/>
    </w:lvl>
  </w:abstractNum>
  <w:abstractNum w:abstractNumId="94">
    <w:nsid w:val="1816F8C4"/>
    <w:multiLevelType w:val="hybridMultilevel"/>
    <w:lvl w:ilvl="0">
      <w:lvlJc w:val="left"/>
      <w:lvlText w:val="(%1)"/>
      <w:numFmt w:val="upperLetter"/>
      <w:start w:val="1"/>
    </w:lvl>
  </w:abstractNum>
  <w:abstractNum w:abstractNumId="95">
    <w:nsid w:val="37DF2233"/>
    <w:multiLevelType w:val="hybridMultilevel"/>
    <w:lvl w:ilvl="0">
      <w:lvlJc w:val="left"/>
      <w:lvlText w:val="(%1)"/>
      <w:numFmt w:val="lowerLetter"/>
      <w:start w:val="5"/>
    </w:lvl>
  </w:abstractNum>
  <w:abstractNum w:abstractNumId="96">
    <w:nsid w:val="7AB49DAF"/>
    <w:multiLevelType w:val="hybridMultilevel"/>
    <w:lvl w:ilvl="0">
      <w:lvlJc w:val="left"/>
      <w:lvlText w:val="(%1)"/>
      <w:numFmt w:val="lowerRoman"/>
      <w:start w:val="3"/>
    </w:lvl>
  </w:abstractNum>
  <w:abstractNum w:abstractNumId="97">
    <w:nsid w:val="759F82CD"/>
    <w:multiLevelType w:val="hybridMultilevel"/>
    <w:lvl w:ilvl="0">
      <w:lvlJc w:val="left"/>
      <w:lvlText w:val="(%1)"/>
      <w:numFmt w:val="lowerLetter"/>
      <w:start w:val="4"/>
    </w:lvl>
  </w:abstractNum>
  <w:abstractNum w:abstractNumId="98">
    <w:nsid w:val="61E74EA3"/>
    <w:multiLevelType w:val="hybridMultilevel"/>
    <w:lvl w:ilvl="0">
      <w:lvlJc w:val="left"/>
      <w:lvlText w:val="(%1)"/>
      <w:numFmt w:val="lowerLetter"/>
      <w:start w:val="4"/>
    </w:lvl>
  </w:abstractNum>
  <w:abstractNum w:abstractNumId="99">
    <w:nsid w:val="597B4D84"/>
    <w:multiLevelType w:val="hybridMultilevel"/>
    <w:lvl w:ilvl="0">
      <w:lvlJc w:val="left"/>
      <w:lvlText w:val="(%1)"/>
      <w:numFmt w:val="lowerLetter"/>
      <w:start w:val="1"/>
    </w:lvl>
  </w:abstractNum>
  <w:abstractNum w:abstractNumId="100">
    <w:nsid w:val="F819E7F"/>
    <w:multiLevelType w:val="hybridMultilevel"/>
    <w:lvl w:ilvl="0">
      <w:lvlJc w:val="left"/>
      <w:lvlText w:val="%1"/>
      <w:numFmt w:val="decimal"/>
      <w:start w:val="1"/>
    </w:lvl>
    <w:lvl w:ilvl="1">
      <w:lvlJc w:val="left"/>
      <w:lvlText w:val="(%2)"/>
      <w:numFmt w:val="lowerLetter"/>
      <w:start w:val="1"/>
    </w:lvl>
  </w:abstractNum>
  <w:abstractNum w:abstractNumId="101">
    <w:nsid w:val="57C7D42D"/>
    <w:multiLevelType w:val="hybridMultilevel"/>
    <w:lvl w:ilvl="0">
      <w:lvlJc w:val="left"/>
      <w:lvlText w:val="(%1)"/>
      <w:numFmt w:val="decimal"/>
      <w:start w:val="3"/>
    </w:lvl>
    <w:lvl w:ilvl="1">
      <w:lvlJc w:val="left"/>
      <w:lvlText w:val="(%2)"/>
      <w:numFmt w:val="lowerLetter"/>
      <w:start w:val="3"/>
    </w:lvl>
  </w:abstractNum>
  <w:abstractNum w:abstractNumId="102">
    <w:nsid w:val="312167AD"/>
    <w:multiLevelType w:val="hybridMultilevel"/>
    <w:lvl w:ilvl="0">
      <w:lvlJc w:val="left"/>
      <w:lvlText w:val="(%1)"/>
      <w:numFmt w:val="lowerLetter"/>
      <w:start w:val="7"/>
    </w:lvl>
  </w:abstractNum>
  <w:abstractNum w:abstractNumId="103">
    <w:nsid w:val="631B64D4"/>
    <w:multiLevelType w:val="hybridMultilevel"/>
    <w:lvl w:ilvl="0">
      <w:lvlJc w:val="left"/>
      <w:lvlText w:val="(%1)"/>
      <w:numFmt w:val="lowerLetter"/>
      <w:start w:val="1"/>
    </w:lvl>
  </w:abstractNum>
  <w:abstractNum w:abstractNumId="104">
    <w:nsid w:val="78B5E776"/>
    <w:multiLevelType w:val="hybridMultilevel"/>
    <w:lvl w:ilvl="0">
      <w:lvlJc w:val="left"/>
      <w:lvlText w:val="(%1)"/>
      <w:numFmt w:val="lowerLetter"/>
      <w:start w:val="1"/>
    </w:lvl>
  </w:abstractNum>
  <w:abstractNum w:abstractNumId="105">
    <w:nsid w:val="75486E47"/>
    <w:multiLevelType w:val="hybridMultilevel"/>
    <w:lvl w:ilvl="0">
      <w:lvlJc w:val="left"/>
      <w:lvlText w:val="(%1)"/>
      <w:numFmt w:val="lowerLetter"/>
      <w:start w:val="2"/>
    </w:lvl>
  </w:abstractNum>
  <w:abstractNum w:abstractNumId="106">
    <w:nsid w:val="6E534CDE"/>
    <w:multiLevelType w:val="hybridMultilevel"/>
    <w:lvl w:ilvl="0">
      <w:lvlJc w:val="left"/>
      <w:lvlText w:val="(%1)"/>
      <w:numFmt w:val="lowerLetter"/>
      <w:start w:val="1"/>
    </w:lvl>
  </w:abstractNum>
  <w:abstractNum w:abstractNumId="107">
    <w:nsid w:val="1A0DDE32"/>
    <w:multiLevelType w:val="hybridMultilevel"/>
    <w:lvl w:ilvl="0">
      <w:lvlJc w:val="left"/>
      <w:lvlText w:val="%1"/>
      <w:numFmt w:val="lowerLetter"/>
      <w:start w:val="1"/>
    </w:lvl>
    <w:lvl w:ilvl="1">
      <w:lvlJc w:val="left"/>
      <w:lvlText w:val="(%2)"/>
      <w:numFmt w:val="lowerLetter"/>
      <w:start w:val="1"/>
    </w:lvl>
  </w:abstractNum>
  <w:abstractNum w:abstractNumId="108">
    <w:nsid w:val="65968C1C"/>
    <w:multiLevelType w:val="hybridMultilevel"/>
    <w:lvl w:ilvl="0">
      <w:lvlJc w:val="left"/>
      <w:lvlText w:val="(%1)"/>
      <w:numFmt w:val="lowerLetter"/>
      <w:start w:val="35"/>
    </w:lvl>
    <w:lvl w:ilvl="1">
      <w:lvlJc w:val="left"/>
      <w:lvlText w:val="%2"/>
      <w:numFmt w:val="lowerLetter"/>
      <w:start w:val="1"/>
    </w:lvl>
  </w:abstractNum>
  <w:abstractNum w:abstractNumId="109">
    <w:nsid w:val="46263DEC"/>
    <w:multiLevelType w:val="hybridMultilevel"/>
    <w:lvl w:ilvl="0">
      <w:lvlJc w:val="left"/>
      <w:lvlText w:val="(%1)"/>
      <w:numFmt w:val="lowerLetter"/>
      <w:start w:val="1"/>
    </w:lvl>
  </w:abstractNum>
  <w:abstractNum w:abstractNumId="110">
    <w:nsid w:val="260D8C4A"/>
    <w:multiLevelType w:val="hybridMultilevel"/>
    <w:lvl w:ilvl="0">
      <w:lvlJc w:val="left"/>
      <w:lvlText w:val="%1"/>
      <w:numFmt w:val="lowerLetter"/>
      <w:start w:val="1"/>
    </w:lvl>
    <w:lvl w:ilvl="1">
      <w:lvlJc w:val="left"/>
      <w:lvlText w:val="(%2)"/>
      <w:numFmt w:val="lowerLetter"/>
      <w:start w:val="2"/>
    </w:lvl>
  </w:abstractNum>
  <w:abstractNum w:abstractNumId="111">
    <w:nsid w:val="73D4D3C4"/>
    <w:multiLevelType w:val="hybridMultilevel"/>
    <w:lvl w:ilvl="0">
      <w:lvlJc w:val="left"/>
      <w:lvlText w:val="(%1)"/>
      <w:numFmt w:val="lowerLetter"/>
      <w:start w:val="9"/>
    </w:lvl>
    <w:lvl w:ilvl="1">
      <w:lvlJc w:val="left"/>
      <w:lvlText w:val="(%2)"/>
      <w:numFmt w:val="lowerLetter"/>
      <w:start w:val="6"/>
    </w:lvl>
  </w:abstractNum>
  <w:abstractNum w:abstractNumId="112">
    <w:nsid w:val="746F2E30"/>
    <w:multiLevelType w:val="hybridMultilevel"/>
    <w:lvl w:ilvl="0">
      <w:lvlJc w:val="left"/>
      <w:lvlText w:val="(%1)"/>
      <w:numFmt w:val="lowerLetter"/>
      <w:start w:val="1"/>
    </w:lvl>
  </w:abstractNum>
  <w:abstractNum w:abstractNumId="113">
    <w:nsid w:val="6FDE8AF6"/>
    <w:multiLevelType w:val="hybridMultilevel"/>
    <w:lvl w:ilvl="0">
      <w:lvlJc w:val="left"/>
      <w:lvlText w:val="(%1)"/>
      <w:numFmt w:val="lowerLetter"/>
      <w:start w:val="3"/>
    </w:lvl>
  </w:abstractNum>
  <w:abstractNum w:abstractNumId="114">
    <w:nsid w:val="3FC32E20"/>
    <w:multiLevelType w:val="hybridMultilevel"/>
    <w:lvl w:ilvl="0">
      <w:lvlJc w:val="left"/>
      <w:lvlText w:val="(%1)"/>
      <w:numFmt w:val="lowerLetter"/>
      <w:start w:val="1"/>
    </w:lvl>
  </w:abstractNum>
  <w:abstractNum w:abstractNumId="115">
    <w:nsid w:val="49C0E823"/>
    <w:multiLevelType w:val="hybridMultilevel"/>
    <w:lvl w:ilvl="0">
      <w:lvlJc w:val="left"/>
      <w:lvlText w:val="(%1)"/>
      <w:numFmt w:val="lowerLetter"/>
      <w:start w:val="1"/>
    </w:lvl>
  </w:abstractNum>
  <w:abstractNum w:abstractNumId="116">
    <w:nsid w:val="14D53685"/>
    <w:multiLevelType w:val="hybridMultilevel"/>
    <w:lvl w:ilvl="0">
      <w:lvlJc w:val="left"/>
      <w:lvlText w:val="(%1)"/>
      <w:numFmt w:val="lowerLetter"/>
      <w:start w:val="2"/>
    </w:lvl>
  </w:abstractNum>
  <w:abstractNum w:abstractNumId="117">
    <w:nsid w:val="230F856C"/>
    <w:multiLevelType w:val="hybridMultilevel"/>
    <w:lvl w:ilvl="0">
      <w:lvlJc w:val="left"/>
      <w:lvlText w:val="(%1)"/>
      <w:numFmt w:val="lowerLetter"/>
      <w:start w:val="1"/>
    </w:lvl>
  </w:abstractNum>
  <w:abstractNum w:abstractNumId="118">
    <w:nsid w:val="6EAA85FB"/>
    <w:multiLevelType w:val="hybridMultilevel"/>
    <w:lvl w:ilvl="0">
      <w:lvlJc w:val="left"/>
      <w:lvlText w:val="(%1)"/>
      <w:numFmt w:val="lowerRoman"/>
      <w:start w:val="1"/>
    </w:lvl>
  </w:abstractNum>
  <w:abstractNum w:abstractNumId="119">
    <w:nsid w:val="3F06ECB2"/>
    <w:multiLevelType w:val="hybridMultilevel"/>
    <w:lvl w:ilvl="0">
      <w:lvlJc w:val="left"/>
      <w:lvlText w:val="(%1)"/>
      <w:numFmt w:val="lowerRoman"/>
      <w:start w:val="4"/>
    </w:lvl>
  </w:abstractNum>
  <w:abstractNum w:abstractNumId="120">
    <w:nsid w:val="3B594807"/>
    <w:multiLevelType w:val="hybridMultilevel"/>
    <w:lvl w:ilvl="0">
      <w:lvlJc w:val="left"/>
      <w:lvlText w:val="(%1)"/>
      <w:numFmt w:val="lowerLetter"/>
      <w:start w:val="2"/>
    </w:lvl>
  </w:abstractNum>
  <w:abstractNum w:abstractNumId="121">
    <w:nsid w:val="6CAA2304"/>
    <w:multiLevelType w:val="hybridMultilevel"/>
    <w:lvl w:ilvl="0">
      <w:lvlJc w:val="left"/>
      <w:lvlText w:val="(%1)"/>
      <w:numFmt w:val="upperLetter"/>
      <w:start w:val="1"/>
    </w:lvl>
  </w:abstractNum>
  <w:abstractNum w:abstractNumId="122">
    <w:nsid w:val="3F7C2FF4"/>
    <w:multiLevelType w:val="hybridMultilevel"/>
    <w:lvl w:ilvl="0">
      <w:lvlJc w:val="left"/>
      <w:lvlText w:val="(%1)"/>
      <w:numFmt w:val="lowerLetter"/>
      <w:start w:val="2"/>
    </w:lvl>
  </w:abstractNum>
  <w:abstractNum w:abstractNumId="123">
    <w:nsid w:val="25413BEC"/>
    <w:multiLevelType w:val="hybridMultilevel"/>
    <w:lvl w:ilvl="0">
      <w:lvlJc w:val="left"/>
      <w:lvlText w:val="(%1)"/>
      <w:numFmt w:val="lowerLetter"/>
      <w:start w:val="2"/>
    </w:lvl>
  </w:abstractNum>
  <w:abstractNum w:abstractNumId="124">
    <w:nsid w:val="17180B0B"/>
    <w:multiLevelType w:val="hybridMultilevel"/>
    <w:lvl w:ilvl="0">
      <w:lvlJc w:val="left"/>
      <w:lvlText w:val="%1"/>
      <w:numFmt w:val="lowerLetter"/>
      <w:start w:val="1"/>
    </w:lvl>
    <w:lvl w:ilvl="1">
      <w:lvlJc w:val="left"/>
      <w:lvlText w:val="(%2)"/>
      <w:numFmt w:val="lowerLetter"/>
      <w:start w:val="3"/>
    </w:lvl>
  </w:abstractNum>
  <w:abstractNum w:abstractNumId="125">
    <w:nsid w:val="579328B9"/>
    <w:multiLevelType w:val="hybridMultilevel"/>
    <w:lvl w:ilvl="0">
      <w:lvlJc w:val="left"/>
      <w:lvlText w:val="(%1)"/>
      <w:numFmt w:val="lowerLetter"/>
      <w:start w:val="35"/>
    </w:lvl>
    <w:lvl w:ilvl="1">
      <w:lvlJc w:val="left"/>
      <w:lvlText w:val="(%2)"/>
      <w:numFmt w:val="lowerLetter"/>
      <w:start w:val="7"/>
    </w:lvl>
  </w:abstractNum>
  <w:abstractNum w:abstractNumId="126">
    <w:nsid w:val="5D205E20"/>
    <w:multiLevelType w:val="hybridMultilevel"/>
    <w:lvl w:ilvl="0">
      <w:lvlJc w:val="left"/>
      <w:lvlText w:val="(%1)"/>
      <w:numFmt w:val="lowerLetter"/>
      <w:start w:val="35"/>
    </w:lvl>
    <w:lvl w:ilvl="1">
      <w:lvlJc w:val="left"/>
      <w:lvlText w:val="%2"/>
      <w:numFmt w:val="lowerLetter"/>
      <w:start w:val="1"/>
    </w:lvl>
  </w:abstractNum>
  <w:abstractNum w:abstractNumId="127">
    <w:nsid w:val="11CCA8BA"/>
    <w:multiLevelType w:val="hybridMultilevel"/>
    <w:lvl w:ilvl="0">
      <w:lvlJc w:val="left"/>
      <w:lvlText w:val="(%1)"/>
      <w:numFmt w:val="lowerLetter"/>
      <w:start w:val="1"/>
    </w:lvl>
  </w:abstractNum>
  <w:abstractNum w:abstractNumId="128">
    <w:nsid w:val="4D32AB86"/>
    <w:multiLevelType w:val="hybridMultilevel"/>
    <w:lvl w:ilvl="0">
      <w:lvlJc w:val="left"/>
      <w:lvlText w:val="(%1)"/>
      <w:numFmt w:val="lowerLetter"/>
      <w:start w:val="2"/>
    </w:lvl>
  </w:abstractNum>
  <w:abstractNum w:abstractNumId="129">
    <w:nsid w:val="3F07ACC3"/>
    <w:multiLevelType w:val="hybridMultilevel"/>
    <w:lvl w:ilvl="0">
      <w:lvlJc w:val="left"/>
      <w:lvlText w:val="(%1)"/>
      <w:numFmt w:val="lowerLetter"/>
      <w:start w:val="5"/>
    </w:lvl>
  </w:abstractNum>
  <w:abstractNum w:abstractNumId="130">
    <w:nsid w:val="6B47F63E"/>
    <w:multiLevelType w:val="hybridMultilevel"/>
    <w:lvl w:ilvl="0">
      <w:lvlJc w:val="left"/>
      <w:lvlText w:val="(%1)"/>
      <w:numFmt w:val="lowerLetter"/>
      <w:start w:val="2"/>
    </w:lvl>
  </w:abstractNum>
  <w:abstractNum w:abstractNumId="131">
    <w:nsid w:val="5CB44A05"/>
    <w:multiLevelType w:val="hybridMultilevel"/>
    <w:lvl w:ilvl="0">
      <w:lvlJc w:val="left"/>
      <w:lvlText w:val="(%1)"/>
      <w:numFmt w:val="decimal"/>
      <w:start w:val="1"/>
    </w:lvl>
  </w:abstractNum>
  <w:abstractNum w:abstractNumId="132">
    <w:nsid w:val="16CF80F1"/>
    <w:multiLevelType w:val="hybridMultilevel"/>
    <w:lvl w:ilvl="0">
      <w:lvlJc w:val="left"/>
      <w:lvlText w:val="(%1)"/>
      <w:numFmt w:val="lowerRoman"/>
      <w:start w:val="2"/>
    </w:lvl>
    <w:lvl w:ilvl="1">
      <w:lvlJc w:val="left"/>
      <w:lvlText w:val="(%2)"/>
      <w:numFmt w:val="upperLetter"/>
      <w:start w:val="1"/>
    </w:lvl>
  </w:abstractNum>
  <w:abstractNum w:abstractNumId="133">
    <w:nsid w:val="1C695DEC"/>
    <w:multiLevelType w:val="hybridMultilevel"/>
    <w:lvl w:ilvl="0">
      <w:lvlJc w:val="left"/>
      <w:lvlText w:val="(%1)"/>
      <w:numFmt w:val="lowerLetter"/>
      <w:start w:val="22"/>
    </w:lvl>
    <w:lvl w:ilvl="1">
      <w:lvlJc w:val="left"/>
      <w:lvlText w:val="(%2)"/>
      <w:numFmt w:val="lowerLetter"/>
      <w:start w:val="3"/>
    </w:lvl>
  </w:abstractNum>
  <w:abstractNum w:abstractNumId="134">
    <w:nsid w:val="3FCFAED9"/>
    <w:multiLevelType w:val="hybridMultilevel"/>
    <w:lvl w:ilvl="0">
      <w:lvlJc w:val="left"/>
      <w:lvlText w:val="(%1)"/>
      <w:numFmt w:val="lowerRoman"/>
      <w:start w:val="2"/>
    </w:lvl>
  </w:abstractNum>
  <w:abstractNum w:abstractNumId="135">
    <w:nsid w:val="F856867"/>
    <w:multiLevelType w:val="hybridMultilevel"/>
    <w:lvl w:ilvl="0">
      <w:lvlJc w:val="left"/>
      <w:lvlText w:val="(%1)"/>
      <w:numFmt w:val="lowerLetter"/>
      <w:start w:val="4"/>
    </w:lvl>
  </w:abstractNum>
  <w:abstractNum w:abstractNumId="136">
    <w:nsid w:val="11B1CC33"/>
    <w:multiLevelType w:val="hybridMultilevel"/>
    <w:lvl w:ilvl="0">
      <w:lvlJc w:val="left"/>
      <w:lvlText w:val="(%1)"/>
      <w:numFmt w:val="lowerLetter"/>
      <w:start w:val="1"/>
    </w:lvl>
  </w:abstractNum>
  <w:abstractNum w:abstractNumId="137">
    <w:nsid w:val="2E22FBB7"/>
    <w:multiLevelType w:val="hybridMultilevel"/>
    <w:lvl w:ilvl="0">
      <w:lvlJc w:val="left"/>
      <w:lvlText w:val="(%1)"/>
      <w:numFmt w:val="lowerRoman"/>
      <w:start w:val="2"/>
    </w:lvl>
  </w:abstractNum>
  <w:abstractNum w:abstractNumId="138">
    <w:nsid w:val="29934699"/>
    <w:multiLevelType w:val="hybridMultilevel"/>
    <w:lvl w:ilvl="0">
      <w:lvlJc w:val="left"/>
      <w:lvlText w:val="(%1)"/>
      <w:numFmt w:val="lowerRoman"/>
      <w:start w:val="1"/>
    </w:lvl>
  </w:abstractNum>
  <w:abstractNum w:abstractNumId="139">
    <w:nsid w:val="77485850"/>
    <w:multiLevelType w:val="hybridMultilevel"/>
    <w:lvl w:ilvl="0">
      <w:lvlJc w:val="left"/>
      <w:lvlText w:val="(%1)"/>
      <w:numFmt w:val="lowerLetter"/>
      <w:start w:val="1"/>
    </w:lvl>
  </w:abstractNum>
  <w:abstractNum w:abstractNumId="140">
    <w:nsid w:val="744939A3"/>
    <w:multiLevelType w:val="hybridMultilevel"/>
    <w:lvl w:ilvl="0">
      <w:lvlJc w:val="left"/>
      <w:lvlText w:val="(%1)"/>
      <w:numFmt w:val="lowerLetter"/>
      <w:start w:val="4"/>
    </w:lvl>
  </w:abstractNum>
  <w:abstractNum w:abstractNumId="141">
    <w:nsid w:val="4FA0D2E3"/>
    <w:multiLevelType w:val="hybridMultilevel"/>
    <w:lvl w:ilvl="0">
      <w:lvlJc w:val="left"/>
      <w:lvlText w:val="(%1)"/>
      <w:numFmt w:val="lowerLetter"/>
      <w:start w:val="1"/>
    </w:lvl>
  </w:abstractNum>
  <w:abstractNum w:abstractNumId="142">
    <w:nsid w:val="6B1D2C14"/>
    <w:multiLevelType w:val="hybridMultilevel"/>
    <w:lvl w:ilvl="0">
      <w:lvlJc w:val="left"/>
      <w:lvlText w:val="(%1)"/>
      <w:numFmt w:val="lowerLetter"/>
      <w:start w:val="1"/>
    </w:lvl>
  </w:abstractNum>
  <w:abstractNum w:abstractNumId="143">
    <w:nsid w:val="68B867D3"/>
    <w:multiLevelType w:val="hybridMultilevel"/>
    <w:lvl w:ilvl="0">
      <w:lvlJc w:val="left"/>
      <w:lvlText w:val="(%1)"/>
      <w:numFmt w:val="lowerRoman"/>
      <w:start w:val="1"/>
    </w:lvl>
  </w:abstractNum>
  <w:abstractNum w:abstractNumId="144">
    <w:nsid w:val="3F7F5DD9"/>
    <w:multiLevelType w:val="hybridMultilevel"/>
    <w:lvl w:ilvl="0">
      <w:lvlJc w:val="left"/>
      <w:lvlText w:val="(%1)"/>
      <w:numFmt w:val="lowerRoman"/>
      <w:start w:val="3"/>
    </w:lvl>
  </w:abstractNum>
  <w:abstractNum w:abstractNumId="145">
    <w:nsid w:val="2AE05A34"/>
    <w:multiLevelType w:val="hybridMultilevel"/>
    <w:lvl w:ilvl="0">
      <w:lvlJc w:val="left"/>
      <w:lvlText w:val="(%1)"/>
      <w:numFmt w:val="lowerLetter"/>
      <w:start w:val="1"/>
    </w:lvl>
  </w:abstractNum>
  <w:abstractNum w:abstractNumId="146">
    <w:nsid w:val="32794FF7"/>
    <w:multiLevelType w:val="hybridMultilevel"/>
    <w:lvl w:ilvl="0">
      <w:lvlJc w:val="left"/>
      <w:lvlText w:val="(%1)"/>
      <w:numFmt w:val="lowerLetter"/>
      <w:start w:val="1"/>
    </w:lvl>
  </w:abstractNum>
  <w:abstractNum w:abstractNumId="147">
    <w:nsid w:val="5454945E"/>
    <w:multiLevelType w:val="hybridMultilevel"/>
    <w:lvl w:ilvl="0">
      <w:lvlJc w:val="left"/>
      <w:lvlText w:val="(%1)"/>
      <w:numFmt w:val="lowerLetter"/>
      <w:start w:val="1"/>
    </w:lvl>
  </w:abstractNum>
  <w:abstractNum w:abstractNumId="148">
    <w:nsid w:val="4DEFDFA0"/>
    <w:multiLevelType w:val="hybridMultilevel"/>
    <w:lvl w:ilvl="0">
      <w:lvlJc w:val="left"/>
      <w:lvlText w:val="(%1)"/>
      <w:numFmt w:val="lowerLetter"/>
      <w:start w:val="2"/>
    </w:lvl>
  </w:abstractNum>
  <w:abstractNum w:abstractNumId="149">
    <w:nsid w:val="2123D5F2"/>
    <w:multiLevelType w:val="hybridMultilevel"/>
    <w:lvl w:ilvl="0">
      <w:lvlJc w:val="left"/>
      <w:lvlText w:val="(%1)"/>
      <w:numFmt w:val="lowerLetter"/>
      <w:start w:val="1"/>
    </w:lvl>
  </w:abstractNum>
  <w:abstractNum w:abstractNumId="150">
    <w:nsid w:val="135B8110"/>
    <w:multiLevelType w:val="hybridMultilevel"/>
    <w:lvl w:ilvl="0">
      <w:lvlJc w:val="left"/>
      <w:lvlText w:val="(%1)"/>
      <w:numFmt w:val="lowerLetter"/>
      <w:start w:val="1"/>
    </w:lvl>
  </w:abstractNum>
  <w:abstractNum w:abstractNumId="151">
    <w:nsid w:val="94927A8"/>
    <w:multiLevelType w:val="hybridMultilevel"/>
    <w:lvl w:ilvl="0">
      <w:lvlJc w:val="left"/>
      <w:lvlText w:val="(%1)"/>
      <w:numFmt w:val="lowerLetter"/>
      <w:start w:val="2"/>
    </w:lvl>
  </w:abstractNum>
  <w:abstractNum w:abstractNumId="152">
    <w:nsid w:val="DCDF8F6"/>
    <w:multiLevelType w:val="hybridMultilevel"/>
    <w:lvl w:ilvl="0">
      <w:lvlJc w:val="left"/>
      <w:lvlText w:val="(%1)"/>
      <w:numFmt w:val="lowerLetter"/>
      <w:start w:val="1"/>
    </w:lvl>
  </w:abstractNum>
  <w:abstractNum w:abstractNumId="153">
    <w:nsid w:val="52D7B105"/>
    <w:multiLevelType w:val="hybridMultilevel"/>
    <w:lvl w:ilvl="0">
      <w:lvlJc w:val="left"/>
      <w:lvlText w:val="%1."/>
      <w:numFmt w:val="decimal"/>
      <w:start w:val="1"/>
    </w:lvl>
  </w:abstractNum>
  <w:abstractNum w:abstractNumId="154">
    <w:nsid w:val="2E8A6394"/>
    <w:multiLevelType w:val="hybridMultilevel"/>
    <w:lvl w:ilvl="0">
      <w:lvlJc w:val="left"/>
      <w:lvlText w:val="%1."/>
      <w:numFmt w:val="decimal"/>
      <w:start w:val="1"/>
    </w:lvl>
  </w:abstractNum>
  <w:abstractNum w:abstractNumId="155">
    <w:nsid w:val="24E60401"/>
    <w:multiLevelType w:val="hybridMultilevel"/>
    <w:lvl w:ilvl="0">
      <w:lvlJc w:val="left"/>
      <w:lvlText w:val="%1."/>
      <w:numFmt w:val="decimal"/>
      <w:start w:val="3"/>
    </w:lvl>
  </w:abstractNum>
  <w:abstractNum w:abstractNumId="156">
    <w:nsid w:val="2A6AD9BE"/>
    <w:multiLevelType w:val="hybridMultilevel"/>
    <w:lvl w:ilvl="0">
      <w:lvlJc w:val="left"/>
      <w:lvlText w:val="%1"/>
      <w:numFmt w:val="decimal"/>
      <w:start w:val="1"/>
    </w:lvl>
    <w:lvl w:ilvl="1">
      <w:lvlJc w:val="left"/>
      <w:lvlText w:val="%2."/>
      <w:numFmt w:val="decimal"/>
      <w:start w:val="1"/>
    </w:lvl>
  </w:abstractNum>
  <w:abstractNum w:abstractNumId="157">
    <w:nsid w:val="BAAC1B4"/>
    <w:multiLevelType w:val="hybridMultilevel"/>
    <w:lvl w:ilvl="0">
      <w:lvlJc w:val="left"/>
      <w:lvlText w:val="%1."/>
      <w:numFmt w:val="decimal"/>
      <w:start w:val="2"/>
    </w:lvl>
    <w:lvl w:ilvl="1">
      <w:lvlJc w:val="left"/>
      <w:lvlText w:val="%2"/>
      <w:numFmt w:val="decimal"/>
      <w:start w:val="1"/>
    </w:lvl>
  </w:abstractNum>
  <w:abstractNum w:abstractNumId="158">
    <w:nsid w:val="36B2ACBC"/>
    <w:multiLevelType w:val="hybridMultilevel"/>
    <w:lvl w:ilvl="0">
      <w:lvlJc w:val="left"/>
      <w:lvlText w:val="%1."/>
      <w:numFmt w:val="decimal"/>
      <w:start w:val="1"/>
    </w:lvl>
  </w:abstractNum>
  <w:abstractNum w:abstractNumId="159">
    <w:nsid w:val="779D8544"/>
    <w:multiLevelType w:val="hybridMultilevel"/>
    <w:lvl w:ilvl="0">
      <w:lvlJc w:val="left"/>
      <w:lvlText w:val="%1."/>
      <w:numFmt w:val="decimal"/>
      <w:start w:val="3"/>
    </w:lvl>
  </w:abstractNum>
  <w:abstractNum w:abstractNumId="160">
    <w:nsid w:val="4AB26E78"/>
    <w:multiLevelType w:val="hybridMultilevel"/>
    <w:lvl w:ilvl="0">
      <w:lvlJc w:val="left"/>
      <w:lvlText w:val="1"/>
      <w:numFmt w:val="bullet"/>
      <w:start w:val="1"/>
    </w:lvl>
  </w:abstractNum>
  <w:abstractNum w:abstractNumId="161">
    <w:nsid w:val="21FAA2FA"/>
    <w:multiLevelType w:val="hybridMultilevel"/>
    <w:lvl w:ilvl="0">
      <w:lvlJc w:val="left"/>
      <w:lvlText w:val="%1."/>
      <w:numFmt w:val="decimal"/>
      <w:start w:val="6"/>
    </w:lvl>
  </w:abstractNum>
  <w:abstractNum w:abstractNumId="162">
    <w:nsid w:val="5451CF49"/>
    <w:multiLevelType w:val="hybridMultilevel"/>
    <w:lvl w:ilvl="0">
      <w:lvlJc w:val="left"/>
      <w:lvlText w:val="2"/>
      <w:numFmt w:val="bullet"/>
      <w:start w:val="1"/>
    </w:lvl>
  </w:abstractNum>
  <w:abstractNum w:abstractNumId="163">
    <w:nsid w:val="6181EF69"/>
    <w:multiLevelType w:val="hybridMultilevel"/>
    <w:lvl w:ilvl="0">
      <w:lvlJc w:val="left"/>
      <w:lvlText w:val="3"/>
      <w:numFmt w:val="bullet"/>
      <w:start w:val="1"/>
    </w:lvl>
  </w:abstractNum>
  <w:abstractNum w:abstractNumId="164">
    <w:nsid w:val="3E6400E6"/>
    <w:multiLevelType w:val="hybridMultilevel"/>
    <w:lvl w:ilvl="0">
      <w:lvlJc w:val="left"/>
      <w:lvlText w:val="%1."/>
      <w:numFmt w:val="decimal"/>
      <w:start w:val="1"/>
    </w:lvl>
  </w:abstractNum>
  <w:abstractNum w:abstractNumId="165">
    <w:nsid w:val="14217E23"/>
    <w:multiLevelType w:val="hybridMultilevel"/>
    <w:lvl w:ilvl="0">
      <w:lvlJc w:val="left"/>
      <w:lvlText w:val="(%1)"/>
      <w:numFmt w:val="lowerRoman"/>
      <w:start w:val="2"/>
    </w:lvl>
    <w:lvl w:ilvl="1">
      <w:lvlJc w:val="left"/>
      <w:lvlText w:val="%2."/>
      <w:numFmt w:val="decimal"/>
      <w:start w:val="2"/>
    </w:lvl>
  </w:abstractNum>
  <w:abstractNum w:abstractNumId="166">
    <w:nsid w:val="710757D0"/>
    <w:multiLevelType w:val="hybridMultilevel"/>
    <w:lvl w:ilvl="0">
      <w:lvlJc w:val="left"/>
      <w:lvlText w:val="%1."/>
      <w:numFmt w:val="decimal"/>
      <w:start w:val="3"/>
    </w:lvl>
  </w:abstractNum>
  <w:abstractNum w:abstractNumId="167">
    <w:nsid w:val="5015CD1A"/>
    <w:multiLevelType w:val="hybridMultilevel"/>
    <w:lvl w:ilvl="0">
      <w:lvlJc w:val="left"/>
      <w:lvlText w:val="(%1)"/>
      <w:numFmt w:val="lowerRoman"/>
      <w:start w:val="2"/>
    </w:lvl>
  </w:abstractNum>
  <w:abstractNum w:abstractNumId="168">
    <w:nsid w:val="424479DA"/>
    <w:multiLevelType w:val="hybridMultilevel"/>
    <w:lvl w:ilvl="0">
      <w:lvlJc w:val="left"/>
      <w:lvlText w:val="%1."/>
      <w:numFmt w:val="decimal"/>
      <w:start w:val="1"/>
    </w:lvl>
  </w:abstractNum>
  <w:abstractNum w:abstractNumId="169">
    <w:nsid w:val="1A9A9E69"/>
    <w:multiLevelType w:val="hybridMultilevel"/>
    <w:lvl w:ilvl="0">
      <w:lvlJc w:val="left"/>
      <w:lvlText w:val="%1."/>
      <w:numFmt w:val="decimal"/>
      <w:start w:val="3"/>
    </w:lvl>
  </w:abstractNum>
  <w:abstractNum w:abstractNumId="170">
    <w:nsid w:val="475E256A"/>
    <w:multiLevelType w:val="hybridMultilevel"/>
    <w:lvl w:ilvl="0">
      <w:lvlJc w:val="left"/>
      <w:lvlText w:val="(%1)"/>
      <w:numFmt w:val="upperLetter"/>
      <w:start w:val="1"/>
    </w:lvl>
  </w:abstractNum>
  <w:abstractNum w:abstractNumId="171">
    <w:nsid w:val="368DB37E"/>
    <w:multiLevelType w:val="hybridMultilevel"/>
    <w:lvl w:ilvl="0">
      <w:lvlJc w:val="left"/>
      <w:lvlText w:val="1"/>
      <w:numFmt w:val="bullet"/>
      <w:start w:val="1"/>
    </w:lvl>
  </w:abstractNum>
  <w:abstractNum w:abstractNumId="172">
    <w:nsid w:val="6A3B714C"/>
    <w:multiLevelType w:val="hybridMultilevel"/>
    <w:lvl w:ilvl="0">
      <w:lvlJc w:val="left"/>
      <w:lvlText w:val="2"/>
      <w:numFmt w:val="bullet"/>
      <w:start w:val="1"/>
    </w:lvl>
  </w:abstractNum>
  <w:abstractNum w:abstractNumId="173">
    <w:nsid w:val="327B517E"/>
    <w:multiLevelType w:val="hybridMultilevel"/>
    <w:lvl w:ilvl="0">
      <w:lvlJc w:val="left"/>
      <w:lvlText w:val="(%1)"/>
      <w:numFmt w:val="upperLetter"/>
      <w:start w:val="6"/>
    </w:lvl>
  </w:abstractNum>
  <w:abstractNum w:abstractNumId="174">
    <w:nsid w:val="1F461B51"/>
    <w:multiLevelType w:val="hybridMultilevel"/>
    <w:lvl w:ilvl="0">
      <w:lvlJc w:val="left"/>
      <w:lvlText w:val="(%1)"/>
      <w:numFmt w:val="upperLetter"/>
      <w:start w:val="1"/>
    </w:lvl>
  </w:abstractNum>
  <w:abstractNum w:abstractNumId="175">
    <w:nsid w:val="29BACF25"/>
    <w:multiLevelType w:val="hybridMultilevel"/>
    <w:lvl w:ilvl="0">
      <w:lvlJc w:val="left"/>
      <w:lvlText w:val="1"/>
      <w:numFmt w:val="bullet"/>
      <w:start w:val="1"/>
    </w:lvl>
  </w:abstractNum>
  <w:abstractNum w:abstractNumId="176">
    <w:nsid w:val="5D5BABB3"/>
    <w:multiLevelType w:val="hybridMultilevel"/>
    <w:lvl w:ilvl="0">
      <w:lvlJc w:val="left"/>
      <w:lvlText w:val="2"/>
      <w:numFmt w:val="bullet"/>
      <w:start w:val="1"/>
    </w:lvl>
  </w:abstractNum>
  <w:abstractNum w:abstractNumId="177">
    <w:nsid w:val="51BF6B48"/>
    <w:multiLevelType w:val="hybridMultilevel"/>
    <w:lvl w:ilvl="0">
      <w:lvlJc w:val="left"/>
      <w:lvlText w:val="(%1)"/>
      <w:numFmt w:val="upperLetter"/>
      <w:start w:val="6"/>
    </w:lvl>
  </w:abstractNum>
  <w:abstractNum w:abstractNumId="178">
    <w:nsid w:val="7E0F6384"/>
    <w:multiLevelType w:val="hybridMultilevel"/>
    <w:lvl w:ilvl="0">
      <w:lvlJc w:val="left"/>
      <w:lvlText w:val="(%1)"/>
      <w:numFmt w:val="lowerLetter"/>
      <w:start w:val="3"/>
    </w:lvl>
  </w:abstractNum>
  <w:abstractNum w:abstractNumId="179">
    <w:nsid w:val="2B4B8B53"/>
    <w:multiLevelType w:val="hybridMultilevel"/>
    <w:lvl w:ilvl="0">
      <w:lvlJc w:val="left"/>
      <w:lvlText w:val="1"/>
      <w:numFmt w:val="bullet"/>
      <w:start w:val="1"/>
    </w:lvl>
  </w:abstractNum>
  <w:abstractNum w:abstractNumId="180">
    <w:nsid w:val="72E3413A"/>
    <w:multiLevelType w:val="hybridMultilevel"/>
    <w:lvl w:ilvl="0">
      <w:lvlJc w:val="left"/>
      <w:lvlText w:val="2"/>
      <w:numFmt w:val="bullet"/>
      <w:start w:val="1"/>
    </w:lvl>
  </w:abstractNum>
  <w:abstractNum w:abstractNumId="181">
    <w:nsid w:val="116AE494"/>
    <w:multiLevelType w:val="hybridMultilevel"/>
    <w:lvl w:ilvl="0">
      <w:lvlJc w:val="left"/>
      <w:lvlText w:val="3"/>
      <w:numFmt w:val="bullet"/>
      <w:start w:val="1"/>
    </w:lvl>
  </w:abstractNum>
  <w:abstractNum w:abstractNumId="182">
    <w:nsid w:val="3494B2FB"/>
    <w:multiLevelType w:val="hybridMultilevel"/>
    <w:lvl w:ilvl="0">
      <w:lvlJc w:val="left"/>
      <w:lvlText w:val="4"/>
      <w:numFmt w:val="bullet"/>
      <w:start w:val="1"/>
    </w:lvl>
  </w:abstractNum>
  <w:abstractNum w:abstractNumId="183">
    <w:nsid w:val="B13A31"/>
    <w:multiLevelType w:val="hybridMultilevel"/>
    <w:lvl w:ilvl="0">
      <w:lvlJc w:val="left"/>
      <w:lvlText w:val="5"/>
      <w:numFmt w:val="bullet"/>
      <w:start w:val="1"/>
    </w:lvl>
  </w:abstractNum>
  <w:abstractNum w:abstractNumId="184">
    <w:nsid w:val="64429599"/>
    <w:multiLevelType w:val="hybridMultilevel"/>
    <w:lvl w:ilvl="0">
      <w:lvlJc w:val="left"/>
      <w:lvlText w:val="•"/>
      <w:numFmt w:val="bullet"/>
      <w:start w:val="1"/>
    </w:lvl>
  </w:abstractNum>
  <w:abstractNum w:abstractNumId="185">
    <w:nsid w:val="631F1690"/>
    <w:multiLevelType w:val="hybridMultilevel"/>
    <w:lvl w:ilvl="0">
      <w:lvlJc w:val="left"/>
      <w:lvlText w:val="(%1)"/>
      <w:numFmt w:val="decimal"/>
      <w:start w:val="2"/>
    </w:lvl>
  </w:abstractNum>
  <w:abstractNum w:abstractNumId="186">
    <w:nsid w:val="25973E32"/>
    <w:multiLevelType w:val="hybridMultilevel"/>
    <w:lvl w:ilvl="0">
      <w:lvlJc w:val="left"/>
      <w:lvlText w:val="(%1)"/>
      <w:numFmt w:val="decimal"/>
      <w:start w:val="11"/>
    </w:lvl>
  </w:abstractNum>
  <w:abstractNum w:abstractNumId="187">
    <w:nsid w:val="EAD6F57"/>
    <w:multiLevelType w:val="hybridMultilevel"/>
    <w:lvl w:ilvl="0">
      <w:lvlJc w:val="left"/>
      <w:lvlText w:val="(%1)"/>
      <w:numFmt w:val="decimal"/>
      <w:start w:val="15"/>
    </w:lvl>
  </w:abstractNum>
  <w:abstractNum w:abstractNumId="188">
    <w:nsid w:val="6EC9D844"/>
    <w:multiLevelType w:val="hybridMultilevel"/>
    <w:lvl w:ilvl="0">
      <w:lvlJc w:val="left"/>
      <w:lvlText w:val="(%1)"/>
      <w:numFmt w:val="decimal"/>
      <w:start w:val="23"/>
    </w:lvl>
  </w:abstractNum>
  <w:abstractNum w:abstractNumId="189">
    <w:nsid w:val="5C49EAE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2023-11-29T08:24:20Z</dcterms:created>
  <dcterms:modified xsi:type="dcterms:W3CDTF">2023-11-29T08:24:20Z</dcterms:modified>
</cp:coreProperties>
</file>