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641985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March 3, 2014</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8"/>
              </w:rPr>
              <w:t>DELAWARE</w:t>
            </w:r>
          </w:p>
        </w:tc>
        <w:tc>
          <w:tcPr>
            <w:tcW w:w="252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3"/>
              </w:rPr>
              <w:t>(State or other jurisdiction of</w:t>
            </w:r>
          </w:p>
        </w:tc>
        <w:tc>
          <w:tcPr>
            <w:tcW w:w="252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2"/>
              </w:rPr>
              <w:t>incorporation)</w:t>
            </w:r>
          </w:p>
        </w:tc>
        <w:tc>
          <w:tcPr>
            <w:tcW w:w="2520" w:type="dxa"/>
            <w:vAlign w:val="bottom"/>
          </w:tcPr>
          <w:p>
            <w:pPr>
              <w:jc w:val="center"/>
              <w:ind w:right="43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60" w:type="dxa"/>
            <w:vAlign w:val="bottom"/>
          </w:tcPr>
          <w:p>
            <w:pPr>
              <w:jc w:val="center"/>
              <w:ind w:left="330"/>
              <w:spacing w:after="0"/>
              <w:rPr>
                <w:sz w:val="20"/>
                <w:szCs w:val="20"/>
                <w:color w:val="auto"/>
              </w:rPr>
            </w:pPr>
            <w:r>
              <w:rPr>
                <w:rFonts w:ascii="Arial" w:cs="Arial" w:eastAsia="Arial" w:hAnsi="Arial"/>
                <w:sz w:val="18"/>
                <w:szCs w:val="18"/>
                <w:color w:val="auto"/>
                <w:w w:val="92"/>
              </w:rPr>
              <w:t>(Address of Principal Executive Offices)</w:t>
            </w:r>
          </w:p>
        </w:tc>
        <w:tc>
          <w:tcPr>
            <w:tcW w:w="252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05"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359" w:right="359" w:bottom="1440" w:gutter="0" w:footer="0" w:header="0"/>
        </w:sectPr>
      </w:pPr>
    </w:p>
    <w:bookmarkStart w:id="1" w:name="page2"/>
    <w:bookmarkEnd w:id="1"/>
    <w:p>
      <w:pPr>
        <w:jc w:val="right"/>
        <w:ind w:right="353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 Sales Release and Charts Dated March 3, 2014</w:t>
      </w:r>
    </w:p>
    <w:p>
      <w:pPr>
        <w:sectPr>
          <w:pgSz w:w="11900" w:h="16838" w:orient="portrait"/>
          <w:cols w:equalWidth="0" w:num="1">
            <w:col w:w="10219"/>
          </w:cols>
          <w:pgMar w:left="240" w:top="580"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8.01 Other Events</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On March 3, 2014, General Motors Company issued a news release announcing February 2014 U.S. sales. The release and charts are attached as Exhibit 99.1.</w:t>
      </w:r>
    </w:p>
    <w:p>
      <w:pPr>
        <w:spacing w:after="0" w:line="200" w:lineRule="exact"/>
        <w:rPr>
          <w:sz w:val="20"/>
          <w:szCs w:val="20"/>
          <w:color w:val="auto"/>
        </w:rPr>
      </w:pP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w:t>
            </w:r>
          </w:p>
        </w:tc>
        <w:tc>
          <w:tcPr>
            <w:tcW w:w="1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574"/>
        </w:trPr>
        <w:tc>
          <w:tcPr>
            <w:tcW w:w="388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4000" w:type="dxa"/>
            <w:vAlign w:val="bottom"/>
            <w:gridSpan w:val="4"/>
          </w:tcPr>
          <w:p>
            <w:pPr>
              <w:spacing w:after="0"/>
              <w:rPr>
                <w:sz w:val="20"/>
                <w:szCs w:val="20"/>
                <w:color w:val="auto"/>
              </w:rPr>
            </w:pPr>
            <w:r>
              <w:rPr>
                <w:rFonts w:ascii="Arial" w:cs="Arial" w:eastAsia="Arial" w:hAnsi="Arial"/>
                <w:sz w:val="18"/>
                <w:szCs w:val="18"/>
                <w:color w:val="auto"/>
              </w:rPr>
              <w:t>Description</w:t>
            </w:r>
          </w:p>
        </w:tc>
        <w:tc>
          <w:tcPr>
            <w:tcW w:w="1420" w:type="dxa"/>
            <w:vAlign w:val="bottom"/>
            <w:gridSpan w:val="2"/>
          </w:tcPr>
          <w:p>
            <w:pPr>
              <w:spacing w:after="0"/>
              <w:rPr>
                <w:sz w:val="20"/>
                <w:szCs w:val="20"/>
                <w:color w:val="auto"/>
              </w:rPr>
            </w:pPr>
            <w:r>
              <w:rPr>
                <w:rFonts w:ascii="Arial" w:cs="Arial" w:eastAsia="Arial" w:hAnsi="Arial"/>
                <w:sz w:val="18"/>
                <w:szCs w:val="18"/>
                <w:color w:val="auto"/>
              </w:rPr>
              <w:t>Method of Filing</w:t>
            </w:r>
          </w:p>
        </w:tc>
      </w:tr>
      <w:tr>
        <w:trPr>
          <w:trHeight w:val="20"/>
        </w:trPr>
        <w:tc>
          <w:tcPr>
            <w:tcW w:w="52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00"/>
        </w:trPr>
        <w:tc>
          <w:tcPr>
            <w:tcW w:w="388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4000" w:type="dxa"/>
            <w:vAlign w:val="bottom"/>
            <w:gridSpan w:val="4"/>
          </w:tcPr>
          <w:p>
            <w:pPr>
              <w:spacing w:after="0"/>
              <w:rPr>
                <w:sz w:val="20"/>
                <w:szCs w:val="20"/>
                <w:color w:val="auto"/>
              </w:rPr>
            </w:pPr>
            <w:r>
              <w:rPr>
                <w:rFonts w:ascii="Arial" w:cs="Arial" w:eastAsia="Arial" w:hAnsi="Arial"/>
                <w:sz w:val="18"/>
                <w:szCs w:val="18"/>
                <w:color w:val="auto"/>
              </w:rPr>
              <w:t>U.S. Sales Release and Charts</w:t>
            </w:r>
          </w:p>
        </w:tc>
        <w:tc>
          <w:tcPr>
            <w:tcW w:w="1420" w:type="dxa"/>
            <w:vAlign w:val="bottom"/>
            <w:gridSpan w:val="2"/>
          </w:tcPr>
          <w:p>
            <w:pPr>
              <w:spacing w:after="0"/>
              <w:rPr>
                <w:sz w:val="20"/>
                <w:szCs w:val="20"/>
                <w:color w:val="auto"/>
              </w:rPr>
            </w:pPr>
            <w:r>
              <w:rPr>
                <w:rFonts w:ascii="Arial" w:cs="Arial" w:eastAsia="Arial" w:hAnsi="Arial"/>
                <w:sz w:val="18"/>
                <w:szCs w:val="18"/>
                <w:color w:val="auto"/>
                <w:w w:val="90"/>
              </w:rPr>
              <w:t>Attached as Exhibit</w:t>
            </w:r>
          </w:p>
        </w:tc>
      </w:tr>
      <w:tr>
        <w:trPr>
          <w:trHeight w:val="230"/>
        </w:trPr>
        <w:tc>
          <w:tcPr>
            <w:tcW w:w="5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000" w:type="dxa"/>
            <w:vAlign w:val="bottom"/>
            <w:gridSpan w:val="4"/>
          </w:tcPr>
          <w:p>
            <w:pPr>
              <w:spacing w:after="0"/>
              <w:rPr>
                <w:sz w:val="20"/>
                <w:szCs w:val="20"/>
                <w:color w:val="auto"/>
              </w:rPr>
            </w:pPr>
            <w:r>
              <w:rPr>
                <w:rFonts w:ascii="Arial" w:cs="Arial" w:eastAsia="Arial" w:hAnsi="Arial"/>
                <w:sz w:val="18"/>
                <w:szCs w:val="18"/>
                <w:color w:val="auto"/>
              </w:rPr>
              <w:t>Dated March 3, 2014</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ectPr>
          <w:pgSz w:w="11900" w:h="16838" w:orient="portrait"/>
          <w:cols w:equalWidth="0" w:num="1">
            <w:col w:w="11400"/>
          </w:cols>
          <w:pgMar w:left="240" w:top="796"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4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GENERAL MOTORS COMPANY</w:t>
            </w:r>
          </w:p>
        </w:tc>
        <w:tc>
          <w:tcPr>
            <w:tcW w:w="0" w:type="dxa"/>
            <w:vAlign w:val="bottom"/>
          </w:tcPr>
          <w:p>
            <w:pPr>
              <w:spacing w:after="0"/>
              <w:rPr>
                <w:sz w:val="1"/>
                <w:szCs w:val="1"/>
                <w:color w:val="auto"/>
              </w:rPr>
            </w:pPr>
          </w:p>
        </w:tc>
      </w:tr>
      <w:tr>
        <w:trPr>
          <w:trHeight w:val="237"/>
        </w:trPr>
        <w:tc>
          <w:tcPr>
            <w:tcW w:w="34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34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/s/ THOMAS S. TIMKO</w:t>
            </w:r>
          </w:p>
        </w:tc>
        <w:tc>
          <w:tcPr>
            <w:tcW w:w="0" w:type="dxa"/>
            <w:vAlign w:val="bottom"/>
          </w:tcPr>
          <w:p>
            <w:pPr>
              <w:spacing w:after="0"/>
              <w:rPr>
                <w:sz w:val="1"/>
                <w:szCs w:val="1"/>
                <w:color w:val="auto"/>
              </w:rPr>
            </w:pPr>
          </w:p>
        </w:tc>
      </w:tr>
      <w:tr>
        <w:trPr>
          <w:trHeight w:val="27"/>
        </w:trPr>
        <w:tc>
          <w:tcPr>
            <w:tcW w:w="3480" w:type="dxa"/>
            <w:vAlign w:val="bottom"/>
            <w:vMerge w:val="restart"/>
          </w:tcPr>
          <w:p>
            <w:pPr>
              <w:spacing w:after="0"/>
              <w:rPr>
                <w:sz w:val="20"/>
                <w:szCs w:val="20"/>
                <w:color w:val="auto"/>
              </w:rPr>
            </w:pPr>
            <w:r>
              <w:rPr>
                <w:rFonts w:ascii="Arial" w:cs="Arial" w:eastAsia="Arial" w:hAnsi="Arial"/>
                <w:sz w:val="18"/>
                <w:szCs w:val="18"/>
                <w:color w:val="auto"/>
              </w:rPr>
              <w:t>Date: March 4, 2014</w:t>
            </w:r>
          </w:p>
        </w:tc>
        <w:tc>
          <w:tcPr>
            <w:tcW w:w="2660" w:type="dxa"/>
            <w:vAlign w:val="bottom"/>
            <w:vMerge w:val="restart"/>
          </w:tcPr>
          <w:p>
            <w:pPr>
              <w:ind w:left="2000"/>
              <w:spacing w:after="0"/>
              <w:rPr>
                <w:sz w:val="20"/>
                <w:szCs w:val="20"/>
                <w:color w:val="auto"/>
              </w:rPr>
            </w:pPr>
            <w:r>
              <w:rPr>
                <w:rFonts w:ascii="Arial" w:cs="Arial" w:eastAsia="Arial" w:hAnsi="Arial"/>
                <w:sz w:val="18"/>
                <w:szCs w:val="18"/>
                <w:color w:val="auto"/>
              </w:rPr>
              <w:t>By:</w:t>
            </w:r>
          </w:p>
        </w:tc>
        <w:tc>
          <w:tcPr>
            <w:tcW w:w="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480" w:type="dxa"/>
            <w:vAlign w:val="bottom"/>
            <w:vMerge w:val="continue"/>
          </w:tcPr>
          <w:p>
            <w:pPr>
              <w:spacing w:after="0"/>
              <w:rPr>
                <w:sz w:val="19"/>
                <w:szCs w:val="19"/>
                <w:color w:val="auto"/>
              </w:rPr>
            </w:pPr>
          </w:p>
        </w:tc>
        <w:tc>
          <w:tcPr>
            <w:tcW w:w="26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Thomas S. Timko</w:t>
            </w: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436245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25400</wp:posOffset>
            </wp:positionV>
            <wp:extent cx="2813050" cy="9779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13050" cy="977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0"/>
          <w:szCs w:val="20"/>
          <w:color w:val="auto"/>
        </w:rPr>
        <w:t>For Release: Monday, March 3, 2014, 9:30 a.m. EST</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GM’s U.S. Dealers Delivered 222,104 Vehicles in February</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Passenger Cars Sales up 8 percent, paced by Buick and Chevrolet</w:t>
      </w:r>
    </w:p>
    <w:p>
      <w:pPr>
        <w:spacing w:after="0" w:line="188" w:lineRule="exact"/>
        <w:rPr>
          <w:sz w:val="20"/>
          <w:szCs w:val="20"/>
          <w:color w:val="auto"/>
        </w:rPr>
      </w:pPr>
    </w:p>
    <w:p>
      <w:pPr>
        <w:ind w:right="20"/>
        <w:spacing w:after="0" w:line="273" w:lineRule="auto"/>
        <w:rPr>
          <w:sz w:val="20"/>
          <w:szCs w:val="20"/>
          <w:color w:val="auto"/>
        </w:rPr>
      </w:pPr>
      <w:r>
        <w:rPr>
          <w:rFonts w:ascii="Arial" w:cs="Arial" w:eastAsia="Arial" w:hAnsi="Arial"/>
          <w:sz w:val="19"/>
          <w:szCs w:val="19"/>
          <w:b w:val="1"/>
          <w:bCs w:val="1"/>
          <w:color w:val="auto"/>
        </w:rPr>
        <w:t xml:space="preserve">DETROIT </w:t>
      </w:r>
      <w:r>
        <w:rPr>
          <w:rFonts w:ascii="Arial" w:cs="Arial" w:eastAsia="Arial" w:hAnsi="Arial"/>
          <w:sz w:val="19"/>
          <w:szCs w:val="19"/>
          <w:color w:val="auto"/>
        </w:rPr>
        <w:t>- General Motors Co. (NYSE: GM) dealers delivered 222,104 vehicles in the United States in February 2014. Total sales were</w:t>
      </w:r>
      <w:r>
        <w:rPr>
          <w:rFonts w:ascii="Arial" w:cs="Arial" w:eastAsia="Arial" w:hAnsi="Arial"/>
          <w:sz w:val="19"/>
          <w:szCs w:val="19"/>
          <w:b w:val="1"/>
          <w:bCs w:val="1"/>
          <w:color w:val="auto"/>
        </w:rPr>
        <w:t xml:space="preserve"> </w:t>
      </w:r>
      <w:r>
        <w:rPr>
          <w:rFonts w:ascii="Arial" w:cs="Arial" w:eastAsia="Arial" w:hAnsi="Arial"/>
          <w:sz w:val="19"/>
          <w:szCs w:val="19"/>
          <w:color w:val="auto"/>
        </w:rPr>
        <w:t>down 1 percent compared with a year ago, beating outside expectations. Retail and fleet sales were both down 1 percent. GM increased its sales from January 2014 by 30 percent, more than 10 percentage points better than the industry as a whole.</w:t>
      </w:r>
    </w:p>
    <w:p>
      <w:pPr>
        <w:spacing w:after="0" w:line="165"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“Weather continued to impact the industry in February, but GM sales started to thaw during the Winter Olympic Games as our brand and marketing messages took hold,” said Kurt McNeil, U.S. vice president of Sales Operations. “Car and crossover sales were particularly strong at Buick and Chevrolet, and we continue to have a strong mix of pickup sales.</w:t>
      </w:r>
    </w:p>
    <w:p>
      <w:pPr>
        <w:spacing w:after="0" w:line="186"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color w:val="auto"/>
        </w:rPr>
        <w:t>“Despite a slower start to 2014 than most people expected, we look forward to a very successful year, backed by plenty of new products and what should be the strongest GDP growth since the end of the recession.”</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February Sales Highlights (vs. 2013)</w:t>
      </w:r>
    </w:p>
    <w:p>
      <w:pPr>
        <w:spacing w:after="0" w:line="21"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Passenger car sales were up 8 percent, with Buick deliveries up across the board.</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The Chevrolet Sonic, Cruze and Malibu posted double-digit sales increases.</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The Chevrolet Cruze and the Buick Verano had their best February sales ever.</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Deliveries of the Corvette were up 149 percent.</w:t>
      </w:r>
    </w:p>
    <w:p>
      <w:pPr>
        <w:ind w:left="660" w:right="80" w:hanging="328"/>
        <w:spacing w:after="0" w:line="23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The all-new 2014 Cadillac CTS sedan helped drive a 7 percent increase in retail sales for the CTS range. Segment share is estimated to be up 1.6 points.</w:t>
      </w:r>
    </w:p>
    <w:p>
      <w:pPr>
        <w:spacing w:after="0" w:line="1" w:lineRule="exact"/>
        <w:rPr>
          <w:rFonts w:ascii="Arial" w:cs="Arial" w:eastAsia="Arial" w:hAnsi="Arial"/>
          <w:sz w:val="18"/>
          <w:szCs w:val="18"/>
          <w:color w:val="auto"/>
        </w:rPr>
      </w:pPr>
    </w:p>
    <w:p>
      <w:pPr>
        <w:ind w:left="660" w:right="260" w:hanging="328"/>
        <w:spacing w:after="0" w:line="252"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9"/>
          <w:szCs w:val="19"/>
          <w:color w:val="auto"/>
        </w:rPr>
        <w:t>Crossover sales were up 4 percent. Sales of the Buick Encore nearly doubled, the Cadillac SRX was up 23 percent and GMC Acadia deliveries were up 2 percent. The Buick Enclave and Chevrolet Equinox had their best February sales ever.</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Retail deliveries of Chevrolet and GMC large SUVs were up 14 percent.</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GM’s retail share of light-duty pickup sales increased an estimated 2 percentage points or more from January 2014.</w:t>
      </w:r>
    </w:p>
    <w:p>
      <w:pPr>
        <w:ind w:left="660" w:right="340" w:hanging="328"/>
        <w:spacing w:after="0" w:line="252"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9"/>
          <w:szCs w:val="19"/>
          <w:color w:val="auto"/>
        </w:rPr>
        <w:t>The mix of light duty pickups powered by GM’s all-new EcoTec3 V6, which offers best-in-class fuel economy, towing and payload (depending on configuration) increased 2 percentage points month over month to about 20 percent of retail sales.</w:t>
      </w:r>
    </w:p>
    <w:p>
      <w:pPr>
        <w:ind w:left="660" w:right="260" w:hanging="328"/>
        <w:spacing w:after="0" w:line="23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The average transaction prices for GM’s full-size pickups were in line with January 2014 levels, according to mid-month J.D. Power PIN estimates. More than half of light-duty pickup sales continue to be premium-contented models.</w:t>
      </w:r>
    </w:p>
    <w:p>
      <w:pPr>
        <w:spacing w:after="0" w:line="1" w:lineRule="exact"/>
        <w:rPr>
          <w:rFonts w:ascii="Arial" w:cs="Arial" w:eastAsia="Arial" w:hAnsi="Arial"/>
          <w:sz w:val="18"/>
          <w:szCs w:val="18"/>
          <w:color w:val="auto"/>
        </w:rPr>
      </w:pPr>
    </w:p>
    <w:p>
      <w:pPr>
        <w:ind w:left="660" w:right="20" w:hanging="328"/>
        <w:spacing w:after="0" w:line="23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Incentive spending increased slightly month over month on both an absolute basis and as a percentage of average transaction prices due primarily to the sell-down of older model heavy-duty pickups and large SUVs. GM’s increase was less than the industry average, according to J.D. Power PIN.</w:t>
      </w:r>
    </w:p>
    <w:p>
      <w:pPr>
        <w:spacing w:after="0" w:line="1" w:lineRule="exact"/>
        <w:rPr>
          <w:rFonts w:ascii="Arial" w:cs="Arial" w:eastAsia="Arial" w:hAnsi="Arial"/>
          <w:sz w:val="18"/>
          <w:szCs w:val="18"/>
          <w:color w:val="auto"/>
        </w:rPr>
      </w:pPr>
    </w:p>
    <w:p>
      <w:pPr>
        <w:ind w:left="660" w:right="240" w:hanging="328"/>
        <w:spacing w:after="0" w:line="24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GM increased its commercial fleet sales for the fourth month in a row, with deliveries up more than 1 percent; commercial deliveries are up 8 percent year to date.</w:t>
      </w:r>
    </w:p>
    <w:p>
      <w:pPr>
        <w:sectPr>
          <w:pgSz w:w="11900" w:h="16838" w:orient="portrait"/>
          <w:cols w:equalWidth="0" w:num="1">
            <w:col w:w="11420"/>
          </w:cols>
          <w:pgMar w:left="240" w:top="811" w:right="239" w:bottom="1440" w:gutter="0" w:footer="0" w:header="0"/>
        </w:sectPr>
      </w:pPr>
    </w:p>
    <w:bookmarkStart w:id="5" w:name="page6"/>
    <w:bookmarkEnd w:id="5"/>
    <w:p>
      <w:pPr>
        <w:ind w:right="280"/>
        <w:spacing w:after="0" w:line="261" w:lineRule="auto"/>
        <w:rPr>
          <w:sz w:val="20"/>
          <w:szCs w:val="20"/>
          <w:color w:val="auto"/>
        </w:rPr>
      </w:pPr>
      <w:r>
        <w:rPr>
          <w:rFonts w:ascii="Arial" w:cs="Arial" w:eastAsia="Arial" w:hAnsi="Arial"/>
          <w:sz w:val="18"/>
          <w:szCs w:val="18"/>
          <w:b w:val="1"/>
          <w:bCs w:val="1"/>
          <w:color w:val="auto"/>
        </w:rPr>
        <w:t xml:space="preserve">General Motors Co. </w:t>
      </w:r>
      <w:r>
        <w:rPr>
          <w:rFonts w:ascii="Arial" w:cs="Arial" w:eastAsia="Arial" w:hAnsi="Arial"/>
          <w:sz w:val="18"/>
          <w:szCs w:val="18"/>
          <w:color w:val="auto"/>
        </w:rPr>
        <w:t>(NYSE:GM, TSX: GMM) and its partners produce vehicles in 30 countries, and the company has leadership positions in the world's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largest and fastest-growing automotive markets. GM, its subsidiaries and joint venture entities sell vehicles under the Chevrolet, Cadillac, Baojun, Buick, GMC, Holden, Jiefang, Opel, Vauxhall and Wuling brands. More information on the company and its subsidiaries, including OnStar, a global leader in vehicle safety, security and information services, can be found at </w:t>
      </w:r>
      <w:r>
        <w:rPr>
          <w:rFonts w:ascii="Arial" w:cs="Arial" w:eastAsia="Arial" w:hAnsi="Arial"/>
          <w:sz w:val="18"/>
          <w:szCs w:val="18"/>
          <w:u w:val="single" w:color="auto"/>
          <w:color w:val="0000FF"/>
        </w:rPr>
        <w:t>http://www.gm.com</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3"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In this press release and in related comments by our management, our use of the words “expect,” “anticipate,” “possible,” “potential,” “target,” “believe,” “commit,” “intend,” “continue,” “may,” “would,” “could,” “should,” “project,” “projected,” “positioned”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realize production efficiencies and to achieve reductions in costs as a result of our restructuring initiatives and labor modifications; our ability to maintain quality control over our vehicles and avoid material vehicle recalls; our ability to maintain adequate liquidity and financing sources and an appropriate level of debt, including as required to fund our planned significant investment in new technology; the ability of our suppliers to timely deliver parts, components and systems; our ability to realize successful vehicle applications of new technology; and our ability to continue to attract new customers, particularly for our new products. GM's most recent annual report on Form 10-K and quarterly reports on Form 10-Q provides information about these and other factors, which we may revise or supplement in future reports to the SEC.</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Jim Cain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GM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313-407-2843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james.cain@gm.com</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40"/>
        <w:spacing w:after="0"/>
        <w:rPr>
          <w:sz w:val="20"/>
          <w:szCs w:val="20"/>
          <w:color w:val="auto"/>
        </w:rPr>
      </w:pPr>
      <w:r>
        <w:rPr>
          <w:rFonts w:ascii="Arial" w:cs="Arial" w:eastAsia="Arial" w:hAnsi="Arial"/>
          <w:sz w:val="25"/>
          <w:szCs w:val="25"/>
          <w:b w:val="1"/>
          <w:bCs w:val="1"/>
          <w:color w:val="auto"/>
        </w:rPr>
        <w:t>Sales Tables</w:t>
      </w:r>
    </w:p>
    <w:p>
      <w:pPr>
        <w:spacing w:after="0" w:line="283" w:lineRule="exact"/>
        <w:rPr>
          <w:sz w:val="20"/>
          <w:szCs w:val="20"/>
          <w:color w:val="auto"/>
        </w:rPr>
      </w:pPr>
    </w:p>
    <w:tbl>
      <w:tblPr>
        <w:tblLayout w:type="fixed"/>
        <w:tblInd w:w="230" w:type="dxa"/>
        <w:tblCellMar>
          <w:top w:w="0" w:type="dxa"/>
          <w:left w:w="0" w:type="dxa"/>
          <w:bottom w:w="0" w:type="dxa"/>
          <w:right w:w="0" w:type="dxa"/>
        </w:tblCellMar>
      </w:tblPr>
      <w:tr>
        <w:trPr>
          <w:trHeight w:val="257"/>
        </w:trPr>
        <w:tc>
          <w:tcPr>
            <w:tcW w:w="22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February</w:t>
            </w:r>
          </w:p>
        </w:tc>
        <w:tc>
          <w:tcPr>
            <w:tcW w:w="2200" w:type="dxa"/>
            <w:vAlign w:val="bottom"/>
            <w:tcBorders>
              <w:top w:val="single" w:sz="8" w:color="auto"/>
              <w:right w:val="single" w:sz="8" w:color="auto"/>
            </w:tcBorders>
          </w:tcPr>
          <w:p>
            <w:pPr>
              <w:ind w:left="680"/>
              <w:spacing w:after="0"/>
              <w:rPr>
                <w:sz w:val="20"/>
                <w:szCs w:val="20"/>
                <w:color w:val="auto"/>
              </w:rPr>
            </w:pPr>
            <w:r>
              <w:rPr>
                <w:rFonts w:ascii="Arial" w:cs="Arial" w:eastAsia="Arial" w:hAnsi="Arial"/>
                <w:sz w:val="18"/>
                <w:szCs w:val="18"/>
                <w:b w:val="1"/>
                <w:bCs w:val="1"/>
                <w:color w:val="auto"/>
              </w:rPr>
              <w:t>Total Sales</w:t>
            </w:r>
          </w:p>
        </w:tc>
        <w:tc>
          <w:tcPr>
            <w:tcW w:w="2200" w:type="dxa"/>
            <w:vAlign w:val="bottom"/>
            <w:tcBorders>
              <w:top w:val="single" w:sz="8" w:color="auto"/>
              <w:right w:val="single" w:sz="8" w:color="auto"/>
            </w:tcBorders>
          </w:tcPr>
          <w:p>
            <w:pPr>
              <w:ind w:left="560"/>
              <w:spacing w:after="0"/>
              <w:rPr>
                <w:sz w:val="20"/>
                <w:szCs w:val="20"/>
                <w:color w:val="auto"/>
              </w:rPr>
            </w:pPr>
            <w:r>
              <w:rPr>
                <w:rFonts w:ascii="Arial" w:cs="Arial" w:eastAsia="Arial" w:hAnsi="Arial"/>
                <w:sz w:val="18"/>
                <w:szCs w:val="18"/>
                <w:b w:val="1"/>
                <w:bCs w:val="1"/>
                <w:color w:val="auto"/>
              </w:rPr>
              <w:t>YOY Change</w:t>
            </w:r>
          </w:p>
        </w:tc>
        <w:tc>
          <w:tcPr>
            <w:tcW w:w="2200" w:type="dxa"/>
            <w:vAlign w:val="bottom"/>
            <w:tcBorders>
              <w:top w:val="single" w:sz="8" w:color="auto"/>
              <w:right w:val="single" w:sz="8" w:color="auto"/>
            </w:tcBorders>
          </w:tcPr>
          <w:p>
            <w:pPr>
              <w:ind w:left="640"/>
              <w:spacing w:after="0"/>
              <w:rPr>
                <w:sz w:val="20"/>
                <w:szCs w:val="20"/>
                <w:color w:val="auto"/>
              </w:rPr>
            </w:pPr>
            <w:r>
              <w:rPr>
                <w:rFonts w:ascii="Arial" w:cs="Arial" w:eastAsia="Arial" w:hAnsi="Arial"/>
                <w:sz w:val="18"/>
                <w:szCs w:val="18"/>
                <w:b w:val="1"/>
                <w:bCs w:val="1"/>
                <w:color w:val="auto"/>
              </w:rPr>
              <w:t>Retail Sales</w:t>
            </w:r>
          </w:p>
        </w:tc>
        <w:tc>
          <w:tcPr>
            <w:tcW w:w="2220" w:type="dxa"/>
            <w:vAlign w:val="bottom"/>
            <w:tcBorders>
              <w:top w:val="single" w:sz="8" w:color="auto"/>
              <w:right w:val="single" w:sz="8" w:color="auto"/>
            </w:tcBorders>
          </w:tcPr>
          <w:p>
            <w:pPr>
              <w:ind w:left="580"/>
              <w:spacing w:after="0"/>
              <w:rPr>
                <w:sz w:val="20"/>
                <w:szCs w:val="20"/>
                <w:color w:val="auto"/>
              </w:rPr>
            </w:pPr>
            <w:r>
              <w:rPr>
                <w:rFonts w:ascii="Arial" w:cs="Arial" w:eastAsia="Arial" w:hAnsi="Arial"/>
                <w:sz w:val="18"/>
                <w:szCs w:val="18"/>
                <w:b w:val="1"/>
                <w:bCs w:val="1"/>
                <w:color w:val="auto"/>
              </w:rPr>
              <w:t>YOY Change</w:t>
            </w:r>
          </w:p>
        </w:tc>
      </w:tr>
      <w:tr>
        <w:trPr>
          <w:trHeight w:val="27"/>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37"/>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Chevrolet</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153,913</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-2.9%</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107,359</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-1.7%</w:t>
            </w:r>
          </w:p>
        </w:tc>
      </w:tr>
      <w:tr>
        <w:trPr>
          <w:trHeight w:val="27"/>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37"/>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GMC</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35,562</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-0.6%</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31,319</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0.2%</w:t>
            </w:r>
          </w:p>
        </w:tc>
      </w:tr>
      <w:tr>
        <w:trPr>
          <w:trHeight w:val="27"/>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37"/>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Buick</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19,192</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18.8%</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15,176</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1.5%</w:t>
            </w:r>
          </w:p>
        </w:tc>
      </w:tr>
      <w:tr>
        <w:trPr>
          <w:trHeight w:val="27"/>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37"/>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Cadillac</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13,437</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-2.9%</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12,523</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-0.4%</w:t>
            </w:r>
          </w:p>
        </w:tc>
      </w:tr>
      <w:tr>
        <w:trPr>
          <w:trHeight w:val="27"/>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37"/>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Total</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222,104</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166,377</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-0.9%</w:t>
            </w:r>
          </w:p>
        </w:tc>
      </w:tr>
      <w:tr>
        <w:trPr>
          <w:trHeight w:val="27"/>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bl>
    <w:p>
      <w:pPr>
        <w:spacing w:after="0" w:line="304" w:lineRule="exact"/>
        <w:rPr>
          <w:sz w:val="20"/>
          <w:szCs w:val="20"/>
          <w:color w:val="auto"/>
        </w:rPr>
      </w:pPr>
    </w:p>
    <w:tbl>
      <w:tblPr>
        <w:tblLayout w:type="fixed"/>
        <w:tblInd w:w="230" w:type="dxa"/>
        <w:tblCellMar>
          <w:top w:w="0" w:type="dxa"/>
          <w:left w:w="0" w:type="dxa"/>
          <w:bottom w:w="0" w:type="dxa"/>
          <w:right w:w="0" w:type="dxa"/>
        </w:tblCellMar>
      </w:tblPr>
      <w:tr>
        <w:trPr>
          <w:trHeight w:val="257"/>
        </w:trPr>
        <w:tc>
          <w:tcPr>
            <w:tcW w:w="22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2014 CY</w:t>
            </w:r>
          </w:p>
        </w:tc>
        <w:tc>
          <w:tcPr>
            <w:tcW w:w="2200" w:type="dxa"/>
            <w:vAlign w:val="bottom"/>
            <w:tcBorders>
              <w:top w:val="single" w:sz="8" w:color="auto"/>
              <w:right w:val="single" w:sz="8" w:color="auto"/>
            </w:tcBorders>
          </w:tcPr>
          <w:p>
            <w:pPr>
              <w:ind w:left="680"/>
              <w:spacing w:after="0"/>
              <w:rPr>
                <w:sz w:val="20"/>
                <w:szCs w:val="20"/>
                <w:color w:val="auto"/>
              </w:rPr>
            </w:pPr>
            <w:r>
              <w:rPr>
                <w:rFonts w:ascii="Arial" w:cs="Arial" w:eastAsia="Arial" w:hAnsi="Arial"/>
                <w:sz w:val="18"/>
                <w:szCs w:val="18"/>
                <w:b w:val="1"/>
                <w:bCs w:val="1"/>
                <w:color w:val="auto"/>
              </w:rPr>
              <w:t>Total Sales</w:t>
            </w:r>
          </w:p>
        </w:tc>
        <w:tc>
          <w:tcPr>
            <w:tcW w:w="2200" w:type="dxa"/>
            <w:vAlign w:val="bottom"/>
            <w:tcBorders>
              <w:top w:val="single" w:sz="8" w:color="auto"/>
              <w:right w:val="single" w:sz="8" w:color="auto"/>
            </w:tcBorders>
          </w:tcPr>
          <w:p>
            <w:pPr>
              <w:ind w:left="560"/>
              <w:spacing w:after="0"/>
              <w:rPr>
                <w:sz w:val="20"/>
                <w:szCs w:val="20"/>
                <w:color w:val="auto"/>
              </w:rPr>
            </w:pPr>
            <w:r>
              <w:rPr>
                <w:rFonts w:ascii="Arial" w:cs="Arial" w:eastAsia="Arial" w:hAnsi="Arial"/>
                <w:sz w:val="18"/>
                <w:szCs w:val="18"/>
                <w:b w:val="1"/>
                <w:bCs w:val="1"/>
                <w:color w:val="auto"/>
              </w:rPr>
              <w:t>YOY Change</w:t>
            </w:r>
          </w:p>
        </w:tc>
        <w:tc>
          <w:tcPr>
            <w:tcW w:w="2200" w:type="dxa"/>
            <w:vAlign w:val="bottom"/>
            <w:tcBorders>
              <w:top w:val="single" w:sz="8" w:color="auto"/>
              <w:right w:val="single" w:sz="8" w:color="auto"/>
            </w:tcBorders>
          </w:tcPr>
          <w:p>
            <w:pPr>
              <w:ind w:left="640"/>
              <w:spacing w:after="0"/>
              <w:rPr>
                <w:sz w:val="20"/>
                <w:szCs w:val="20"/>
                <w:color w:val="auto"/>
              </w:rPr>
            </w:pPr>
            <w:r>
              <w:rPr>
                <w:rFonts w:ascii="Arial" w:cs="Arial" w:eastAsia="Arial" w:hAnsi="Arial"/>
                <w:sz w:val="18"/>
                <w:szCs w:val="18"/>
                <w:b w:val="1"/>
                <w:bCs w:val="1"/>
                <w:color w:val="auto"/>
              </w:rPr>
              <w:t>Retail Sales</w:t>
            </w:r>
          </w:p>
        </w:tc>
        <w:tc>
          <w:tcPr>
            <w:tcW w:w="2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YOY Change</w:t>
            </w:r>
          </w:p>
        </w:tc>
      </w:tr>
      <w:tr>
        <w:trPr>
          <w:trHeight w:val="27"/>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37"/>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Chevrolet</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273,002</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-7.7%</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192,447</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-4.5%</w:t>
            </w:r>
          </w:p>
        </w:tc>
      </w:tr>
      <w:tr>
        <w:trPr>
          <w:trHeight w:val="27"/>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37"/>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GMC</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63,295</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-5.0%</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55,410</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-7.2%</w:t>
            </w:r>
          </w:p>
        </w:tc>
      </w:tr>
      <w:tr>
        <w:trPr>
          <w:trHeight w:val="27"/>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37"/>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Buick</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32,470</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9.6%</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26,761</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-2.2%</w:t>
            </w:r>
          </w:p>
        </w:tc>
      </w:tr>
      <w:tr>
        <w:trPr>
          <w:trHeight w:val="27"/>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37"/>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Cadillac</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24,823</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-7.9%</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23,130</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-7.2%</w:t>
            </w:r>
          </w:p>
        </w:tc>
      </w:tr>
      <w:tr>
        <w:trPr>
          <w:trHeight w:val="27"/>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37"/>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Total</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393,590</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-6.1%</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297,748</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-5.1%</w:t>
            </w:r>
          </w:p>
        </w:tc>
      </w:tr>
      <w:tr>
        <w:trPr>
          <w:trHeight w:val="27"/>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bl>
    <w:p>
      <w:pPr>
        <w:spacing w:after="0" w:line="304" w:lineRule="exact"/>
        <w:rPr>
          <w:sz w:val="20"/>
          <w:szCs w:val="20"/>
          <w:color w:val="auto"/>
        </w:rPr>
      </w:pPr>
    </w:p>
    <w:tbl>
      <w:tblPr>
        <w:tblLayout w:type="fixed"/>
        <w:tblInd w:w="230" w:type="dxa"/>
        <w:tblCellMar>
          <w:top w:w="0" w:type="dxa"/>
          <w:left w:w="0" w:type="dxa"/>
          <w:bottom w:w="0" w:type="dxa"/>
          <w:right w:w="0" w:type="dxa"/>
        </w:tblCellMar>
      </w:tblPr>
      <w:tr>
        <w:trPr>
          <w:trHeight w:val="257"/>
        </w:trPr>
        <w:tc>
          <w:tcPr>
            <w:tcW w:w="22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Fleet Segment</w:t>
            </w:r>
          </w:p>
        </w:tc>
        <w:tc>
          <w:tcPr>
            <w:tcW w:w="2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Month</w:t>
            </w:r>
          </w:p>
        </w:tc>
        <w:tc>
          <w:tcPr>
            <w:tcW w:w="2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YOY Change</w:t>
            </w:r>
          </w:p>
        </w:tc>
        <w:tc>
          <w:tcPr>
            <w:tcW w:w="2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2014 CY</w:t>
            </w:r>
          </w:p>
        </w:tc>
        <w:tc>
          <w:tcPr>
            <w:tcW w:w="2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CY Change</w:t>
            </w:r>
          </w:p>
        </w:tc>
      </w:tr>
      <w:tr>
        <w:trPr>
          <w:trHeight w:val="27"/>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37"/>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Share of Sales</w:t>
            </w:r>
          </w:p>
        </w:tc>
        <w:tc>
          <w:tcPr>
            <w:tcW w:w="2200" w:type="dxa"/>
            <w:vAlign w:val="bottom"/>
            <w:tcBorders>
              <w:right w:val="single" w:sz="8" w:color="auto"/>
            </w:tcBorders>
          </w:tcPr>
          <w:p>
            <w:pPr>
              <w:jc w:val="right"/>
              <w:ind w:right="790"/>
              <w:spacing w:after="0"/>
              <w:rPr>
                <w:sz w:val="20"/>
                <w:szCs w:val="20"/>
                <w:color w:val="auto"/>
              </w:rPr>
            </w:pPr>
            <w:r>
              <w:rPr>
                <w:rFonts w:ascii="Arial" w:cs="Arial" w:eastAsia="Arial" w:hAnsi="Arial"/>
                <w:sz w:val="18"/>
                <w:szCs w:val="18"/>
                <w:color w:val="auto"/>
              </w:rPr>
              <w:t>25.1%</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0 points</w:t>
            </w:r>
          </w:p>
        </w:tc>
        <w:tc>
          <w:tcPr>
            <w:tcW w:w="2200" w:type="dxa"/>
            <w:vAlign w:val="bottom"/>
            <w:tcBorders>
              <w:right w:val="single" w:sz="8" w:color="auto"/>
            </w:tcBorders>
          </w:tcPr>
          <w:p>
            <w:pPr>
              <w:jc w:val="right"/>
              <w:ind w:right="790"/>
              <w:spacing w:after="0"/>
              <w:rPr>
                <w:sz w:val="20"/>
                <w:szCs w:val="20"/>
                <w:color w:val="auto"/>
              </w:rPr>
            </w:pPr>
            <w:r>
              <w:rPr>
                <w:rFonts w:ascii="Arial" w:cs="Arial" w:eastAsia="Arial" w:hAnsi="Arial"/>
                <w:sz w:val="18"/>
                <w:szCs w:val="18"/>
                <w:color w:val="auto"/>
              </w:rPr>
              <w:t>24.4%</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-0.8 points</w:t>
            </w:r>
          </w:p>
        </w:tc>
      </w:tr>
      <w:tr>
        <w:trPr>
          <w:trHeight w:val="27"/>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318"/>
        </w:trPr>
        <w:tc>
          <w:tcPr>
            <w:tcW w:w="22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218"/>
        </w:trPr>
        <w:tc>
          <w:tcPr>
            <w:tcW w:w="2220" w:type="dxa"/>
            <w:vAlign w:val="bottom"/>
            <w:tcBorders>
              <w:left w:val="single" w:sz="8" w:color="auto"/>
              <w:right w:val="single" w:sz="8" w:color="auto"/>
            </w:tcBorders>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Units at</w:t>
            </w:r>
          </w:p>
        </w:tc>
        <w:tc>
          <w:tcPr>
            <w:tcW w:w="2220" w:type="dxa"/>
            <w:vAlign w:val="bottom"/>
            <w:tcBorders>
              <w:right w:val="single" w:sz="8" w:color="auto"/>
            </w:tcBorders>
          </w:tcPr>
          <w:p>
            <w:pPr>
              <w:spacing w:after="0"/>
              <w:rPr>
                <w:sz w:val="18"/>
                <w:szCs w:val="18"/>
                <w:color w:val="auto"/>
              </w:rPr>
            </w:pPr>
          </w:p>
        </w:tc>
      </w:tr>
      <w:tr>
        <w:trPr>
          <w:trHeight w:val="216"/>
        </w:trPr>
        <w:tc>
          <w:tcPr>
            <w:tcW w:w="2220" w:type="dxa"/>
            <w:vAlign w:val="bottom"/>
            <w:tcBorders>
              <w:left w:val="single" w:sz="8" w:color="auto"/>
              <w:right w:val="single" w:sz="8" w:color="auto"/>
            </w:tcBorders>
          </w:tcPr>
          <w:p>
            <w:pPr>
              <w:spacing w:after="0"/>
              <w:rPr>
                <w:sz w:val="18"/>
                <w:szCs w:val="18"/>
                <w:color w:val="auto"/>
              </w:rPr>
            </w:pP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Units at</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Days Supply</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Previous</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Days Supply</w:t>
            </w:r>
          </w:p>
        </w:tc>
      </w:tr>
      <w:tr>
        <w:trPr>
          <w:trHeight w:val="234"/>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Inventory</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Month-end</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(selling day adjusted)</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Month-end</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(selling day adjusted)</w:t>
            </w:r>
          </w:p>
        </w:tc>
      </w:tr>
      <w:tr>
        <w:trPr>
          <w:trHeight w:val="27"/>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237"/>
        </w:trPr>
        <w:tc>
          <w:tcPr>
            <w:tcW w:w="2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All Vehicles</w:t>
            </w:r>
          </w:p>
        </w:tc>
        <w:tc>
          <w:tcPr>
            <w:tcW w:w="220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color w:val="auto"/>
              </w:rPr>
              <w:t>805,769</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87</w:t>
            </w:r>
          </w:p>
        </w:tc>
        <w:tc>
          <w:tcPr>
            <w:tcW w:w="220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color w:val="auto"/>
              </w:rPr>
              <w:t>780,140</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114</w:t>
            </w:r>
          </w:p>
        </w:tc>
      </w:tr>
      <w:tr>
        <w:trPr>
          <w:trHeight w:val="27"/>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r>
      <w:tr>
        <w:trPr>
          <w:trHeight w:val="318"/>
        </w:trPr>
        <w:tc>
          <w:tcPr>
            <w:tcW w:w="2220" w:type="dxa"/>
            <w:vAlign w:val="bottom"/>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2220" w:type="dxa"/>
            <w:vAlign w:val="bottom"/>
          </w:tcPr>
          <w:p>
            <w:pPr>
              <w:spacing w:after="0"/>
              <w:rPr>
                <w:sz w:val="24"/>
                <w:szCs w:val="24"/>
                <w:color w:val="auto"/>
              </w:rPr>
            </w:pPr>
          </w:p>
        </w:tc>
      </w:tr>
      <w:tr>
        <w:trPr>
          <w:trHeight w:val="237"/>
        </w:trPr>
        <w:tc>
          <w:tcPr>
            <w:tcW w:w="2220" w:type="dxa"/>
            <w:vAlign w:val="bottom"/>
            <w:tcBorders>
              <w:right w:val="single" w:sz="8" w:color="auto"/>
            </w:tcBorders>
          </w:tcPr>
          <w:p>
            <w:pPr>
              <w:spacing w:after="0"/>
              <w:rPr>
                <w:sz w:val="20"/>
                <w:szCs w:val="20"/>
                <w:color w:val="auto"/>
              </w:rPr>
            </w:pP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Industry Sales</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Month (est.)</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2014 (est.)</w:t>
            </w:r>
          </w:p>
        </w:tc>
        <w:tc>
          <w:tcPr>
            <w:tcW w:w="2220" w:type="dxa"/>
            <w:vAlign w:val="bottom"/>
          </w:tcPr>
          <w:p>
            <w:pPr>
              <w:spacing w:after="0"/>
              <w:rPr>
                <w:sz w:val="20"/>
                <w:szCs w:val="20"/>
                <w:color w:val="auto"/>
              </w:rPr>
            </w:pPr>
          </w:p>
        </w:tc>
      </w:tr>
      <w:tr>
        <w:trPr>
          <w:trHeight w:val="27"/>
        </w:trPr>
        <w:tc>
          <w:tcPr>
            <w:tcW w:w="2220" w:type="dxa"/>
            <w:vAlign w:val="bottom"/>
            <w:tcBorders>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Pr>
          <w:p>
            <w:pPr>
              <w:spacing w:after="0"/>
              <w:rPr>
                <w:sz w:val="2"/>
                <w:szCs w:val="2"/>
                <w:color w:val="auto"/>
              </w:rPr>
            </w:pPr>
          </w:p>
        </w:tc>
      </w:tr>
      <w:tr>
        <w:trPr>
          <w:trHeight w:val="237"/>
        </w:trPr>
        <w:tc>
          <w:tcPr>
            <w:tcW w:w="2220" w:type="dxa"/>
            <w:vAlign w:val="bottom"/>
            <w:tcBorders>
              <w:right w:val="single" w:sz="8" w:color="auto"/>
            </w:tcBorders>
          </w:tcPr>
          <w:p>
            <w:pPr>
              <w:spacing w:after="0"/>
              <w:rPr>
                <w:sz w:val="20"/>
                <w:szCs w:val="20"/>
                <w:color w:val="auto"/>
              </w:rPr>
            </w:pP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Light Vehicle SAAR</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15.4 million</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16.0 - 16.5 million</w:t>
            </w:r>
          </w:p>
        </w:tc>
        <w:tc>
          <w:tcPr>
            <w:tcW w:w="2220" w:type="dxa"/>
            <w:vAlign w:val="bottom"/>
          </w:tcPr>
          <w:p>
            <w:pPr>
              <w:spacing w:after="0"/>
              <w:rPr>
                <w:sz w:val="20"/>
                <w:szCs w:val="20"/>
                <w:color w:val="auto"/>
              </w:rPr>
            </w:pPr>
          </w:p>
        </w:tc>
      </w:tr>
      <w:tr>
        <w:trPr>
          <w:trHeight w:val="27"/>
        </w:trPr>
        <w:tc>
          <w:tcPr>
            <w:tcW w:w="2220" w:type="dxa"/>
            <w:vAlign w:val="bottom"/>
            <w:tcBorders>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Pr>
          <w:p>
            <w:pPr>
              <w:spacing w:after="0"/>
              <w:rPr>
                <w:sz w:val="2"/>
                <w:szCs w:val="2"/>
                <w:color w:val="auto"/>
              </w:rPr>
            </w:pPr>
          </w:p>
        </w:tc>
      </w:tr>
    </w:tbl>
    <w:p>
      <w:pPr>
        <w:sectPr>
          <w:pgSz w:w="11900" w:h="16838" w:orient="portrait"/>
          <w:cols w:equalWidth="0" w:num="1">
            <w:col w:w="11400"/>
          </w:cols>
          <w:pgMar w:left="240" w:top="796" w:right="25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2480" w:type="dxa"/>
            <w:vAlign w:val="bottom"/>
            <w:tcBorders>
              <w:top w:val="single" w:sz="8" w:color="auto"/>
              <w:left w:val="single" w:sz="8" w:color="auto"/>
              <w:right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80" w:type="dxa"/>
            <w:vAlign w:val="bottom"/>
            <w:tcBorders>
              <w:top w:val="single" w:sz="8" w:color="auto"/>
              <w:right w:val="single" w:sz="8" w:color="auto"/>
            </w:tcBorders>
          </w:tcPr>
          <w:p>
            <w:pPr>
              <w:spacing w:after="0"/>
              <w:rPr>
                <w:sz w:val="15"/>
                <w:szCs w:val="15"/>
                <w:color w:val="auto"/>
              </w:rPr>
            </w:pPr>
          </w:p>
        </w:tc>
        <w:tc>
          <w:tcPr>
            <w:tcW w:w="2520" w:type="dxa"/>
            <w:vAlign w:val="bottom"/>
            <w:tcBorders>
              <w:top w:val="single" w:sz="8" w:color="auto"/>
            </w:tcBorders>
            <w:gridSpan w:val="2"/>
          </w:tcPr>
          <w:p>
            <w:pPr>
              <w:jc w:val="right"/>
              <w:ind w:right="88"/>
              <w:spacing w:after="0"/>
              <w:rPr>
                <w:sz w:val="20"/>
                <w:szCs w:val="20"/>
                <w:color w:val="auto"/>
              </w:rPr>
            </w:pPr>
            <w:r>
              <w:rPr>
                <w:rFonts w:ascii="Arial" w:cs="Arial" w:eastAsia="Arial" w:hAnsi="Arial"/>
                <w:sz w:val="14"/>
                <w:szCs w:val="14"/>
                <w:color w:val="auto"/>
              </w:rPr>
              <w:t>(Calendar Year-to-Date)</w:t>
            </w:r>
          </w:p>
        </w:tc>
        <w:tc>
          <w:tcPr>
            <w:tcW w:w="920" w:type="dxa"/>
            <w:vAlign w:val="bottom"/>
            <w:tcBorders>
              <w:top w:val="single" w:sz="8" w:color="auto"/>
              <w:right w:val="single" w:sz="8" w:color="auto"/>
            </w:tcBorders>
          </w:tcPr>
          <w:p>
            <w:pPr>
              <w:spacing w:after="0"/>
              <w:rPr>
                <w:sz w:val="15"/>
                <w:szCs w:val="15"/>
                <w:color w:val="auto"/>
              </w:rPr>
            </w:pPr>
          </w:p>
        </w:tc>
      </w:tr>
      <w:tr>
        <w:trPr>
          <w:trHeight w:val="201"/>
        </w:trPr>
        <w:tc>
          <w:tcPr>
            <w:tcW w:w="2480" w:type="dxa"/>
            <w:vAlign w:val="bottom"/>
            <w:tcBorders>
              <w:left w:val="single" w:sz="8" w:color="auto"/>
              <w:right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February</w:t>
            </w:r>
          </w:p>
        </w:tc>
        <w:tc>
          <w:tcPr>
            <w:tcW w:w="1080" w:type="dxa"/>
            <w:vAlign w:val="bottom"/>
            <w:tcBorders>
              <w:bottom w:val="single" w:sz="8" w:color="auto"/>
              <w:right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w w:val="94"/>
              </w:rPr>
              <w:t>January - February</w:t>
            </w:r>
          </w:p>
        </w:tc>
        <w:tc>
          <w:tcPr>
            <w:tcW w:w="920" w:type="dxa"/>
            <w:vAlign w:val="bottom"/>
            <w:tcBorders>
              <w:bottom w:val="single" w:sz="8" w:color="auto"/>
              <w:right w:val="single" w:sz="8" w:color="auto"/>
            </w:tcBorders>
          </w:tcPr>
          <w:p>
            <w:pPr>
              <w:spacing w:after="0"/>
              <w:rPr>
                <w:sz w:val="17"/>
                <w:szCs w:val="17"/>
                <w:color w:val="auto"/>
              </w:rPr>
            </w:pPr>
          </w:p>
        </w:tc>
      </w:tr>
      <w:tr>
        <w:trPr>
          <w:trHeight w:val="157"/>
        </w:trPr>
        <w:tc>
          <w:tcPr>
            <w:tcW w:w="2480" w:type="dxa"/>
            <w:vAlign w:val="bottom"/>
            <w:tcBorders>
              <w:left w:val="single" w:sz="8" w:color="auto"/>
              <w:right w:val="single" w:sz="8" w:color="auto"/>
            </w:tcBorders>
          </w:tcPr>
          <w:p>
            <w:pPr>
              <w:spacing w:after="0"/>
              <w:rPr>
                <w:sz w:val="13"/>
                <w:szCs w:val="13"/>
                <w:color w:val="auto"/>
              </w:rPr>
            </w:pPr>
          </w:p>
        </w:tc>
        <w:tc>
          <w:tcPr>
            <w:tcW w:w="1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80" w:type="dxa"/>
            <w:vAlign w:val="bottom"/>
            <w:tcBorders>
              <w:right w:val="single" w:sz="8" w:color="auto"/>
            </w:tcBorders>
          </w:tcPr>
          <w:p>
            <w:pPr>
              <w:jc w:val="right"/>
              <w:ind w:right="168"/>
              <w:spacing w:after="0" w:line="157" w:lineRule="exact"/>
              <w:rPr>
                <w:sz w:val="20"/>
                <w:szCs w:val="20"/>
                <w:color w:val="auto"/>
              </w:rPr>
            </w:pPr>
            <w:r>
              <w:rPr>
                <w:rFonts w:ascii="Arial" w:cs="Arial" w:eastAsia="Arial" w:hAnsi="Arial"/>
                <w:sz w:val="14"/>
                <w:szCs w:val="14"/>
                <w:color w:val="auto"/>
              </w:rPr>
              <w:t>%Change</w:t>
            </w:r>
          </w:p>
        </w:tc>
        <w:tc>
          <w:tcPr>
            <w:tcW w:w="10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20" w:type="dxa"/>
            <w:vAlign w:val="bottom"/>
            <w:tcBorders>
              <w:right w:val="single" w:sz="8" w:color="auto"/>
            </w:tcBorders>
          </w:tcPr>
          <w:p>
            <w:pPr>
              <w:jc w:val="right"/>
              <w:ind w:right="148"/>
              <w:spacing w:after="0" w:line="157" w:lineRule="exact"/>
              <w:rPr>
                <w:sz w:val="20"/>
                <w:szCs w:val="20"/>
                <w:color w:val="auto"/>
              </w:rPr>
            </w:pPr>
            <w:r>
              <w:rPr>
                <w:rFonts w:ascii="Arial" w:cs="Arial" w:eastAsia="Arial" w:hAnsi="Arial"/>
                <w:sz w:val="14"/>
                <w:szCs w:val="14"/>
                <w:color w:val="auto"/>
              </w:rPr>
              <w:t>%Change</w:t>
            </w:r>
          </w:p>
        </w:tc>
      </w:tr>
      <w:tr>
        <w:trPr>
          <w:trHeight w:val="215"/>
        </w:trPr>
        <w:tc>
          <w:tcPr>
            <w:tcW w:w="2480" w:type="dxa"/>
            <w:vAlign w:val="bottom"/>
            <w:tcBorders>
              <w:left w:val="single" w:sz="8" w:color="auto"/>
              <w:bottom w:val="single" w:sz="8" w:color="auto"/>
              <w:right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2014</w:t>
            </w:r>
          </w:p>
        </w:tc>
        <w:tc>
          <w:tcPr>
            <w:tcW w:w="12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2013</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Volume</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2014</w:t>
            </w:r>
          </w:p>
        </w:tc>
        <w:tc>
          <w:tcPr>
            <w:tcW w:w="1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2013</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Volume</w:t>
            </w:r>
          </w:p>
        </w:tc>
      </w:tr>
      <w:tr>
        <w:trPr>
          <w:trHeight w:val="258"/>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Enclave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5,319</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5,241</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1.5</w:t>
            </w:r>
          </w:p>
        </w:tc>
        <w:tc>
          <w:tcPr>
            <w:tcW w:w="1060" w:type="dxa"/>
            <w:vAlign w:val="bottom"/>
          </w:tcPr>
          <w:p>
            <w:pPr>
              <w:jc w:val="right"/>
              <w:spacing w:after="0"/>
              <w:rPr>
                <w:sz w:val="20"/>
                <w:szCs w:val="20"/>
                <w:color w:val="auto"/>
              </w:rPr>
            </w:pPr>
            <w:r>
              <w:rPr>
                <w:rFonts w:ascii="Arial" w:cs="Arial" w:eastAsia="Arial" w:hAnsi="Arial"/>
                <w:sz w:val="14"/>
                <w:szCs w:val="14"/>
                <w:color w:val="auto"/>
              </w:rPr>
              <w:t>8,828</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10,136</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(12.9)</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Encore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3,078</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1,597</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92.7</w:t>
            </w:r>
          </w:p>
        </w:tc>
        <w:tc>
          <w:tcPr>
            <w:tcW w:w="1060" w:type="dxa"/>
            <w:vAlign w:val="bottom"/>
          </w:tcPr>
          <w:p>
            <w:pPr>
              <w:jc w:val="right"/>
              <w:spacing w:after="0"/>
              <w:rPr>
                <w:sz w:val="20"/>
                <w:szCs w:val="20"/>
                <w:color w:val="auto"/>
              </w:rPr>
            </w:pPr>
            <w:r>
              <w:rPr>
                <w:rFonts w:ascii="Arial" w:cs="Arial" w:eastAsia="Arial" w:hAnsi="Arial"/>
                <w:sz w:val="14"/>
                <w:szCs w:val="14"/>
                <w:color w:val="auto"/>
              </w:rPr>
              <w:t>5,444</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1,950</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179.2</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LaCrosse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4,123</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3,667</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12.4</w:t>
            </w:r>
          </w:p>
        </w:tc>
        <w:tc>
          <w:tcPr>
            <w:tcW w:w="1060" w:type="dxa"/>
            <w:vAlign w:val="bottom"/>
          </w:tcPr>
          <w:p>
            <w:pPr>
              <w:jc w:val="right"/>
              <w:spacing w:after="0"/>
              <w:rPr>
                <w:sz w:val="20"/>
                <w:szCs w:val="20"/>
                <w:color w:val="auto"/>
              </w:rPr>
            </w:pPr>
            <w:r>
              <w:rPr>
                <w:rFonts w:ascii="Arial" w:cs="Arial" w:eastAsia="Arial" w:hAnsi="Arial"/>
                <w:sz w:val="14"/>
                <w:szCs w:val="14"/>
                <w:color w:val="auto"/>
              </w:rPr>
              <w:t>6,972</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7,215</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(3.4)</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Regal</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2,200</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1,474</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49.3</w:t>
            </w:r>
          </w:p>
        </w:tc>
        <w:tc>
          <w:tcPr>
            <w:tcW w:w="1060" w:type="dxa"/>
            <w:vAlign w:val="bottom"/>
          </w:tcPr>
          <w:p>
            <w:pPr>
              <w:jc w:val="right"/>
              <w:spacing w:after="0"/>
              <w:rPr>
                <w:sz w:val="20"/>
                <w:szCs w:val="20"/>
                <w:color w:val="auto"/>
              </w:rPr>
            </w:pPr>
            <w:r>
              <w:rPr>
                <w:rFonts w:ascii="Arial" w:cs="Arial" w:eastAsia="Arial" w:hAnsi="Arial"/>
                <w:sz w:val="14"/>
                <w:szCs w:val="14"/>
                <w:color w:val="auto"/>
              </w:rPr>
              <w:t>3,634</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2,479</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46.6</w:t>
            </w:r>
          </w:p>
        </w:tc>
      </w:tr>
      <w:tr>
        <w:trPr>
          <w:trHeight w:val="276"/>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Verano</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4,472</w:t>
            </w:r>
          </w:p>
        </w:tc>
        <w:tc>
          <w:tcPr>
            <w:tcW w:w="12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4,171</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7.2</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7,592</w:t>
            </w:r>
          </w:p>
        </w:tc>
        <w:tc>
          <w:tcPr>
            <w:tcW w:w="1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7,831</w:t>
            </w:r>
          </w:p>
        </w:tc>
        <w:tc>
          <w:tcPr>
            <w:tcW w:w="92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color w:val="auto"/>
              </w:rPr>
              <w:t>(3.1)</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Buick Total*</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19,192</w:t>
            </w:r>
          </w:p>
        </w:tc>
        <w:tc>
          <w:tcPr>
            <w:tcW w:w="12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16,150</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18.8</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32,470</w:t>
            </w:r>
          </w:p>
        </w:tc>
        <w:tc>
          <w:tcPr>
            <w:tcW w:w="1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29,613</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9.6</w:t>
            </w:r>
          </w:p>
        </w:tc>
      </w:tr>
      <w:tr>
        <w:trPr>
          <w:trHeight w:val="258"/>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ATS</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2,427</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3,382</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(28.2)</w:t>
            </w:r>
          </w:p>
        </w:tc>
        <w:tc>
          <w:tcPr>
            <w:tcW w:w="1060" w:type="dxa"/>
            <w:vAlign w:val="bottom"/>
          </w:tcPr>
          <w:p>
            <w:pPr>
              <w:jc w:val="right"/>
              <w:spacing w:after="0"/>
              <w:rPr>
                <w:sz w:val="20"/>
                <w:szCs w:val="20"/>
                <w:color w:val="auto"/>
              </w:rPr>
            </w:pPr>
            <w:r>
              <w:rPr>
                <w:rFonts w:ascii="Arial" w:cs="Arial" w:eastAsia="Arial" w:hAnsi="Arial"/>
                <w:sz w:val="14"/>
                <w:szCs w:val="14"/>
                <w:color w:val="auto"/>
              </w:rPr>
              <w:t>4,336</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6,163</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(29.6)</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CTS</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2,509</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2,566</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(2.2)</w:t>
            </w:r>
          </w:p>
        </w:tc>
        <w:tc>
          <w:tcPr>
            <w:tcW w:w="1060" w:type="dxa"/>
            <w:vAlign w:val="bottom"/>
          </w:tcPr>
          <w:p>
            <w:pPr>
              <w:jc w:val="right"/>
              <w:spacing w:after="0"/>
              <w:rPr>
                <w:sz w:val="20"/>
                <w:szCs w:val="20"/>
                <w:color w:val="auto"/>
              </w:rPr>
            </w:pPr>
            <w:r>
              <w:rPr>
                <w:rFonts w:ascii="Arial" w:cs="Arial" w:eastAsia="Arial" w:hAnsi="Arial"/>
                <w:sz w:val="14"/>
                <w:szCs w:val="14"/>
                <w:color w:val="auto"/>
              </w:rPr>
              <w:t>4,741</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5,071</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(6.5)</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ELR</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58</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99</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Escalade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776</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846</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(8.3)</w:t>
            </w:r>
          </w:p>
        </w:tc>
        <w:tc>
          <w:tcPr>
            <w:tcW w:w="1060" w:type="dxa"/>
            <w:vAlign w:val="bottom"/>
          </w:tcPr>
          <w:p>
            <w:pPr>
              <w:jc w:val="right"/>
              <w:spacing w:after="0"/>
              <w:rPr>
                <w:sz w:val="20"/>
                <w:szCs w:val="20"/>
                <w:color w:val="auto"/>
              </w:rPr>
            </w:pPr>
            <w:r>
              <w:rPr>
                <w:rFonts w:ascii="Arial" w:cs="Arial" w:eastAsia="Arial" w:hAnsi="Arial"/>
                <w:sz w:val="14"/>
                <w:szCs w:val="14"/>
                <w:color w:val="auto"/>
              </w:rPr>
              <w:t>1,480</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1,703</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(13.1)</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Escalade ESV</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494</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582</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(15.1)</w:t>
            </w:r>
          </w:p>
        </w:tc>
        <w:tc>
          <w:tcPr>
            <w:tcW w:w="1060" w:type="dxa"/>
            <w:vAlign w:val="bottom"/>
          </w:tcPr>
          <w:p>
            <w:pPr>
              <w:jc w:val="right"/>
              <w:spacing w:after="0"/>
              <w:rPr>
                <w:sz w:val="20"/>
                <w:szCs w:val="20"/>
                <w:color w:val="auto"/>
              </w:rPr>
            </w:pPr>
            <w:r>
              <w:rPr>
                <w:rFonts w:ascii="Arial" w:cs="Arial" w:eastAsia="Arial" w:hAnsi="Arial"/>
                <w:sz w:val="14"/>
                <w:szCs w:val="14"/>
                <w:color w:val="auto"/>
              </w:rPr>
              <w:t>875</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1,100</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(20.5)</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Escalade EXT</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9</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191</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(95.3)</w:t>
            </w:r>
          </w:p>
        </w:tc>
        <w:tc>
          <w:tcPr>
            <w:tcW w:w="1060" w:type="dxa"/>
            <w:vAlign w:val="bottom"/>
          </w:tcPr>
          <w:p>
            <w:pPr>
              <w:jc w:val="right"/>
              <w:spacing w:after="0"/>
              <w:rPr>
                <w:sz w:val="20"/>
                <w:szCs w:val="20"/>
                <w:color w:val="auto"/>
              </w:rPr>
            </w:pPr>
            <w:r>
              <w:rPr>
                <w:rFonts w:ascii="Arial" w:cs="Arial" w:eastAsia="Arial" w:hAnsi="Arial"/>
                <w:sz w:val="14"/>
                <w:szCs w:val="14"/>
                <w:color w:val="auto"/>
              </w:rPr>
              <w:t>34</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363</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(90.6)</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SRX</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5,058</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4,108</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23.1</w:t>
            </w:r>
          </w:p>
        </w:tc>
        <w:tc>
          <w:tcPr>
            <w:tcW w:w="1060" w:type="dxa"/>
            <w:vAlign w:val="bottom"/>
          </w:tcPr>
          <w:p>
            <w:pPr>
              <w:jc w:val="right"/>
              <w:spacing w:after="0"/>
              <w:rPr>
                <w:sz w:val="20"/>
                <w:szCs w:val="20"/>
                <w:color w:val="auto"/>
              </w:rPr>
            </w:pPr>
            <w:r>
              <w:rPr>
                <w:rFonts w:ascii="Arial" w:cs="Arial" w:eastAsia="Arial" w:hAnsi="Arial"/>
                <w:sz w:val="14"/>
                <w:szCs w:val="14"/>
                <w:color w:val="auto"/>
              </w:rPr>
              <w:t>9,504</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8,488</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12.0</w:t>
            </w:r>
          </w:p>
        </w:tc>
      </w:tr>
      <w:tr>
        <w:trPr>
          <w:trHeight w:val="276"/>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XTS</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2,106</w:t>
            </w:r>
          </w:p>
        </w:tc>
        <w:tc>
          <w:tcPr>
            <w:tcW w:w="12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2,169</w:t>
            </w:r>
          </w:p>
        </w:tc>
        <w:tc>
          <w:tcPr>
            <w:tcW w:w="108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color w:val="auto"/>
              </w:rPr>
              <w:t>(2.9)</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3,754</w:t>
            </w:r>
          </w:p>
        </w:tc>
        <w:tc>
          <w:tcPr>
            <w:tcW w:w="1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4,069</w:t>
            </w:r>
          </w:p>
        </w:tc>
        <w:tc>
          <w:tcPr>
            <w:tcW w:w="92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color w:val="auto"/>
              </w:rPr>
              <w:t>(7.7)</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Cadillac Total*</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13,437</w:t>
            </w:r>
          </w:p>
        </w:tc>
        <w:tc>
          <w:tcPr>
            <w:tcW w:w="12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13,845</w:t>
            </w:r>
          </w:p>
        </w:tc>
        <w:tc>
          <w:tcPr>
            <w:tcW w:w="108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(2.9)</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24,823</w:t>
            </w:r>
          </w:p>
        </w:tc>
        <w:tc>
          <w:tcPr>
            <w:tcW w:w="1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26,961</w:t>
            </w:r>
          </w:p>
        </w:tc>
        <w:tc>
          <w:tcPr>
            <w:tcW w:w="92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(7.9)</w:t>
            </w:r>
          </w:p>
        </w:tc>
      </w:tr>
      <w:tr>
        <w:trPr>
          <w:trHeight w:val="258"/>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Avalanche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26</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2,263</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(98.9)</w:t>
            </w:r>
          </w:p>
        </w:tc>
        <w:tc>
          <w:tcPr>
            <w:tcW w:w="1060" w:type="dxa"/>
            <w:vAlign w:val="bottom"/>
          </w:tcPr>
          <w:p>
            <w:pPr>
              <w:jc w:val="right"/>
              <w:spacing w:after="0"/>
              <w:rPr>
                <w:sz w:val="20"/>
                <w:szCs w:val="20"/>
                <w:color w:val="auto"/>
              </w:rPr>
            </w:pPr>
            <w:r>
              <w:rPr>
                <w:rFonts w:ascii="Arial" w:cs="Arial" w:eastAsia="Arial" w:hAnsi="Arial"/>
                <w:sz w:val="14"/>
                <w:szCs w:val="14"/>
                <w:color w:val="auto"/>
              </w:rPr>
              <w:t>57</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4,202</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(98.6)</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Camaro</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6,211</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6,171</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0.6</w:t>
            </w:r>
          </w:p>
        </w:tc>
        <w:tc>
          <w:tcPr>
            <w:tcW w:w="1060" w:type="dxa"/>
            <w:vAlign w:val="bottom"/>
          </w:tcPr>
          <w:p>
            <w:pPr>
              <w:jc w:val="right"/>
              <w:spacing w:after="0"/>
              <w:rPr>
                <w:sz w:val="20"/>
                <w:szCs w:val="20"/>
                <w:color w:val="auto"/>
              </w:rPr>
            </w:pPr>
            <w:r>
              <w:rPr>
                <w:rFonts w:ascii="Arial" w:cs="Arial" w:eastAsia="Arial" w:hAnsi="Arial"/>
                <w:sz w:val="14"/>
                <w:szCs w:val="14"/>
                <w:color w:val="auto"/>
              </w:rPr>
              <w:t>10,944</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11,096</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(1.4)</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Caprice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322</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201</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60.2</w:t>
            </w:r>
          </w:p>
        </w:tc>
        <w:tc>
          <w:tcPr>
            <w:tcW w:w="1060" w:type="dxa"/>
            <w:vAlign w:val="bottom"/>
          </w:tcPr>
          <w:p>
            <w:pPr>
              <w:jc w:val="right"/>
              <w:spacing w:after="0"/>
              <w:rPr>
                <w:sz w:val="20"/>
                <w:szCs w:val="20"/>
                <w:color w:val="auto"/>
              </w:rPr>
            </w:pPr>
            <w:r>
              <w:rPr>
                <w:rFonts w:ascii="Arial" w:cs="Arial" w:eastAsia="Arial" w:hAnsi="Arial"/>
                <w:sz w:val="14"/>
                <w:szCs w:val="14"/>
                <w:color w:val="auto"/>
              </w:rPr>
              <w:t>522</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438</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19.2</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Captiva Sport</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4,452</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3,867</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15.1</w:t>
            </w:r>
          </w:p>
        </w:tc>
        <w:tc>
          <w:tcPr>
            <w:tcW w:w="1060" w:type="dxa"/>
            <w:vAlign w:val="bottom"/>
          </w:tcPr>
          <w:p>
            <w:pPr>
              <w:jc w:val="right"/>
              <w:spacing w:after="0"/>
              <w:rPr>
                <w:sz w:val="20"/>
                <w:szCs w:val="20"/>
                <w:color w:val="auto"/>
              </w:rPr>
            </w:pPr>
            <w:r>
              <w:rPr>
                <w:rFonts w:ascii="Arial" w:cs="Arial" w:eastAsia="Arial" w:hAnsi="Arial"/>
                <w:sz w:val="14"/>
                <w:szCs w:val="14"/>
                <w:color w:val="auto"/>
              </w:rPr>
              <w:t>8,217</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7,803</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5.3</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Colorado</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828</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(99.9)</w:t>
            </w:r>
          </w:p>
        </w:tc>
        <w:tc>
          <w:tcPr>
            <w:tcW w:w="1060" w:type="dxa"/>
            <w:vAlign w:val="bottom"/>
          </w:tcPr>
          <w:p>
            <w:pPr>
              <w:jc w:val="right"/>
              <w:spacing w:after="0"/>
              <w:rPr>
                <w:sz w:val="20"/>
                <w:szCs w:val="20"/>
                <w:color w:val="auto"/>
              </w:rPr>
            </w:pPr>
            <w:r>
              <w:rPr>
                <w:rFonts w:ascii="Arial" w:cs="Arial" w:eastAsia="Arial" w:hAnsi="Arial"/>
                <w:sz w:val="14"/>
                <w:szCs w:val="14"/>
                <w:color w:val="auto"/>
              </w:rPr>
              <w:t>15</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1,650</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(99.1)</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Corvette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2,438</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980</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148.8</w:t>
            </w:r>
          </w:p>
        </w:tc>
        <w:tc>
          <w:tcPr>
            <w:tcW w:w="1060" w:type="dxa"/>
            <w:vAlign w:val="bottom"/>
          </w:tcPr>
          <w:p>
            <w:pPr>
              <w:jc w:val="right"/>
              <w:spacing w:after="0"/>
              <w:rPr>
                <w:sz w:val="20"/>
                <w:szCs w:val="20"/>
                <w:color w:val="auto"/>
              </w:rPr>
            </w:pPr>
            <w:r>
              <w:rPr>
                <w:rFonts w:ascii="Arial" w:cs="Arial" w:eastAsia="Arial" w:hAnsi="Arial"/>
                <w:sz w:val="14"/>
                <w:szCs w:val="14"/>
                <w:color w:val="auto"/>
              </w:rPr>
              <w:t>4,699</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1,888</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148.9</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Cruze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21,836</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17,947</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21.7</w:t>
            </w:r>
          </w:p>
        </w:tc>
        <w:tc>
          <w:tcPr>
            <w:tcW w:w="1060" w:type="dxa"/>
            <w:vAlign w:val="bottom"/>
          </w:tcPr>
          <w:p>
            <w:pPr>
              <w:jc w:val="right"/>
              <w:spacing w:after="0"/>
              <w:rPr>
                <w:sz w:val="20"/>
                <w:szCs w:val="20"/>
                <w:color w:val="auto"/>
              </w:rPr>
            </w:pPr>
            <w:r>
              <w:rPr>
                <w:rFonts w:ascii="Arial" w:cs="Arial" w:eastAsia="Arial" w:hAnsi="Arial"/>
                <w:sz w:val="14"/>
                <w:szCs w:val="14"/>
                <w:color w:val="auto"/>
              </w:rPr>
              <w:t>38,664</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32,471</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19.1</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Equinox</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21,587</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20,649</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4.5</w:t>
            </w:r>
          </w:p>
        </w:tc>
        <w:tc>
          <w:tcPr>
            <w:tcW w:w="1060" w:type="dxa"/>
            <w:vAlign w:val="bottom"/>
          </w:tcPr>
          <w:p>
            <w:pPr>
              <w:jc w:val="right"/>
              <w:spacing w:after="0"/>
              <w:rPr>
                <w:sz w:val="20"/>
                <w:szCs w:val="20"/>
                <w:color w:val="auto"/>
              </w:rPr>
            </w:pPr>
            <w:r>
              <w:rPr>
                <w:rFonts w:ascii="Arial" w:cs="Arial" w:eastAsia="Arial" w:hAnsi="Arial"/>
                <w:sz w:val="14"/>
                <w:szCs w:val="14"/>
                <w:color w:val="auto"/>
              </w:rPr>
              <w:t>36,134</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37,872</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(4.6)</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Express</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4,776</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5,504</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(13.2)</w:t>
            </w:r>
          </w:p>
        </w:tc>
        <w:tc>
          <w:tcPr>
            <w:tcW w:w="1060" w:type="dxa"/>
            <w:vAlign w:val="bottom"/>
          </w:tcPr>
          <w:p>
            <w:pPr>
              <w:jc w:val="right"/>
              <w:spacing w:after="0"/>
              <w:rPr>
                <w:sz w:val="20"/>
                <w:szCs w:val="20"/>
                <w:color w:val="auto"/>
              </w:rPr>
            </w:pPr>
            <w:r>
              <w:rPr>
                <w:rFonts w:ascii="Arial" w:cs="Arial" w:eastAsia="Arial" w:hAnsi="Arial"/>
                <w:sz w:val="14"/>
                <w:szCs w:val="14"/>
                <w:color w:val="auto"/>
              </w:rPr>
              <w:t>8,668</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9,466</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(8.4)</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Impala</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12,008</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15,424</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(22.1)</w:t>
            </w:r>
          </w:p>
        </w:tc>
        <w:tc>
          <w:tcPr>
            <w:tcW w:w="1060" w:type="dxa"/>
            <w:vAlign w:val="bottom"/>
          </w:tcPr>
          <w:p>
            <w:pPr>
              <w:jc w:val="right"/>
              <w:spacing w:after="0"/>
              <w:rPr>
                <w:sz w:val="20"/>
                <w:szCs w:val="20"/>
                <w:color w:val="auto"/>
              </w:rPr>
            </w:pPr>
            <w:r>
              <w:rPr>
                <w:rFonts w:ascii="Arial" w:cs="Arial" w:eastAsia="Arial" w:hAnsi="Arial"/>
                <w:sz w:val="14"/>
                <w:szCs w:val="14"/>
                <w:color w:val="auto"/>
              </w:rPr>
              <w:t>23,906</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29,577</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(19.2)</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Malibu</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17,448</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14,817</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17.8</w:t>
            </w:r>
          </w:p>
        </w:tc>
        <w:tc>
          <w:tcPr>
            <w:tcW w:w="1060" w:type="dxa"/>
            <w:vAlign w:val="bottom"/>
          </w:tcPr>
          <w:p>
            <w:pPr>
              <w:jc w:val="right"/>
              <w:spacing w:after="0"/>
              <w:rPr>
                <w:sz w:val="20"/>
                <w:szCs w:val="20"/>
                <w:color w:val="auto"/>
              </w:rPr>
            </w:pPr>
            <w:r>
              <w:rPr>
                <w:rFonts w:ascii="Arial" w:cs="Arial" w:eastAsia="Arial" w:hAnsi="Arial"/>
                <w:sz w:val="14"/>
                <w:szCs w:val="14"/>
                <w:color w:val="auto"/>
              </w:rPr>
              <w:t>29,270</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30,640</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(4.5)</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Silverado-C/K Pickup</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36,584</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41,643</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(12.1)</w:t>
            </w:r>
          </w:p>
        </w:tc>
        <w:tc>
          <w:tcPr>
            <w:tcW w:w="1060" w:type="dxa"/>
            <w:vAlign w:val="bottom"/>
          </w:tcPr>
          <w:p>
            <w:pPr>
              <w:jc w:val="right"/>
              <w:spacing w:after="0"/>
              <w:rPr>
                <w:sz w:val="20"/>
                <w:szCs w:val="20"/>
                <w:color w:val="auto"/>
              </w:rPr>
            </w:pPr>
            <w:r>
              <w:rPr>
                <w:rFonts w:ascii="Arial" w:cs="Arial" w:eastAsia="Arial" w:hAnsi="Arial"/>
                <w:sz w:val="14"/>
                <w:szCs w:val="14"/>
                <w:color w:val="auto"/>
              </w:rPr>
              <w:t>65,510</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77,088</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(15.0)</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Sonic</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7,586</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6,025</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25.9</w:t>
            </w:r>
          </w:p>
        </w:tc>
        <w:tc>
          <w:tcPr>
            <w:tcW w:w="1060" w:type="dxa"/>
            <w:vAlign w:val="bottom"/>
          </w:tcPr>
          <w:p>
            <w:pPr>
              <w:jc w:val="right"/>
              <w:spacing w:after="0"/>
              <w:rPr>
                <w:sz w:val="20"/>
                <w:szCs w:val="20"/>
                <w:color w:val="auto"/>
              </w:rPr>
            </w:pPr>
            <w:r>
              <w:rPr>
                <w:rFonts w:ascii="Arial" w:cs="Arial" w:eastAsia="Arial" w:hAnsi="Arial"/>
                <w:sz w:val="14"/>
                <w:szCs w:val="14"/>
                <w:color w:val="auto"/>
              </w:rPr>
              <w:t>14,173</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13,202</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7.4</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Spark</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2,576</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2,836</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(9.2)</w:t>
            </w:r>
          </w:p>
        </w:tc>
        <w:tc>
          <w:tcPr>
            <w:tcW w:w="1060" w:type="dxa"/>
            <w:vAlign w:val="bottom"/>
          </w:tcPr>
          <w:p>
            <w:pPr>
              <w:jc w:val="right"/>
              <w:spacing w:after="0"/>
              <w:rPr>
                <w:sz w:val="20"/>
                <w:szCs w:val="20"/>
                <w:color w:val="auto"/>
              </w:rPr>
            </w:pPr>
            <w:r>
              <w:rPr>
                <w:rFonts w:ascii="Arial" w:cs="Arial" w:eastAsia="Arial" w:hAnsi="Arial"/>
                <w:sz w:val="14"/>
                <w:szCs w:val="14"/>
                <w:color w:val="auto"/>
              </w:rPr>
              <w:t>4,424</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5,244</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(15.6)</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Suburban (Chevy)</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2,035</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3,745</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(45.7)</w:t>
            </w:r>
          </w:p>
        </w:tc>
        <w:tc>
          <w:tcPr>
            <w:tcW w:w="1060" w:type="dxa"/>
            <w:vAlign w:val="bottom"/>
          </w:tcPr>
          <w:p>
            <w:pPr>
              <w:jc w:val="right"/>
              <w:spacing w:after="0"/>
              <w:rPr>
                <w:sz w:val="20"/>
                <w:szCs w:val="20"/>
                <w:color w:val="auto"/>
              </w:rPr>
            </w:pPr>
            <w:r>
              <w:rPr>
                <w:rFonts w:ascii="Arial" w:cs="Arial" w:eastAsia="Arial" w:hAnsi="Arial"/>
                <w:sz w:val="14"/>
                <w:szCs w:val="14"/>
                <w:color w:val="auto"/>
              </w:rPr>
              <w:t>3,740</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6,037</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(38.0)</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SS</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283</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515</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Tahoe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4,961</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5,316</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(6.7)</w:t>
            </w:r>
          </w:p>
        </w:tc>
        <w:tc>
          <w:tcPr>
            <w:tcW w:w="1060" w:type="dxa"/>
            <w:vAlign w:val="bottom"/>
          </w:tcPr>
          <w:p>
            <w:pPr>
              <w:jc w:val="right"/>
              <w:spacing w:after="0"/>
              <w:rPr>
                <w:sz w:val="20"/>
                <w:szCs w:val="20"/>
                <w:color w:val="auto"/>
              </w:rPr>
            </w:pPr>
            <w:r>
              <w:rPr>
                <w:rFonts w:ascii="Arial" w:cs="Arial" w:eastAsia="Arial" w:hAnsi="Arial"/>
                <w:sz w:val="14"/>
                <w:szCs w:val="14"/>
                <w:color w:val="auto"/>
              </w:rPr>
              <w:t>8,475</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8,935</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(5.1)</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Traverse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7,573</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8,698</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(12.9)</w:t>
            </w:r>
          </w:p>
        </w:tc>
        <w:tc>
          <w:tcPr>
            <w:tcW w:w="1060" w:type="dxa"/>
            <w:vAlign w:val="bottom"/>
          </w:tcPr>
          <w:p>
            <w:pPr>
              <w:jc w:val="right"/>
              <w:spacing w:after="0"/>
              <w:rPr>
                <w:sz w:val="20"/>
                <w:szCs w:val="20"/>
                <w:color w:val="auto"/>
              </w:rPr>
            </w:pPr>
            <w:r>
              <w:rPr>
                <w:rFonts w:ascii="Arial" w:cs="Arial" w:eastAsia="Arial" w:hAnsi="Arial"/>
                <w:sz w:val="14"/>
                <w:szCs w:val="14"/>
                <w:color w:val="auto"/>
              </w:rPr>
              <w:t>12,941</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15,468</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(16.3)</w:t>
            </w:r>
          </w:p>
        </w:tc>
      </w:tr>
      <w:tr>
        <w:trPr>
          <w:trHeight w:val="276"/>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Volt</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1,210</w:t>
            </w:r>
          </w:p>
        </w:tc>
        <w:tc>
          <w:tcPr>
            <w:tcW w:w="12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1,626</w:t>
            </w:r>
          </w:p>
        </w:tc>
        <w:tc>
          <w:tcPr>
            <w:tcW w:w="108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color w:val="auto"/>
              </w:rPr>
              <w:t>(25.6)</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2,128</w:t>
            </w:r>
          </w:p>
        </w:tc>
        <w:tc>
          <w:tcPr>
            <w:tcW w:w="1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2,766</w:t>
            </w:r>
          </w:p>
        </w:tc>
        <w:tc>
          <w:tcPr>
            <w:tcW w:w="92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color w:val="auto"/>
              </w:rPr>
              <w:t>(23.1)</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Chevrolet Total*</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153,913</w:t>
            </w:r>
          </w:p>
        </w:tc>
        <w:tc>
          <w:tcPr>
            <w:tcW w:w="12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158,541</w:t>
            </w:r>
          </w:p>
        </w:tc>
        <w:tc>
          <w:tcPr>
            <w:tcW w:w="108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(2.9)</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273,002</w:t>
            </w:r>
          </w:p>
        </w:tc>
        <w:tc>
          <w:tcPr>
            <w:tcW w:w="1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295,845</w:t>
            </w:r>
          </w:p>
        </w:tc>
        <w:tc>
          <w:tcPr>
            <w:tcW w:w="92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(7.7)</w:t>
            </w:r>
          </w:p>
        </w:tc>
      </w:tr>
      <w:tr>
        <w:trPr>
          <w:trHeight w:val="258"/>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Acadia</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6,780</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6,628</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2.3</w:t>
            </w:r>
          </w:p>
        </w:tc>
        <w:tc>
          <w:tcPr>
            <w:tcW w:w="1060" w:type="dxa"/>
            <w:vAlign w:val="bottom"/>
          </w:tcPr>
          <w:p>
            <w:pPr>
              <w:jc w:val="right"/>
              <w:spacing w:after="0"/>
              <w:rPr>
                <w:sz w:val="20"/>
                <w:szCs w:val="20"/>
                <w:color w:val="auto"/>
              </w:rPr>
            </w:pPr>
            <w:r>
              <w:rPr>
                <w:rFonts w:ascii="Arial" w:cs="Arial" w:eastAsia="Arial" w:hAnsi="Arial"/>
                <w:sz w:val="14"/>
                <w:szCs w:val="14"/>
                <w:color w:val="auto"/>
              </w:rPr>
              <w:t>12,243</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11,816</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3.6</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Canyon</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180</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482</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(99.8)</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Savana</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2,194</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886</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147.6</w:t>
            </w:r>
          </w:p>
        </w:tc>
        <w:tc>
          <w:tcPr>
            <w:tcW w:w="1060" w:type="dxa"/>
            <w:vAlign w:val="bottom"/>
          </w:tcPr>
          <w:p>
            <w:pPr>
              <w:jc w:val="right"/>
              <w:spacing w:after="0"/>
              <w:rPr>
                <w:sz w:val="20"/>
                <w:szCs w:val="20"/>
                <w:color w:val="auto"/>
              </w:rPr>
            </w:pPr>
            <w:r>
              <w:rPr>
                <w:rFonts w:ascii="Arial" w:cs="Arial" w:eastAsia="Arial" w:hAnsi="Arial"/>
                <w:sz w:val="14"/>
                <w:szCs w:val="14"/>
                <w:color w:val="auto"/>
              </w:rPr>
              <w:t>4,130</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1,930</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114.0</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Sierra</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14,232</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14,133</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0.7</w:t>
            </w:r>
          </w:p>
        </w:tc>
        <w:tc>
          <w:tcPr>
            <w:tcW w:w="1060" w:type="dxa"/>
            <w:vAlign w:val="bottom"/>
          </w:tcPr>
          <w:p>
            <w:pPr>
              <w:jc w:val="right"/>
              <w:spacing w:after="0"/>
              <w:rPr>
                <w:sz w:val="20"/>
                <w:szCs w:val="20"/>
                <w:color w:val="auto"/>
              </w:rPr>
            </w:pPr>
            <w:r>
              <w:rPr>
                <w:rFonts w:ascii="Arial" w:cs="Arial" w:eastAsia="Arial" w:hAnsi="Arial"/>
                <w:sz w:val="14"/>
                <w:szCs w:val="14"/>
                <w:color w:val="auto"/>
              </w:rPr>
              <w:t>25,350</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26,979</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(6.0)</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Terrain</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9,297</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9,802</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(5.2)</w:t>
            </w:r>
          </w:p>
        </w:tc>
        <w:tc>
          <w:tcPr>
            <w:tcW w:w="1060" w:type="dxa"/>
            <w:vAlign w:val="bottom"/>
          </w:tcPr>
          <w:p>
            <w:pPr>
              <w:jc w:val="right"/>
              <w:spacing w:after="0"/>
              <w:rPr>
                <w:sz w:val="20"/>
                <w:szCs w:val="20"/>
                <w:color w:val="auto"/>
              </w:rPr>
            </w:pPr>
            <w:r>
              <w:rPr>
                <w:rFonts w:ascii="Arial" w:cs="Arial" w:eastAsia="Arial" w:hAnsi="Arial"/>
                <w:sz w:val="14"/>
                <w:szCs w:val="14"/>
                <w:color w:val="auto"/>
              </w:rPr>
              <w:t>16,360</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18,352</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(10.9)</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Yukon</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1,949</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2,572</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(24.2)</w:t>
            </w:r>
          </w:p>
        </w:tc>
        <w:tc>
          <w:tcPr>
            <w:tcW w:w="1060" w:type="dxa"/>
            <w:vAlign w:val="bottom"/>
          </w:tcPr>
          <w:p>
            <w:pPr>
              <w:jc w:val="right"/>
              <w:spacing w:after="0"/>
              <w:rPr>
                <w:sz w:val="20"/>
                <w:szCs w:val="20"/>
                <w:color w:val="auto"/>
              </w:rPr>
            </w:pPr>
            <w:r>
              <w:rPr>
                <w:rFonts w:ascii="Arial" w:cs="Arial" w:eastAsia="Arial" w:hAnsi="Arial"/>
                <w:sz w:val="14"/>
                <w:szCs w:val="14"/>
                <w:color w:val="auto"/>
              </w:rPr>
              <w:t>3,236</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4,262</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(24.1)</w:t>
            </w:r>
          </w:p>
        </w:tc>
      </w:tr>
      <w:tr>
        <w:trPr>
          <w:trHeight w:val="276"/>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Yukon XL</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1,110</w:t>
            </w:r>
          </w:p>
        </w:tc>
        <w:tc>
          <w:tcPr>
            <w:tcW w:w="12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1,577</w:t>
            </w:r>
          </w:p>
        </w:tc>
        <w:tc>
          <w:tcPr>
            <w:tcW w:w="108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color w:val="auto"/>
              </w:rPr>
              <w:t>(29.6)</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1,975</w:t>
            </w:r>
          </w:p>
        </w:tc>
        <w:tc>
          <w:tcPr>
            <w:tcW w:w="1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2,773</w:t>
            </w:r>
          </w:p>
        </w:tc>
        <w:tc>
          <w:tcPr>
            <w:tcW w:w="92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color w:val="auto"/>
              </w:rPr>
              <w:t>(28.8)</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GMC Total</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35,562</w:t>
            </w:r>
          </w:p>
        </w:tc>
        <w:tc>
          <w:tcPr>
            <w:tcW w:w="12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35,778</w:t>
            </w:r>
          </w:p>
        </w:tc>
        <w:tc>
          <w:tcPr>
            <w:tcW w:w="108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(0.6)</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63,295</w:t>
            </w:r>
          </w:p>
        </w:tc>
        <w:tc>
          <w:tcPr>
            <w:tcW w:w="1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66,594</w:t>
            </w:r>
          </w:p>
        </w:tc>
        <w:tc>
          <w:tcPr>
            <w:tcW w:w="92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(5.0)</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GM Vehicle Total*</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222,104</w:t>
            </w:r>
          </w:p>
        </w:tc>
        <w:tc>
          <w:tcPr>
            <w:tcW w:w="12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224,314</w:t>
            </w:r>
          </w:p>
        </w:tc>
        <w:tc>
          <w:tcPr>
            <w:tcW w:w="108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393,590</w:t>
            </w:r>
          </w:p>
        </w:tc>
        <w:tc>
          <w:tcPr>
            <w:tcW w:w="1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419,013</w:t>
            </w:r>
          </w:p>
        </w:tc>
        <w:tc>
          <w:tcPr>
            <w:tcW w:w="92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(6.1)</w:t>
            </w:r>
          </w:p>
        </w:tc>
      </w:tr>
    </w:tbl>
    <w:p>
      <w:pPr>
        <w:spacing w:after="0" w:line="76" w:lineRule="exact"/>
        <w:rPr>
          <w:sz w:val="20"/>
          <w:szCs w:val="20"/>
          <w:color w:val="auto"/>
        </w:rPr>
      </w:pPr>
    </w:p>
    <w:p>
      <w:pPr>
        <w:ind w:left="20"/>
        <w:spacing w:after="0"/>
        <w:rPr>
          <w:sz w:val="20"/>
          <w:szCs w:val="20"/>
          <w:color w:val="auto"/>
        </w:rPr>
      </w:pPr>
      <w:r>
        <w:rPr>
          <w:rFonts w:ascii="Arial" w:cs="Arial" w:eastAsia="Arial" w:hAnsi="Arial"/>
          <w:sz w:val="14"/>
          <w:szCs w:val="14"/>
          <w:color w:val="auto"/>
        </w:rPr>
        <w:t>24 selling days for the February period this year and 24 for last year.</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*Totals include discontinued Buick Lucerne, Cadillac DTS, and Chevrolet HHR.</w:t>
      </w:r>
    </w:p>
    <w:sectPr>
      <w:pgSz w:w="11900" w:h="16838" w:orient="portrait"/>
      <w:cols w:equalWidth="0" w:num="1">
        <w:col w:w="9440"/>
      </w:cols>
      <w:pgMar w:left="1240" w:top="714"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2019-12-07T20:43:26Z</dcterms:created>
  <dcterms:modified xsi:type="dcterms:W3CDTF">2019-12-07T20:43:26Z</dcterms:modified>
</cp:coreProperties>
</file>