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1,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Sales Release and Charts Dated November 1, 2013</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1, 2013, General Motors Company issued a news release announcing October 2013 U.S. sales. The release and charts are attached as Exhibit 99.1.</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U.S. 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November 1, 2013</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220"/>
          </w:cols>
          <w:pgMar w:left="240" w:top="796"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6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620" w:type="dxa"/>
            <w:vAlign w:val="bottom"/>
            <w:vMerge w:val="restart"/>
          </w:tcPr>
          <w:p>
            <w:pPr>
              <w:spacing w:after="0"/>
              <w:rPr>
                <w:sz w:val="20"/>
                <w:szCs w:val="20"/>
                <w:color w:val="auto"/>
              </w:rPr>
            </w:pPr>
            <w:r>
              <w:rPr>
                <w:rFonts w:ascii="Arial" w:cs="Arial" w:eastAsia="Arial" w:hAnsi="Arial"/>
                <w:sz w:val="18"/>
                <w:szCs w:val="18"/>
                <w:color w:val="auto"/>
              </w:rPr>
              <w:t>Date: November 4, 2013</w:t>
            </w:r>
          </w:p>
        </w:tc>
        <w:tc>
          <w:tcPr>
            <w:tcW w:w="2520" w:type="dxa"/>
            <w:vAlign w:val="bottom"/>
            <w:vMerge w:val="restart"/>
          </w:tcPr>
          <w:p>
            <w:pPr>
              <w:ind w:left="186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20" w:type="dxa"/>
            <w:vAlign w:val="bottom"/>
            <w:vMerge w:val="continue"/>
          </w:tcPr>
          <w:p>
            <w:pPr>
              <w:spacing w:after="0"/>
              <w:rPr>
                <w:sz w:val="19"/>
                <w:szCs w:val="19"/>
                <w:color w:val="auto"/>
              </w:rPr>
            </w:pPr>
          </w:p>
        </w:tc>
        <w:tc>
          <w:tcPr>
            <w:tcW w:w="25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25400</wp:posOffset>
            </wp:positionV>
            <wp:extent cx="2813050" cy="977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For Release: Friday, Nov. 1, 2013, 10 a.m. EDT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GM’s U.S. Sales up 16 percent in October</w:t>
      </w:r>
    </w:p>
    <w:p>
      <w:pPr>
        <w:spacing w:after="0" w:line="200" w:lineRule="exact"/>
        <w:rPr>
          <w:sz w:val="20"/>
          <w:szCs w:val="20"/>
          <w:color w:val="auto"/>
        </w:rPr>
      </w:pPr>
    </w:p>
    <w:p>
      <w:pPr>
        <w:spacing w:after="0" w:line="246"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dealers delivered 226,402 vehicles in the United States in October, up 16 percent versus a year</w:t>
      </w:r>
      <w:r>
        <w:rPr>
          <w:rFonts w:ascii="Arial" w:cs="Arial" w:eastAsia="Arial" w:hAnsi="Arial"/>
          <w:sz w:val="20"/>
          <w:szCs w:val="20"/>
          <w:b w:val="1"/>
          <w:bCs w:val="1"/>
          <w:color w:val="auto"/>
        </w:rPr>
        <w:t xml:space="preserve"> </w:t>
      </w:r>
      <w:r>
        <w:rPr>
          <w:rFonts w:ascii="Arial" w:cs="Arial" w:eastAsia="Arial" w:hAnsi="Arial"/>
          <w:sz w:val="20"/>
          <w:szCs w:val="20"/>
          <w:color w:val="auto"/>
        </w:rPr>
        <w:t>ago. Retail sales were also up 16 percent and fleet sales were up 14 percent.</w:t>
      </w:r>
    </w:p>
    <w:p>
      <w:pPr>
        <w:spacing w:after="0" w:line="170"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“Chevrolet, Cadillac and Buick-GMC all performed well in the month, and the sales tempo really picked up after the government shutdown ended,” said Kurt McNeil, vice president, U.S. sales operations. “We are particularly pleased with our truck momentum. Chevrolet and GMC have the newest and best light duty trucks, sales are accelerating and we are gearing up for the second, third and fourth phases of our strategic truck plan.”</w:t>
      </w:r>
    </w:p>
    <w:p>
      <w:pPr>
        <w:spacing w:after="0" w:line="192"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color w:val="auto"/>
        </w:rPr>
        <w:t>This month, the premium Chevrolet Silverado High Country and GMC Sierra Denali will hit showrooms, followed by a redesigned range of heavy-duty pickups in the first quarter of 2014. All-new Chevrolet, GMC and Cadillac full-size SUVs also arrive in the first quarter, and later in the year, GM will introduce clean-sheet redesigns of the Chevrolet Colorado and GMC Canyon mid-size pickups.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October Sales Highlights (vs. 2012)</w:t>
      </w:r>
    </w:p>
    <w:p>
      <w:pPr>
        <w:spacing w:after="0" w:line="18" w:lineRule="exact"/>
        <w:rPr>
          <w:sz w:val="20"/>
          <w:szCs w:val="20"/>
          <w:color w:val="auto"/>
        </w:rPr>
      </w:pPr>
    </w:p>
    <w:p>
      <w:pPr>
        <w:ind w:left="660" w:right="460" w:hanging="328"/>
        <w:spacing w:after="0" w:line="21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Buick total sales increased 31 percent and retail sales were up 25 percent for the 18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consecutive month of year-over-year growth. Regal sales increased 47 percent.</w:t>
      </w:r>
    </w:p>
    <w:p>
      <w:pPr>
        <w:spacing w:after="0" w:line="1" w:lineRule="exact"/>
        <w:rPr>
          <w:rFonts w:ascii="Arial" w:cs="Arial" w:eastAsia="Arial" w:hAnsi="Arial"/>
          <w:sz w:val="18"/>
          <w:szCs w:val="18"/>
          <w:color w:val="auto"/>
        </w:rPr>
      </w:pPr>
    </w:p>
    <w:p>
      <w:pPr>
        <w:jc w:val="both"/>
        <w:ind w:left="660" w:right="6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Cadillac’s sales increased 10 percent and have grown in each of the last 13 months thanks to the all-new XTS and ATS. In addition, the SRX is on track for its best year ever. Retail sales were up 12 percent for the brand and more than 60 percent of buyers did not trade in a Cadillac.</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GMC was up 16 percent. The Terrain had its best October sales ever.</w:t>
      </w: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8"/>
          <w:szCs w:val="18"/>
          <w:color w:val="auto"/>
        </w:rPr>
        <w:t>Chevrolet was up 15 percent. Thirteen nameplates posted double-digit increases, including every SUV and crossover nameplate.</w:t>
      </w:r>
    </w:p>
    <w:p>
      <w:pPr>
        <w:spacing w:after="0" w:line="22" w:lineRule="exact"/>
        <w:rPr>
          <w:rFonts w:ascii="Arial" w:cs="Arial" w:eastAsia="Arial" w:hAnsi="Arial"/>
          <w:sz w:val="16"/>
          <w:szCs w:val="16"/>
          <w:color w:val="auto"/>
        </w:rPr>
      </w:pPr>
    </w:p>
    <w:p>
      <w:pPr>
        <w:ind w:left="660" w:right="10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Retail sales of Chevrolet passenger cars were up 32 percent. Cruze had its best-ever October retail sales. Impala retail deliveries nearly doubled and Malibu retail sales increased 58 percent.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Deliveries of the Chevrolet Silverado and GMC Sierra were up 10 percent and 13 percent, respectively.</w:t>
      </w:r>
    </w:p>
    <w:p>
      <w:pPr>
        <w:spacing w:after="0" w:line="200"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Sales of the new 2014 light duty Silverado and Sierra increased 62 percent from September 2013. They accounted for about 76 percent of GM’s light duty deliveries, per plan.</w:t>
      </w:r>
    </w:p>
    <w:p>
      <w:pPr>
        <w:spacing w:after="0" w:line="177"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Strong calendar-year-to-date sales have helped Chevrolet and GMC earn a 30 percent share of light-duty pickups priced $40,000 or above. That is up 5 percentage points versus 2012.</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7" w:lineRule="exact"/>
        <w:rPr>
          <w:sz w:val="20"/>
          <w:szCs w:val="20"/>
          <w:color w:val="auto"/>
        </w:rPr>
      </w:pPr>
    </w:p>
    <w:p>
      <w:pPr>
        <w:ind w:right="40"/>
        <w:spacing w:after="0" w:line="268" w:lineRule="auto"/>
        <w:rPr>
          <w:sz w:val="20"/>
          <w:szCs w:val="20"/>
          <w:color w:val="auto"/>
        </w:rPr>
      </w:pPr>
      <w:r>
        <w:rPr>
          <w:rFonts w:ascii="Arial" w:cs="Arial" w:eastAsia="Arial" w:hAnsi="Arial"/>
          <w:sz w:val="13"/>
          <w:szCs w:val="13"/>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w:t>
      </w:r>
    </w:p>
    <w:p>
      <w:pPr>
        <w:sectPr>
          <w:pgSz w:w="11900" w:h="16838" w:orient="portrait"/>
          <w:cols w:equalWidth="0" w:num="1">
            <w:col w:w="11420"/>
          </w:cols>
          <w:pgMar w:left="240" w:top="811" w:right="239" w:bottom="1440" w:gutter="0" w:footer="0" w:header="0"/>
        </w:sectPr>
      </w:pPr>
    </w:p>
    <w:bookmarkStart w:id="5" w:name="page6"/>
    <w:bookmarkEnd w:id="5"/>
    <w:p>
      <w:pPr>
        <w:ind w:right="40"/>
        <w:spacing w:after="0" w:line="286" w:lineRule="auto"/>
        <w:rPr>
          <w:sz w:val="20"/>
          <w:szCs w:val="20"/>
          <w:color w:val="auto"/>
        </w:rPr>
      </w:pPr>
      <w:r>
        <w:rPr>
          <w:rFonts w:ascii="Arial" w:cs="Arial" w:eastAsia="Arial" w:hAnsi="Arial"/>
          <w:sz w:val="13"/>
          <w:szCs w:val="13"/>
          <w:color w:val="auto"/>
        </w:rPr>
        <w:t>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3"/>
          <w:szCs w:val="13"/>
          <w:b w:val="1"/>
          <w:bCs w:val="1"/>
          <w:color w:val="auto"/>
        </w:rPr>
        <w:t xml:space="preserve">General Motors Co. </w:t>
      </w:r>
      <w:r>
        <w:rPr>
          <w:rFonts w:ascii="Arial" w:cs="Arial" w:eastAsia="Arial" w:hAnsi="Arial"/>
          <w:sz w:val="13"/>
          <w:szCs w:val="13"/>
          <w:color w:val="auto"/>
        </w:rPr>
        <w:t>(NYSE:GM, TSX: GMM) and its partners produce vehicles in 30 countries, and the company has leadership positions in the world's largest and fastest-growing automotive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markets. GM, its subsidiaries and joint venture entities sell vehicles under the Chevrolet, Cadillac, Baojun, Buick, GMC, Holden, Isuzu, Jiefang, Opel, Vauxhall and Wuling brands. More information on the company and its subsidiaries, including OnStar, a global leader in vehicle safety, security and information services, can be found at </w:t>
      </w:r>
      <w:r>
        <w:rPr>
          <w:rFonts w:ascii="Arial" w:cs="Arial" w:eastAsia="Arial" w:hAnsi="Arial"/>
          <w:sz w:val="13"/>
          <w:szCs w:val="13"/>
          <w:u w:val="single" w:color="auto"/>
          <w:color w:val="0000FF"/>
        </w:rPr>
        <w:t>http://www.gm.com</w:t>
      </w:r>
      <w:r>
        <w:rPr>
          <w:rFonts w:ascii="Arial" w:cs="Arial" w:eastAsia="Arial" w:hAnsi="Arial"/>
          <w:sz w:val="13"/>
          <w:szCs w:val="13"/>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203200</wp:posOffset>
            </wp:positionV>
            <wp:extent cx="6586220" cy="3215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6220" cy="3215640"/>
                    </a:xfrm>
                    <a:prstGeom prst="rect">
                      <a:avLst/>
                    </a:prstGeom>
                    <a:noFill/>
                  </pic:spPr>
                </pic:pic>
              </a:graphicData>
            </a:graphic>
          </wp:anchor>
        </w:drawing>
      </w:r>
    </w:p>
    <w:p>
      <w:pPr>
        <w:spacing w:after="0" w:line="326"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October</w:t>
            </w:r>
          </w:p>
        </w:tc>
        <w:tc>
          <w:tcPr>
            <w:tcW w:w="2060" w:type="dxa"/>
            <w:vAlign w:val="bottom"/>
          </w:tcPr>
          <w:p>
            <w:pPr>
              <w:ind w:left="680"/>
              <w:spacing w:after="0"/>
              <w:rPr>
                <w:sz w:val="20"/>
                <w:szCs w:val="20"/>
                <w:color w:val="auto"/>
              </w:rPr>
            </w:pPr>
            <w:r>
              <w:rPr>
                <w:rFonts w:ascii="Arial" w:cs="Arial" w:eastAsia="Arial" w:hAnsi="Arial"/>
                <w:sz w:val="16"/>
                <w:szCs w:val="16"/>
                <w:b w:val="1"/>
                <w:bCs w:val="1"/>
                <w:color w:val="auto"/>
              </w:rPr>
              <w:t>Total Sales</w:t>
            </w:r>
          </w:p>
        </w:tc>
        <w:tc>
          <w:tcPr>
            <w:tcW w:w="2140" w:type="dxa"/>
            <w:vAlign w:val="bottom"/>
          </w:tcPr>
          <w:p>
            <w:pPr>
              <w:ind w:left="600"/>
              <w:spacing w:after="0"/>
              <w:rPr>
                <w:sz w:val="20"/>
                <w:szCs w:val="20"/>
                <w:color w:val="auto"/>
              </w:rPr>
            </w:pPr>
            <w:r>
              <w:rPr>
                <w:rFonts w:ascii="Arial" w:cs="Arial" w:eastAsia="Arial" w:hAnsi="Arial"/>
                <w:sz w:val="16"/>
                <w:szCs w:val="16"/>
                <w:b w:val="1"/>
                <w:bCs w:val="1"/>
                <w:color w:val="auto"/>
              </w:rPr>
              <w:t>YOY Change</w:t>
            </w:r>
          </w:p>
        </w:tc>
        <w:tc>
          <w:tcPr>
            <w:tcW w:w="2000" w:type="dxa"/>
            <w:vAlign w:val="bottom"/>
          </w:tcPr>
          <w:p>
            <w:pPr>
              <w:ind w:left="600"/>
              <w:spacing w:after="0"/>
              <w:rPr>
                <w:sz w:val="20"/>
                <w:szCs w:val="20"/>
                <w:color w:val="auto"/>
              </w:rPr>
            </w:pPr>
            <w:r>
              <w:rPr>
                <w:rFonts w:ascii="Arial" w:cs="Arial" w:eastAsia="Arial" w:hAnsi="Arial"/>
                <w:sz w:val="16"/>
                <w:szCs w:val="16"/>
                <w:b w:val="1"/>
                <w:bCs w:val="1"/>
                <w:color w:val="auto"/>
              </w:rPr>
              <w:t>Retail Sales</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6"/>
              </w:rPr>
              <w:t>YOY Change</w:t>
            </w:r>
          </w:p>
        </w:tc>
      </w:tr>
      <w:tr>
        <w:trPr>
          <w:trHeight w:val="33"/>
        </w:trPr>
        <w:tc>
          <w:tcPr>
            <w:tcW w:w="206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4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60" w:type="dxa"/>
            <w:vAlign w:val="bottom"/>
          </w:tcPr>
          <w:p>
            <w:pPr>
              <w:jc w:val="center"/>
              <w:spacing w:after="0"/>
              <w:rPr>
                <w:sz w:val="20"/>
                <w:szCs w:val="20"/>
                <w:color w:val="auto"/>
              </w:rPr>
            </w:pPr>
            <w:r>
              <w:rPr>
                <w:rFonts w:ascii="Arial" w:cs="Arial" w:eastAsia="Arial" w:hAnsi="Arial"/>
                <w:sz w:val="16"/>
                <w:szCs w:val="16"/>
                <w:color w:val="auto"/>
                <w:w w:val="93"/>
              </w:rPr>
              <w:t>Chevrolet</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155,214</w:t>
            </w:r>
          </w:p>
        </w:tc>
        <w:tc>
          <w:tcPr>
            <w:tcW w:w="2140" w:type="dxa"/>
            <w:vAlign w:val="bottom"/>
          </w:tcPr>
          <w:p>
            <w:pPr>
              <w:jc w:val="center"/>
              <w:spacing w:after="0"/>
              <w:rPr>
                <w:sz w:val="20"/>
                <w:szCs w:val="20"/>
                <w:color w:val="auto"/>
              </w:rPr>
            </w:pPr>
            <w:r>
              <w:rPr>
                <w:rFonts w:ascii="Arial" w:cs="Arial" w:eastAsia="Arial" w:hAnsi="Arial"/>
                <w:sz w:val="16"/>
                <w:szCs w:val="16"/>
                <w:color w:val="auto"/>
                <w:w w:val="92"/>
              </w:rPr>
              <w:t>14.7%</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114,859</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16.9%</w:t>
            </w:r>
          </w:p>
        </w:tc>
      </w:tr>
      <w:tr>
        <w:trPr>
          <w:trHeight w:val="33"/>
        </w:trPr>
        <w:tc>
          <w:tcPr>
            <w:tcW w:w="206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4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60" w:type="dxa"/>
            <w:vAlign w:val="bottom"/>
          </w:tcPr>
          <w:p>
            <w:pPr>
              <w:jc w:val="center"/>
              <w:spacing w:after="0"/>
              <w:rPr>
                <w:sz w:val="20"/>
                <w:szCs w:val="20"/>
                <w:color w:val="auto"/>
              </w:rPr>
            </w:pPr>
            <w:r>
              <w:rPr>
                <w:rFonts w:ascii="Arial" w:cs="Arial" w:eastAsia="Arial" w:hAnsi="Arial"/>
                <w:sz w:val="16"/>
                <w:szCs w:val="16"/>
                <w:color w:val="auto"/>
                <w:w w:val="96"/>
              </w:rPr>
              <w:t>GMC</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38,841</w:t>
            </w:r>
          </w:p>
        </w:tc>
        <w:tc>
          <w:tcPr>
            <w:tcW w:w="2140" w:type="dxa"/>
            <w:vAlign w:val="bottom"/>
          </w:tcPr>
          <w:p>
            <w:pPr>
              <w:jc w:val="center"/>
              <w:spacing w:after="0"/>
              <w:rPr>
                <w:sz w:val="20"/>
                <w:szCs w:val="20"/>
                <w:color w:val="auto"/>
              </w:rPr>
            </w:pPr>
            <w:r>
              <w:rPr>
                <w:rFonts w:ascii="Arial" w:cs="Arial" w:eastAsia="Arial" w:hAnsi="Arial"/>
                <w:sz w:val="16"/>
                <w:szCs w:val="16"/>
                <w:color w:val="auto"/>
                <w:w w:val="92"/>
              </w:rPr>
              <w:t>15.7%</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33,113</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11.7%</w:t>
            </w:r>
          </w:p>
        </w:tc>
      </w:tr>
      <w:tr>
        <w:trPr>
          <w:trHeight w:val="33"/>
        </w:trPr>
        <w:tc>
          <w:tcPr>
            <w:tcW w:w="206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4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60" w:type="dxa"/>
            <w:vAlign w:val="bottom"/>
          </w:tcPr>
          <w:p>
            <w:pPr>
              <w:jc w:val="center"/>
              <w:spacing w:after="0"/>
              <w:rPr>
                <w:sz w:val="20"/>
                <w:szCs w:val="20"/>
                <w:color w:val="auto"/>
              </w:rPr>
            </w:pPr>
            <w:r>
              <w:rPr>
                <w:rFonts w:ascii="Arial" w:cs="Arial" w:eastAsia="Arial" w:hAnsi="Arial"/>
                <w:sz w:val="16"/>
                <w:szCs w:val="16"/>
                <w:color w:val="auto"/>
              </w:rPr>
              <w:t>Buick</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17,555</w:t>
            </w:r>
          </w:p>
        </w:tc>
        <w:tc>
          <w:tcPr>
            <w:tcW w:w="2140" w:type="dxa"/>
            <w:vAlign w:val="bottom"/>
          </w:tcPr>
          <w:p>
            <w:pPr>
              <w:jc w:val="center"/>
              <w:spacing w:after="0"/>
              <w:rPr>
                <w:sz w:val="20"/>
                <w:szCs w:val="20"/>
                <w:color w:val="auto"/>
              </w:rPr>
            </w:pPr>
            <w:r>
              <w:rPr>
                <w:rFonts w:ascii="Arial" w:cs="Arial" w:eastAsia="Arial" w:hAnsi="Arial"/>
                <w:sz w:val="16"/>
                <w:szCs w:val="16"/>
                <w:color w:val="auto"/>
                <w:w w:val="92"/>
              </w:rPr>
              <w:t>31.2%</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15,704</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24.6%</w:t>
            </w:r>
          </w:p>
        </w:tc>
      </w:tr>
      <w:tr>
        <w:trPr>
          <w:trHeight w:val="33"/>
        </w:trPr>
        <w:tc>
          <w:tcPr>
            <w:tcW w:w="206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4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60" w:type="dxa"/>
            <w:vAlign w:val="bottom"/>
          </w:tcPr>
          <w:p>
            <w:pPr>
              <w:jc w:val="center"/>
              <w:spacing w:after="0"/>
              <w:rPr>
                <w:sz w:val="20"/>
                <w:szCs w:val="20"/>
                <w:color w:val="auto"/>
              </w:rPr>
            </w:pPr>
            <w:r>
              <w:rPr>
                <w:rFonts w:ascii="Arial" w:cs="Arial" w:eastAsia="Arial" w:hAnsi="Arial"/>
                <w:sz w:val="16"/>
                <w:szCs w:val="16"/>
                <w:color w:val="auto"/>
                <w:w w:val="94"/>
              </w:rPr>
              <w:t>Cadillac</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14,792</w:t>
            </w:r>
          </w:p>
        </w:tc>
        <w:tc>
          <w:tcPr>
            <w:tcW w:w="2140" w:type="dxa"/>
            <w:vAlign w:val="bottom"/>
          </w:tcPr>
          <w:p>
            <w:pPr>
              <w:jc w:val="center"/>
              <w:spacing w:after="0"/>
              <w:rPr>
                <w:sz w:val="20"/>
                <w:szCs w:val="20"/>
                <w:color w:val="auto"/>
              </w:rPr>
            </w:pPr>
            <w:r>
              <w:rPr>
                <w:rFonts w:ascii="Arial" w:cs="Arial" w:eastAsia="Arial" w:hAnsi="Arial"/>
                <w:sz w:val="16"/>
                <w:szCs w:val="16"/>
                <w:color w:val="auto"/>
                <w:w w:val="93"/>
              </w:rPr>
              <w:t>9.5%</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14,026</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12.1%</w:t>
            </w:r>
          </w:p>
        </w:tc>
      </w:tr>
      <w:tr>
        <w:trPr>
          <w:trHeight w:val="33"/>
        </w:trPr>
        <w:tc>
          <w:tcPr>
            <w:tcW w:w="206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4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60" w:type="dxa"/>
            <w:vAlign w:val="bottom"/>
          </w:tcPr>
          <w:p>
            <w:pPr>
              <w:jc w:val="center"/>
              <w:spacing w:after="0"/>
              <w:rPr>
                <w:sz w:val="20"/>
                <w:szCs w:val="20"/>
                <w:color w:val="auto"/>
              </w:rPr>
            </w:pPr>
            <w:r>
              <w:rPr>
                <w:rFonts w:ascii="Arial" w:cs="Arial" w:eastAsia="Arial" w:hAnsi="Arial"/>
                <w:sz w:val="16"/>
                <w:szCs w:val="16"/>
                <w:color w:val="auto"/>
                <w:w w:val="89"/>
              </w:rPr>
              <w:t>Total</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226,402</w:t>
            </w:r>
          </w:p>
        </w:tc>
        <w:tc>
          <w:tcPr>
            <w:tcW w:w="2140" w:type="dxa"/>
            <w:vAlign w:val="bottom"/>
          </w:tcPr>
          <w:p>
            <w:pPr>
              <w:jc w:val="center"/>
              <w:spacing w:after="0"/>
              <w:rPr>
                <w:sz w:val="20"/>
                <w:szCs w:val="20"/>
                <w:color w:val="auto"/>
              </w:rPr>
            </w:pPr>
            <w:r>
              <w:rPr>
                <w:rFonts w:ascii="Arial" w:cs="Arial" w:eastAsia="Arial" w:hAnsi="Arial"/>
                <w:sz w:val="16"/>
                <w:szCs w:val="16"/>
                <w:color w:val="auto"/>
                <w:w w:val="92"/>
              </w:rPr>
              <w:t>15.7%</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177,702</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16.1%</w:t>
            </w:r>
          </w:p>
        </w:tc>
      </w:tr>
    </w:tbl>
    <w:p>
      <w:pPr>
        <w:spacing w:after="0" w:line="235"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2060" w:type="dxa"/>
            <w:vAlign w:val="bottom"/>
          </w:tcPr>
          <w:p>
            <w:pPr>
              <w:jc w:val="center"/>
              <w:spacing w:after="0"/>
              <w:rPr>
                <w:sz w:val="20"/>
                <w:szCs w:val="20"/>
                <w:color w:val="auto"/>
              </w:rPr>
            </w:pPr>
            <w:r>
              <w:rPr>
                <w:rFonts w:ascii="Arial" w:cs="Arial" w:eastAsia="Arial" w:hAnsi="Arial"/>
                <w:sz w:val="16"/>
                <w:szCs w:val="16"/>
                <w:b w:val="1"/>
                <w:bCs w:val="1"/>
                <w:color w:val="auto"/>
              </w:rPr>
              <w:t>CYTD</w:t>
            </w:r>
          </w:p>
        </w:tc>
        <w:tc>
          <w:tcPr>
            <w:tcW w:w="2060" w:type="dxa"/>
            <w:vAlign w:val="bottom"/>
          </w:tcPr>
          <w:p>
            <w:pPr>
              <w:ind w:left="680"/>
              <w:spacing w:after="0"/>
              <w:rPr>
                <w:sz w:val="20"/>
                <w:szCs w:val="20"/>
                <w:color w:val="auto"/>
              </w:rPr>
            </w:pPr>
            <w:r>
              <w:rPr>
                <w:rFonts w:ascii="Arial" w:cs="Arial" w:eastAsia="Arial" w:hAnsi="Arial"/>
                <w:sz w:val="16"/>
                <w:szCs w:val="16"/>
                <w:b w:val="1"/>
                <w:bCs w:val="1"/>
                <w:color w:val="auto"/>
              </w:rPr>
              <w:t>Total Sales</w:t>
            </w:r>
          </w:p>
        </w:tc>
        <w:tc>
          <w:tcPr>
            <w:tcW w:w="2140" w:type="dxa"/>
            <w:vAlign w:val="bottom"/>
          </w:tcPr>
          <w:p>
            <w:pPr>
              <w:ind w:left="600"/>
              <w:spacing w:after="0"/>
              <w:rPr>
                <w:sz w:val="20"/>
                <w:szCs w:val="20"/>
                <w:color w:val="auto"/>
              </w:rPr>
            </w:pPr>
            <w:r>
              <w:rPr>
                <w:rFonts w:ascii="Arial" w:cs="Arial" w:eastAsia="Arial" w:hAnsi="Arial"/>
                <w:sz w:val="16"/>
                <w:szCs w:val="16"/>
                <w:b w:val="1"/>
                <w:bCs w:val="1"/>
                <w:color w:val="auto"/>
              </w:rPr>
              <w:t>YOY Change</w:t>
            </w:r>
          </w:p>
        </w:tc>
        <w:tc>
          <w:tcPr>
            <w:tcW w:w="2000" w:type="dxa"/>
            <w:vAlign w:val="bottom"/>
          </w:tcPr>
          <w:p>
            <w:pPr>
              <w:ind w:left="600"/>
              <w:spacing w:after="0"/>
              <w:rPr>
                <w:sz w:val="20"/>
                <w:szCs w:val="20"/>
                <w:color w:val="auto"/>
              </w:rPr>
            </w:pPr>
            <w:r>
              <w:rPr>
                <w:rFonts w:ascii="Arial" w:cs="Arial" w:eastAsia="Arial" w:hAnsi="Arial"/>
                <w:sz w:val="16"/>
                <w:szCs w:val="16"/>
                <w:b w:val="1"/>
                <w:bCs w:val="1"/>
                <w:color w:val="auto"/>
              </w:rPr>
              <w:t>Retail Sales</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6"/>
              </w:rPr>
              <w:t>YOY Change</w:t>
            </w:r>
          </w:p>
        </w:tc>
      </w:tr>
      <w:tr>
        <w:trPr>
          <w:trHeight w:val="33"/>
        </w:trPr>
        <w:tc>
          <w:tcPr>
            <w:tcW w:w="206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4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60" w:type="dxa"/>
            <w:vAlign w:val="bottom"/>
          </w:tcPr>
          <w:p>
            <w:pPr>
              <w:jc w:val="center"/>
              <w:spacing w:after="0"/>
              <w:rPr>
                <w:sz w:val="20"/>
                <w:szCs w:val="20"/>
                <w:color w:val="auto"/>
              </w:rPr>
            </w:pPr>
            <w:r>
              <w:rPr>
                <w:rFonts w:ascii="Arial" w:cs="Arial" w:eastAsia="Arial" w:hAnsi="Arial"/>
                <w:sz w:val="16"/>
                <w:szCs w:val="16"/>
                <w:color w:val="auto"/>
                <w:w w:val="93"/>
              </w:rPr>
              <w:t>Chevrolet</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1,648,543</w:t>
            </w:r>
          </w:p>
        </w:tc>
        <w:tc>
          <w:tcPr>
            <w:tcW w:w="2140" w:type="dxa"/>
            <w:vAlign w:val="bottom"/>
          </w:tcPr>
          <w:p>
            <w:pPr>
              <w:jc w:val="center"/>
              <w:spacing w:after="0"/>
              <w:rPr>
                <w:sz w:val="20"/>
                <w:szCs w:val="20"/>
                <w:color w:val="auto"/>
              </w:rPr>
            </w:pPr>
            <w:r>
              <w:rPr>
                <w:rFonts w:ascii="Arial" w:cs="Arial" w:eastAsia="Arial" w:hAnsi="Arial"/>
                <w:sz w:val="16"/>
                <w:szCs w:val="16"/>
                <w:color w:val="auto"/>
                <w:w w:val="93"/>
              </w:rPr>
              <w:t>6.0%</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1,165,832</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10.2%</w:t>
            </w:r>
          </w:p>
        </w:tc>
      </w:tr>
      <w:tr>
        <w:trPr>
          <w:trHeight w:val="33"/>
        </w:trPr>
        <w:tc>
          <w:tcPr>
            <w:tcW w:w="206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4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60" w:type="dxa"/>
            <w:vAlign w:val="bottom"/>
          </w:tcPr>
          <w:p>
            <w:pPr>
              <w:jc w:val="center"/>
              <w:spacing w:after="0"/>
              <w:rPr>
                <w:sz w:val="20"/>
                <w:szCs w:val="20"/>
                <w:color w:val="auto"/>
              </w:rPr>
            </w:pPr>
            <w:r>
              <w:rPr>
                <w:rFonts w:ascii="Arial" w:cs="Arial" w:eastAsia="Arial" w:hAnsi="Arial"/>
                <w:sz w:val="16"/>
                <w:szCs w:val="16"/>
                <w:color w:val="auto"/>
                <w:w w:val="96"/>
              </w:rPr>
              <w:t>GMC</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372,054</w:t>
            </w:r>
          </w:p>
        </w:tc>
        <w:tc>
          <w:tcPr>
            <w:tcW w:w="2140" w:type="dxa"/>
            <w:vAlign w:val="bottom"/>
          </w:tcPr>
          <w:p>
            <w:pPr>
              <w:jc w:val="center"/>
              <w:spacing w:after="0"/>
              <w:rPr>
                <w:sz w:val="20"/>
                <w:szCs w:val="20"/>
                <w:color w:val="auto"/>
              </w:rPr>
            </w:pPr>
            <w:r>
              <w:rPr>
                <w:rFonts w:ascii="Arial" w:cs="Arial" w:eastAsia="Arial" w:hAnsi="Arial"/>
                <w:sz w:val="16"/>
                <w:szCs w:val="16"/>
                <w:color w:val="auto"/>
                <w:w w:val="93"/>
              </w:rPr>
              <w:t>9.4%</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323,053</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12.8%</w:t>
            </w:r>
          </w:p>
        </w:tc>
      </w:tr>
      <w:tr>
        <w:trPr>
          <w:trHeight w:val="33"/>
        </w:trPr>
        <w:tc>
          <w:tcPr>
            <w:tcW w:w="206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4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60" w:type="dxa"/>
            <w:vAlign w:val="bottom"/>
          </w:tcPr>
          <w:p>
            <w:pPr>
              <w:jc w:val="center"/>
              <w:spacing w:after="0"/>
              <w:rPr>
                <w:sz w:val="20"/>
                <w:szCs w:val="20"/>
                <w:color w:val="auto"/>
              </w:rPr>
            </w:pPr>
            <w:r>
              <w:rPr>
                <w:rFonts w:ascii="Arial" w:cs="Arial" w:eastAsia="Arial" w:hAnsi="Arial"/>
                <w:sz w:val="16"/>
                <w:szCs w:val="16"/>
                <w:color w:val="auto"/>
              </w:rPr>
              <w:t>Buick</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175,058</w:t>
            </w:r>
          </w:p>
        </w:tc>
        <w:tc>
          <w:tcPr>
            <w:tcW w:w="2140" w:type="dxa"/>
            <w:vAlign w:val="bottom"/>
          </w:tcPr>
          <w:p>
            <w:pPr>
              <w:jc w:val="center"/>
              <w:spacing w:after="0"/>
              <w:rPr>
                <w:sz w:val="20"/>
                <w:szCs w:val="20"/>
                <w:color w:val="auto"/>
              </w:rPr>
            </w:pPr>
            <w:r>
              <w:rPr>
                <w:rFonts w:ascii="Arial" w:cs="Arial" w:eastAsia="Arial" w:hAnsi="Arial"/>
                <w:sz w:val="16"/>
                <w:szCs w:val="16"/>
                <w:color w:val="auto"/>
                <w:w w:val="92"/>
              </w:rPr>
              <w:t>16.2%</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155,444</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15.1%</w:t>
            </w:r>
          </w:p>
        </w:tc>
      </w:tr>
      <w:tr>
        <w:trPr>
          <w:trHeight w:val="33"/>
        </w:trPr>
        <w:tc>
          <w:tcPr>
            <w:tcW w:w="206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4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60" w:type="dxa"/>
            <w:vAlign w:val="bottom"/>
          </w:tcPr>
          <w:p>
            <w:pPr>
              <w:jc w:val="center"/>
              <w:spacing w:after="0"/>
              <w:rPr>
                <w:sz w:val="20"/>
                <w:szCs w:val="20"/>
                <w:color w:val="auto"/>
              </w:rPr>
            </w:pPr>
            <w:r>
              <w:rPr>
                <w:rFonts w:ascii="Arial" w:cs="Arial" w:eastAsia="Arial" w:hAnsi="Arial"/>
                <w:sz w:val="16"/>
                <w:szCs w:val="16"/>
                <w:color w:val="auto"/>
                <w:w w:val="94"/>
              </w:rPr>
              <w:t>Cadillac</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148,206</w:t>
            </w:r>
          </w:p>
        </w:tc>
        <w:tc>
          <w:tcPr>
            <w:tcW w:w="2140" w:type="dxa"/>
            <w:vAlign w:val="bottom"/>
          </w:tcPr>
          <w:p>
            <w:pPr>
              <w:jc w:val="center"/>
              <w:spacing w:after="0"/>
              <w:rPr>
                <w:sz w:val="20"/>
                <w:szCs w:val="20"/>
                <w:color w:val="auto"/>
              </w:rPr>
            </w:pPr>
            <w:r>
              <w:rPr>
                <w:rFonts w:ascii="Arial" w:cs="Arial" w:eastAsia="Arial" w:hAnsi="Arial"/>
                <w:sz w:val="16"/>
                <w:szCs w:val="16"/>
                <w:color w:val="auto"/>
                <w:w w:val="92"/>
              </w:rPr>
              <w:t>26.7%</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136,692</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23.9%</w:t>
            </w:r>
          </w:p>
        </w:tc>
      </w:tr>
      <w:tr>
        <w:trPr>
          <w:trHeight w:val="33"/>
        </w:trPr>
        <w:tc>
          <w:tcPr>
            <w:tcW w:w="206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4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60" w:type="dxa"/>
            <w:vAlign w:val="bottom"/>
          </w:tcPr>
          <w:p>
            <w:pPr>
              <w:jc w:val="center"/>
              <w:spacing w:after="0"/>
              <w:rPr>
                <w:sz w:val="20"/>
                <w:szCs w:val="20"/>
                <w:color w:val="auto"/>
              </w:rPr>
            </w:pPr>
            <w:r>
              <w:rPr>
                <w:rFonts w:ascii="Arial" w:cs="Arial" w:eastAsia="Arial" w:hAnsi="Arial"/>
                <w:sz w:val="16"/>
                <w:szCs w:val="16"/>
                <w:color w:val="auto"/>
                <w:w w:val="97"/>
              </w:rPr>
              <w:t>Total GM</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2,343,861</w:t>
            </w:r>
          </w:p>
        </w:tc>
        <w:tc>
          <w:tcPr>
            <w:tcW w:w="2140" w:type="dxa"/>
            <w:vAlign w:val="bottom"/>
          </w:tcPr>
          <w:p>
            <w:pPr>
              <w:jc w:val="center"/>
              <w:spacing w:after="0"/>
              <w:rPr>
                <w:sz w:val="20"/>
                <w:szCs w:val="20"/>
                <w:color w:val="auto"/>
              </w:rPr>
            </w:pPr>
            <w:r>
              <w:rPr>
                <w:rFonts w:ascii="Arial" w:cs="Arial" w:eastAsia="Arial" w:hAnsi="Arial"/>
                <w:sz w:val="16"/>
                <w:szCs w:val="16"/>
                <w:color w:val="auto"/>
                <w:w w:val="93"/>
              </w:rPr>
              <w:t>8.3%</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1,781,021</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12.0%</w:t>
            </w:r>
          </w:p>
        </w:tc>
      </w:tr>
    </w:tbl>
    <w:p>
      <w:pPr>
        <w:spacing w:after="0" w:line="235"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1740" w:type="dxa"/>
            <w:vAlign w:val="bottom"/>
            <w:gridSpan w:val="2"/>
          </w:tcPr>
          <w:p>
            <w:pPr>
              <w:jc w:val="center"/>
              <w:ind w:left="259"/>
              <w:spacing w:after="0"/>
              <w:rPr>
                <w:sz w:val="20"/>
                <w:szCs w:val="20"/>
                <w:color w:val="auto"/>
              </w:rPr>
            </w:pPr>
            <w:r>
              <w:rPr>
                <w:rFonts w:ascii="Arial" w:cs="Arial" w:eastAsia="Arial" w:hAnsi="Arial"/>
                <w:sz w:val="16"/>
                <w:szCs w:val="16"/>
                <w:b w:val="1"/>
                <w:bCs w:val="1"/>
                <w:color w:val="auto"/>
                <w:w w:val="87"/>
              </w:rPr>
              <w:t>Fleet Segment</w:t>
            </w:r>
          </w:p>
        </w:tc>
        <w:tc>
          <w:tcPr>
            <w:tcW w:w="2240" w:type="dxa"/>
            <w:vAlign w:val="bottom"/>
          </w:tcPr>
          <w:p>
            <w:pPr>
              <w:jc w:val="center"/>
              <w:ind w:left="439"/>
              <w:spacing w:after="0"/>
              <w:rPr>
                <w:sz w:val="20"/>
                <w:szCs w:val="20"/>
                <w:color w:val="auto"/>
              </w:rPr>
            </w:pPr>
            <w:r>
              <w:rPr>
                <w:rFonts w:ascii="Arial" w:cs="Arial" w:eastAsia="Arial" w:hAnsi="Arial"/>
                <w:sz w:val="16"/>
                <w:szCs w:val="16"/>
                <w:b w:val="1"/>
                <w:bCs w:val="1"/>
                <w:color w:val="auto"/>
                <w:w w:val="99"/>
              </w:rPr>
              <w:t>Month</w:t>
            </w:r>
          </w:p>
        </w:tc>
        <w:tc>
          <w:tcPr>
            <w:tcW w:w="254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YOY Change</w:t>
            </w:r>
          </w:p>
        </w:tc>
        <w:tc>
          <w:tcPr>
            <w:tcW w:w="1820" w:type="dxa"/>
            <w:vAlign w:val="bottom"/>
          </w:tcPr>
          <w:p>
            <w:pPr>
              <w:jc w:val="center"/>
              <w:ind w:right="239"/>
              <w:spacing w:after="0"/>
              <w:rPr>
                <w:sz w:val="20"/>
                <w:szCs w:val="20"/>
                <w:color w:val="auto"/>
              </w:rPr>
            </w:pPr>
            <w:r>
              <w:rPr>
                <w:rFonts w:ascii="Arial" w:cs="Arial" w:eastAsia="Arial" w:hAnsi="Arial"/>
                <w:sz w:val="16"/>
                <w:szCs w:val="16"/>
                <w:b w:val="1"/>
                <w:bCs w:val="1"/>
                <w:color w:val="auto"/>
              </w:rPr>
              <w:t>CYTD</w:t>
            </w:r>
          </w:p>
        </w:tc>
        <w:tc>
          <w:tcPr>
            <w:tcW w:w="20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5"/>
              </w:rPr>
              <w:t>CYTD Change</w:t>
            </w:r>
          </w:p>
        </w:tc>
        <w:tc>
          <w:tcPr>
            <w:tcW w:w="0" w:type="dxa"/>
            <w:vAlign w:val="bottom"/>
          </w:tcPr>
          <w:p>
            <w:pPr>
              <w:spacing w:after="0"/>
              <w:rPr>
                <w:sz w:val="1"/>
                <w:szCs w:val="1"/>
                <w:color w:val="auto"/>
              </w:rPr>
            </w:pPr>
          </w:p>
        </w:tc>
      </w:tr>
      <w:tr>
        <w:trPr>
          <w:trHeight w:val="33"/>
        </w:trPr>
        <w:tc>
          <w:tcPr>
            <w:tcW w:w="1320" w:type="dxa"/>
            <w:vAlign w:val="bottom"/>
            <w:tcBorders>
              <w:bottom w:val="single" w:sz="8" w:color="BFBFBF"/>
            </w:tcBorders>
          </w:tcPr>
          <w:p>
            <w:pPr>
              <w:spacing w:after="0"/>
              <w:rPr>
                <w:sz w:val="2"/>
                <w:szCs w:val="2"/>
                <w:color w:val="auto"/>
              </w:rPr>
            </w:pPr>
          </w:p>
        </w:tc>
        <w:tc>
          <w:tcPr>
            <w:tcW w:w="420" w:type="dxa"/>
            <w:vAlign w:val="bottom"/>
            <w:tcBorders>
              <w:bottom w:val="single" w:sz="8" w:color="BFBFBF"/>
            </w:tcBorders>
          </w:tcPr>
          <w:p>
            <w:pPr>
              <w:spacing w:after="0"/>
              <w:rPr>
                <w:sz w:val="2"/>
                <w:szCs w:val="2"/>
                <w:color w:val="auto"/>
              </w:rPr>
            </w:pPr>
          </w:p>
        </w:tc>
        <w:tc>
          <w:tcPr>
            <w:tcW w:w="2240" w:type="dxa"/>
            <w:vAlign w:val="bottom"/>
            <w:tcBorders>
              <w:bottom w:val="single" w:sz="8" w:color="BFBFBF"/>
            </w:tcBorders>
          </w:tcPr>
          <w:p>
            <w:pPr>
              <w:spacing w:after="0"/>
              <w:rPr>
                <w:sz w:val="2"/>
                <w:szCs w:val="2"/>
                <w:color w:val="auto"/>
              </w:rPr>
            </w:pPr>
          </w:p>
        </w:tc>
        <w:tc>
          <w:tcPr>
            <w:tcW w:w="2540" w:type="dxa"/>
            <w:vAlign w:val="bottom"/>
            <w:tcBorders>
              <w:bottom w:val="single" w:sz="8" w:color="BFBFBF"/>
            </w:tcBorders>
          </w:tcPr>
          <w:p>
            <w:pPr>
              <w:spacing w:after="0"/>
              <w:rPr>
                <w:sz w:val="2"/>
                <w:szCs w:val="2"/>
                <w:color w:val="auto"/>
              </w:rPr>
            </w:pPr>
          </w:p>
        </w:tc>
        <w:tc>
          <w:tcPr>
            <w:tcW w:w="1820" w:type="dxa"/>
            <w:vAlign w:val="bottom"/>
            <w:tcBorders>
              <w:bottom w:val="single" w:sz="8" w:color="BFBFBF"/>
            </w:tcBorders>
          </w:tcPr>
          <w:p>
            <w:pPr>
              <w:spacing w:after="0"/>
              <w:rPr>
                <w:sz w:val="2"/>
                <w:szCs w:val="2"/>
                <w:color w:val="auto"/>
              </w:rPr>
            </w:pPr>
          </w:p>
        </w:tc>
        <w:tc>
          <w:tcPr>
            <w:tcW w:w="740" w:type="dxa"/>
            <w:vAlign w:val="bottom"/>
            <w:tcBorders>
              <w:bottom w:val="single" w:sz="8" w:color="BFBFBF"/>
            </w:tcBorders>
          </w:tcPr>
          <w:p>
            <w:pPr>
              <w:spacing w:after="0"/>
              <w:rPr>
                <w:sz w:val="2"/>
                <w:szCs w:val="2"/>
                <w:color w:val="auto"/>
              </w:rPr>
            </w:pPr>
          </w:p>
        </w:tc>
        <w:tc>
          <w:tcPr>
            <w:tcW w:w="128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740" w:type="dxa"/>
            <w:vAlign w:val="bottom"/>
            <w:gridSpan w:val="2"/>
          </w:tcPr>
          <w:p>
            <w:pPr>
              <w:jc w:val="center"/>
              <w:ind w:left="259"/>
              <w:spacing w:after="0"/>
              <w:rPr>
                <w:sz w:val="20"/>
                <w:szCs w:val="20"/>
                <w:color w:val="auto"/>
              </w:rPr>
            </w:pPr>
            <w:r>
              <w:rPr>
                <w:rFonts w:ascii="Arial" w:cs="Arial" w:eastAsia="Arial" w:hAnsi="Arial"/>
                <w:sz w:val="16"/>
                <w:szCs w:val="16"/>
                <w:color w:val="auto"/>
                <w:w w:val="87"/>
              </w:rPr>
              <w:t>Share of Sales</w:t>
            </w:r>
          </w:p>
        </w:tc>
        <w:tc>
          <w:tcPr>
            <w:tcW w:w="2240" w:type="dxa"/>
            <w:vAlign w:val="bottom"/>
          </w:tcPr>
          <w:p>
            <w:pPr>
              <w:jc w:val="right"/>
              <w:ind w:right="559"/>
              <w:spacing w:after="0"/>
              <w:rPr>
                <w:sz w:val="20"/>
                <w:szCs w:val="20"/>
                <w:color w:val="auto"/>
              </w:rPr>
            </w:pPr>
            <w:r>
              <w:rPr>
                <w:rFonts w:ascii="Arial" w:cs="Arial" w:eastAsia="Arial" w:hAnsi="Arial"/>
                <w:sz w:val="16"/>
                <w:szCs w:val="16"/>
                <w:color w:val="auto"/>
              </w:rPr>
              <w:t>21.5%</w:t>
            </w:r>
          </w:p>
        </w:tc>
        <w:tc>
          <w:tcPr>
            <w:tcW w:w="2540" w:type="dxa"/>
            <w:vAlign w:val="bottom"/>
          </w:tcPr>
          <w:p>
            <w:pPr>
              <w:jc w:val="center"/>
              <w:ind w:right="39"/>
              <w:spacing w:after="0"/>
              <w:rPr>
                <w:sz w:val="20"/>
                <w:szCs w:val="20"/>
                <w:color w:val="auto"/>
              </w:rPr>
            </w:pPr>
            <w:r>
              <w:rPr>
                <w:rFonts w:ascii="Arial" w:cs="Arial" w:eastAsia="Arial" w:hAnsi="Arial"/>
                <w:sz w:val="16"/>
                <w:szCs w:val="16"/>
                <w:color w:val="auto"/>
                <w:w w:val="92"/>
              </w:rPr>
              <w:t>(0.3) points</w:t>
            </w:r>
          </w:p>
        </w:tc>
        <w:tc>
          <w:tcPr>
            <w:tcW w:w="1820" w:type="dxa"/>
            <w:vAlign w:val="bottom"/>
          </w:tcPr>
          <w:p>
            <w:pPr>
              <w:jc w:val="right"/>
              <w:ind w:right="799"/>
              <w:spacing w:after="0"/>
              <w:rPr>
                <w:sz w:val="20"/>
                <w:szCs w:val="20"/>
                <w:color w:val="auto"/>
              </w:rPr>
            </w:pPr>
            <w:r>
              <w:rPr>
                <w:rFonts w:ascii="Arial" w:cs="Arial" w:eastAsia="Arial" w:hAnsi="Arial"/>
                <w:sz w:val="16"/>
                <w:szCs w:val="16"/>
                <w:color w:val="auto"/>
              </w:rPr>
              <w:t>24.0%</w:t>
            </w:r>
          </w:p>
        </w:tc>
        <w:tc>
          <w:tcPr>
            <w:tcW w:w="2020" w:type="dxa"/>
            <w:vAlign w:val="bottom"/>
            <w:gridSpan w:val="2"/>
          </w:tcPr>
          <w:p>
            <w:pPr>
              <w:jc w:val="center"/>
              <w:ind w:right="40"/>
              <w:spacing w:after="0"/>
              <w:rPr>
                <w:sz w:val="20"/>
                <w:szCs w:val="20"/>
                <w:color w:val="auto"/>
              </w:rPr>
            </w:pPr>
            <w:r>
              <w:rPr>
                <w:rFonts w:ascii="Arial" w:cs="Arial" w:eastAsia="Arial" w:hAnsi="Arial"/>
                <w:sz w:val="16"/>
                <w:szCs w:val="16"/>
                <w:color w:val="auto"/>
                <w:w w:val="92"/>
              </w:rPr>
              <w:t>(2.5) points</w:t>
            </w:r>
          </w:p>
        </w:tc>
        <w:tc>
          <w:tcPr>
            <w:tcW w:w="0" w:type="dxa"/>
            <w:vAlign w:val="bottom"/>
          </w:tcPr>
          <w:p>
            <w:pPr>
              <w:spacing w:after="0"/>
              <w:rPr>
                <w:sz w:val="1"/>
                <w:szCs w:val="1"/>
                <w:color w:val="auto"/>
              </w:rPr>
            </w:pPr>
          </w:p>
        </w:tc>
      </w:tr>
      <w:tr>
        <w:trPr>
          <w:trHeight w:val="33"/>
        </w:trPr>
        <w:tc>
          <w:tcPr>
            <w:tcW w:w="1320" w:type="dxa"/>
            <w:vAlign w:val="bottom"/>
            <w:tcBorders>
              <w:bottom w:val="single" w:sz="8" w:color="BFBFBF"/>
            </w:tcBorders>
          </w:tcPr>
          <w:p>
            <w:pPr>
              <w:spacing w:after="0"/>
              <w:rPr>
                <w:sz w:val="2"/>
                <w:szCs w:val="2"/>
                <w:color w:val="auto"/>
              </w:rPr>
            </w:pPr>
          </w:p>
        </w:tc>
        <w:tc>
          <w:tcPr>
            <w:tcW w:w="420" w:type="dxa"/>
            <w:vAlign w:val="bottom"/>
            <w:tcBorders>
              <w:bottom w:val="single" w:sz="8" w:color="BFBFBF"/>
            </w:tcBorders>
          </w:tcPr>
          <w:p>
            <w:pPr>
              <w:spacing w:after="0"/>
              <w:rPr>
                <w:sz w:val="2"/>
                <w:szCs w:val="2"/>
                <w:color w:val="auto"/>
              </w:rPr>
            </w:pPr>
          </w:p>
        </w:tc>
        <w:tc>
          <w:tcPr>
            <w:tcW w:w="2240" w:type="dxa"/>
            <w:vAlign w:val="bottom"/>
            <w:tcBorders>
              <w:bottom w:val="single" w:sz="8" w:color="BFBFBF"/>
            </w:tcBorders>
          </w:tcPr>
          <w:p>
            <w:pPr>
              <w:spacing w:after="0"/>
              <w:rPr>
                <w:sz w:val="2"/>
                <w:szCs w:val="2"/>
                <w:color w:val="auto"/>
              </w:rPr>
            </w:pPr>
          </w:p>
        </w:tc>
        <w:tc>
          <w:tcPr>
            <w:tcW w:w="2540" w:type="dxa"/>
            <w:vAlign w:val="bottom"/>
            <w:tcBorders>
              <w:bottom w:val="single" w:sz="8" w:color="BFBFBF"/>
            </w:tcBorders>
          </w:tcPr>
          <w:p>
            <w:pPr>
              <w:spacing w:after="0"/>
              <w:rPr>
                <w:sz w:val="2"/>
                <w:szCs w:val="2"/>
                <w:color w:val="auto"/>
              </w:rPr>
            </w:pPr>
          </w:p>
        </w:tc>
        <w:tc>
          <w:tcPr>
            <w:tcW w:w="1820" w:type="dxa"/>
            <w:vAlign w:val="bottom"/>
            <w:tcBorders>
              <w:bottom w:val="single" w:sz="8" w:color="BFBFBF"/>
            </w:tcBorders>
          </w:tcPr>
          <w:p>
            <w:pPr>
              <w:spacing w:after="0"/>
              <w:rPr>
                <w:sz w:val="2"/>
                <w:szCs w:val="2"/>
                <w:color w:val="auto"/>
              </w:rPr>
            </w:pPr>
          </w:p>
        </w:tc>
        <w:tc>
          <w:tcPr>
            <w:tcW w:w="740" w:type="dxa"/>
            <w:vAlign w:val="bottom"/>
            <w:tcBorders>
              <w:bottom w:val="single" w:sz="8" w:color="BFBFBF"/>
            </w:tcBorders>
          </w:tcPr>
          <w:p>
            <w:pPr>
              <w:spacing w:after="0"/>
              <w:rPr>
                <w:sz w:val="2"/>
                <w:szCs w:val="2"/>
                <w:color w:val="auto"/>
              </w:rPr>
            </w:pPr>
          </w:p>
        </w:tc>
        <w:tc>
          <w:tcPr>
            <w:tcW w:w="128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320" w:type="dxa"/>
            <w:vAlign w:val="bottom"/>
            <w:tcBorders>
              <w:bottom w:val="single" w:sz="8" w:color="BFBFBF"/>
            </w:tcBorders>
          </w:tcPr>
          <w:p>
            <w:pPr>
              <w:spacing w:after="0"/>
              <w:rPr>
                <w:sz w:val="13"/>
                <w:szCs w:val="13"/>
                <w:color w:val="auto"/>
              </w:rPr>
            </w:pPr>
          </w:p>
        </w:tc>
        <w:tc>
          <w:tcPr>
            <w:tcW w:w="420" w:type="dxa"/>
            <w:vAlign w:val="bottom"/>
            <w:tcBorders>
              <w:bottom w:val="single" w:sz="8" w:color="BFBFBF"/>
            </w:tcBorders>
          </w:tcPr>
          <w:p>
            <w:pPr>
              <w:spacing w:after="0"/>
              <w:rPr>
                <w:sz w:val="13"/>
                <w:szCs w:val="13"/>
                <w:color w:val="auto"/>
              </w:rPr>
            </w:pPr>
          </w:p>
        </w:tc>
        <w:tc>
          <w:tcPr>
            <w:tcW w:w="2240" w:type="dxa"/>
            <w:vAlign w:val="bottom"/>
            <w:tcBorders>
              <w:bottom w:val="single" w:sz="8" w:color="BFBFBF"/>
            </w:tcBorders>
          </w:tcPr>
          <w:p>
            <w:pPr>
              <w:spacing w:after="0"/>
              <w:rPr>
                <w:sz w:val="13"/>
                <w:szCs w:val="13"/>
                <w:color w:val="auto"/>
              </w:rPr>
            </w:pPr>
          </w:p>
        </w:tc>
        <w:tc>
          <w:tcPr>
            <w:tcW w:w="2540" w:type="dxa"/>
            <w:vAlign w:val="bottom"/>
            <w:tcBorders>
              <w:bottom w:val="single" w:sz="8" w:color="BFBFBF"/>
            </w:tcBorders>
          </w:tcPr>
          <w:p>
            <w:pPr>
              <w:spacing w:after="0"/>
              <w:rPr>
                <w:sz w:val="13"/>
                <w:szCs w:val="13"/>
                <w:color w:val="auto"/>
              </w:rPr>
            </w:pPr>
          </w:p>
        </w:tc>
        <w:tc>
          <w:tcPr>
            <w:tcW w:w="1820" w:type="dxa"/>
            <w:vAlign w:val="bottom"/>
            <w:tcBorders>
              <w:bottom w:val="single" w:sz="8" w:color="BFBFBF"/>
            </w:tcBorders>
          </w:tcPr>
          <w:p>
            <w:pPr>
              <w:spacing w:after="0"/>
              <w:rPr>
                <w:sz w:val="13"/>
                <w:szCs w:val="13"/>
                <w:color w:val="auto"/>
              </w:rPr>
            </w:pPr>
          </w:p>
        </w:tc>
        <w:tc>
          <w:tcPr>
            <w:tcW w:w="740" w:type="dxa"/>
            <w:vAlign w:val="bottom"/>
            <w:tcBorders>
              <w:bottom w:val="single" w:sz="8" w:color="BFBFBF"/>
            </w:tcBorders>
          </w:tcPr>
          <w:p>
            <w:pPr>
              <w:spacing w:after="0"/>
              <w:rPr>
                <w:sz w:val="13"/>
                <w:szCs w:val="13"/>
                <w:color w:val="auto"/>
              </w:rPr>
            </w:pPr>
          </w:p>
        </w:tc>
        <w:tc>
          <w:tcPr>
            <w:tcW w:w="1280" w:type="dxa"/>
            <w:vAlign w:val="bottom"/>
            <w:tcBorders>
              <w:bottom w:val="single" w:sz="8" w:color="BFBFB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40" w:type="dxa"/>
            <w:vAlign w:val="bottom"/>
            <w:gridSpan w:val="2"/>
            <w:vMerge w:val="restart"/>
          </w:tcPr>
          <w:p>
            <w:pPr>
              <w:jc w:val="center"/>
              <w:ind w:left="259"/>
              <w:spacing w:after="0"/>
              <w:rPr>
                <w:sz w:val="20"/>
                <w:szCs w:val="20"/>
                <w:color w:val="auto"/>
              </w:rPr>
            </w:pPr>
            <w:r>
              <w:rPr>
                <w:rFonts w:ascii="Arial" w:cs="Arial" w:eastAsia="Arial" w:hAnsi="Arial"/>
                <w:sz w:val="16"/>
                <w:szCs w:val="16"/>
                <w:b w:val="1"/>
                <w:bCs w:val="1"/>
                <w:color w:val="auto"/>
                <w:w w:val="94"/>
              </w:rPr>
              <w:t>Inventory</w:t>
            </w:r>
          </w:p>
        </w:tc>
        <w:tc>
          <w:tcPr>
            <w:tcW w:w="2240" w:type="dxa"/>
            <w:vAlign w:val="bottom"/>
          </w:tcPr>
          <w:p>
            <w:pPr>
              <w:jc w:val="center"/>
              <w:ind w:left="439"/>
              <w:spacing w:after="0"/>
              <w:rPr>
                <w:sz w:val="20"/>
                <w:szCs w:val="20"/>
                <w:color w:val="auto"/>
              </w:rPr>
            </w:pPr>
            <w:r>
              <w:rPr>
                <w:rFonts w:ascii="Arial" w:cs="Arial" w:eastAsia="Arial" w:hAnsi="Arial"/>
                <w:sz w:val="16"/>
                <w:szCs w:val="16"/>
                <w:b w:val="1"/>
                <w:bCs w:val="1"/>
                <w:color w:val="auto"/>
                <w:w w:val="95"/>
              </w:rPr>
              <w:t>Units at</w:t>
            </w:r>
          </w:p>
        </w:tc>
        <w:tc>
          <w:tcPr>
            <w:tcW w:w="254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Days Supply (selling day</w:t>
            </w:r>
          </w:p>
        </w:tc>
        <w:tc>
          <w:tcPr>
            <w:tcW w:w="182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Units at Previous</w:t>
            </w:r>
          </w:p>
        </w:tc>
        <w:tc>
          <w:tcPr>
            <w:tcW w:w="20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0"/>
              </w:rPr>
              <w:t>Days Supply (selling day</w:t>
            </w:r>
          </w:p>
        </w:tc>
        <w:tc>
          <w:tcPr>
            <w:tcW w:w="0" w:type="dxa"/>
            <w:vAlign w:val="bottom"/>
          </w:tcPr>
          <w:p>
            <w:pPr>
              <w:spacing w:after="0"/>
              <w:rPr>
                <w:sz w:val="1"/>
                <w:szCs w:val="1"/>
                <w:color w:val="auto"/>
              </w:rPr>
            </w:pPr>
          </w:p>
        </w:tc>
      </w:tr>
      <w:tr>
        <w:trPr>
          <w:trHeight w:val="102"/>
        </w:trPr>
        <w:tc>
          <w:tcPr>
            <w:tcW w:w="1740" w:type="dxa"/>
            <w:vAlign w:val="bottom"/>
            <w:gridSpan w:val="2"/>
            <w:vMerge w:val="continue"/>
          </w:tcPr>
          <w:p>
            <w:pPr>
              <w:spacing w:after="0"/>
              <w:rPr>
                <w:sz w:val="8"/>
                <w:szCs w:val="8"/>
                <w:color w:val="auto"/>
              </w:rPr>
            </w:pPr>
          </w:p>
        </w:tc>
        <w:tc>
          <w:tcPr>
            <w:tcW w:w="2240" w:type="dxa"/>
            <w:vAlign w:val="bottom"/>
            <w:vMerge w:val="restart"/>
          </w:tcPr>
          <w:p>
            <w:pPr>
              <w:jc w:val="center"/>
              <w:ind w:left="439"/>
              <w:spacing w:after="0"/>
              <w:rPr>
                <w:sz w:val="20"/>
                <w:szCs w:val="20"/>
                <w:color w:val="auto"/>
              </w:rPr>
            </w:pPr>
            <w:r>
              <w:rPr>
                <w:rFonts w:ascii="Arial" w:cs="Arial" w:eastAsia="Arial" w:hAnsi="Arial"/>
                <w:sz w:val="16"/>
                <w:szCs w:val="16"/>
                <w:b w:val="1"/>
                <w:bCs w:val="1"/>
                <w:color w:val="auto"/>
                <w:w w:val="92"/>
              </w:rPr>
              <w:t>Month-end</w:t>
            </w:r>
          </w:p>
        </w:tc>
        <w:tc>
          <w:tcPr>
            <w:tcW w:w="254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89"/>
              </w:rPr>
              <w:t>adjusted)</w:t>
            </w:r>
          </w:p>
        </w:tc>
        <w:tc>
          <w:tcPr>
            <w:tcW w:w="1820" w:type="dxa"/>
            <w:vAlign w:val="bottom"/>
            <w:vMerge w:val="restart"/>
          </w:tcPr>
          <w:p>
            <w:pPr>
              <w:jc w:val="center"/>
              <w:ind w:right="259"/>
              <w:spacing w:after="0"/>
              <w:rPr>
                <w:sz w:val="20"/>
                <w:szCs w:val="20"/>
                <w:color w:val="auto"/>
              </w:rPr>
            </w:pPr>
            <w:r>
              <w:rPr>
                <w:rFonts w:ascii="Arial" w:cs="Arial" w:eastAsia="Arial" w:hAnsi="Arial"/>
                <w:sz w:val="16"/>
                <w:szCs w:val="16"/>
                <w:b w:val="1"/>
                <w:bCs w:val="1"/>
                <w:color w:val="auto"/>
                <w:w w:val="92"/>
              </w:rPr>
              <w:t>Month-end</w:t>
            </w:r>
          </w:p>
        </w:tc>
        <w:tc>
          <w:tcPr>
            <w:tcW w:w="2020" w:type="dxa"/>
            <w:vAlign w:val="bottom"/>
            <w:gridSpan w:val="2"/>
            <w:vMerge w:val="restart"/>
          </w:tcPr>
          <w:p>
            <w:pPr>
              <w:jc w:val="center"/>
              <w:ind w:right="40"/>
              <w:spacing w:after="0"/>
              <w:rPr>
                <w:sz w:val="20"/>
                <w:szCs w:val="20"/>
                <w:color w:val="auto"/>
              </w:rPr>
            </w:pPr>
            <w:r>
              <w:rPr>
                <w:rFonts w:ascii="Arial" w:cs="Arial" w:eastAsia="Arial" w:hAnsi="Arial"/>
                <w:sz w:val="16"/>
                <w:szCs w:val="16"/>
                <w:b w:val="1"/>
                <w:bCs w:val="1"/>
                <w:color w:val="auto"/>
                <w:w w:val="92"/>
              </w:rPr>
              <w:t>adjusted)</w:t>
            </w:r>
          </w:p>
        </w:tc>
        <w:tc>
          <w:tcPr>
            <w:tcW w:w="0" w:type="dxa"/>
            <w:vAlign w:val="bottom"/>
          </w:tcPr>
          <w:p>
            <w:pPr>
              <w:spacing w:after="0"/>
              <w:rPr>
                <w:sz w:val="1"/>
                <w:szCs w:val="1"/>
                <w:color w:val="auto"/>
              </w:rPr>
            </w:pPr>
          </w:p>
        </w:tc>
      </w:tr>
      <w:tr>
        <w:trPr>
          <w:trHeight w:val="108"/>
        </w:trPr>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2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320" w:type="dxa"/>
            <w:vAlign w:val="bottom"/>
            <w:tcBorders>
              <w:bottom w:val="single" w:sz="8" w:color="BFBFBF"/>
            </w:tcBorders>
          </w:tcPr>
          <w:p>
            <w:pPr>
              <w:spacing w:after="0"/>
              <w:rPr>
                <w:sz w:val="2"/>
                <w:szCs w:val="2"/>
                <w:color w:val="auto"/>
              </w:rPr>
            </w:pPr>
          </w:p>
        </w:tc>
        <w:tc>
          <w:tcPr>
            <w:tcW w:w="420" w:type="dxa"/>
            <w:vAlign w:val="bottom"/>
            <w:tcBorders>
              <w:bottom w:val="single" w:sz="8" w:color="BFBFBF"/>
            </w:tcBorders>
          </w:tcPr>
          <w:p>
            <w:pPr>
              <w:spacing w:after="0"/>
              <w:rPr>
                <w:sz w:val="2"/>
                <w:szCs w:val="2"/>
                <w:color w:val="auto"/>
              </w:rPr>
            </w:pPr>
          </w:p>
        </w:tc>
        <w:tc>
          <w:tcPr>
            <w:tcW w:w="2240" w:type="dxa"/>
            <w:vAlign w:val="bottom"/>
            <w:tcBorders>
              <w:bottom w:val="single" w:sz="8" w:color="BFBFBF"/>
            </w:tcBorders>
          </w:tcPr>
          <w:p>
            <w:pPr>
              <w:spacing w:after="0"/>
              <w:rPr>
                <w:sz w:val="2"/>
                <w:szCs w:val="2"/>
                <w:color w:val="auto"/>
              </w:rPr>
            </w:pPr>
          </w:p>
        </w:tc>
        <w:tc>
          <w:tcPr>
            <w:tcW w:w="2540" w:type="dxa"/>
            <w:vAlign w:val="bottom"/>
            <w:tcBorders>
              <w:bottom w:val="single" w:sz="8" w:color="BFBFBF"/>
            </w:tcBorders>
          </w:tcPr>
          <w:p>
            <w:pPr>
              <w:spacing w:after="0"/>
              <w:rPr>
                <w:sz w:val="2"/>
                <w:szCs w:val="2"/>
                <w:color w:val="auto"/>
              </w:rPr>
            </w:pPr>
          </w:p>
        </w:tc>
        <w:tc>
          <w:tcPr>
            <w:tcW w:w="1820" w:type="dxa"/>
            <w:vAlign w:val="bottom"/>
            <w:tcBorders>
              <w:bottom w:val="single" w:sz="8" w:color="BFBFBF"/>
            </w:tcBorders>
          </w:tcPr>
          <w:p>
            <w:pPr>
              <w:spacing w:after="0"/>
              <w:rPr>
                <w:sz w:val="2"/>
                <w:szCs w:val="2"/>
                <w:color w:val="auto"/>
              </w:rPr>
            </w:pPr>
          </w:p>
        </w:tc>
        <w:tc>
          <w:tcPr>
            <w:tcW w:w="740" w:type="dxa"/>
            <w:vAlign w:val="bottom"/>
            <w:tcBorders>
              <w:bottom w:val="single" w:sz="8" w:color="BFBFBF"/>
            </w:tcBorders>
          </w:tcPr>
          <w:p>
            <w:pPr>
              <w:spacing w:after="0"/>
              <w:rPr>
                <w:sz w:val="2"/>
                <w:szCs w:val="2"/>
                <w:color w:val="auto"/>
              </w:rPr>
            </w:pPr>
          </w:p>
        </w:tc>
        <w:tc>
          <w:tcPr>
            <w:tcW w:w="128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740" w:type="dxa"/>
            <w:vAlign w:val="bottom"/>
            <w:gridSpan w:val="2"/>
          </w:tcPr>
          <w:p>
            <w:pPr>
              <w:jc w:val="center"/>
              <w:ind w:left="259"/>
              <w:spacing w:after="0"/>
              <w:rPr>
                <w:sz w:val="20"/>
                <w:szCs w:val="20"/>
                <w:color w:val="auto"/>
              </w:rPr>
            </w:pPr>
            <w:r>
              <w:rPr>
                <w:rFonts w:ascii="Arial" w:cs="Arial" w:eastAsia="Arial" w:hAnsi="Arial"/>
                <w:sz w:val="16"/>
                <w:szCs w:val="16"/>
                <w:color w:val="auto"/>
                <w:w w:val="96"/>
              </w:rPr>
              <w:t>All Vehicles</w:t>
            </w:r>
          </w:p>
        </w:tc>
        <w:tc>
          <w:tcPr>
            <w:tcW w:w="2240" w:type="dxa"/>
            <w:vAlign w:val="bottom"/>
          </w:tcPr>
          <w:p>
            <w:pPr>
              <w:jc w:val="right"/>
              <w:ind w:right="519"/>
              <w:spacing w:after="0"/>
              <w:rPr>
                <w:sz w:val="20"/>
                <w:szCs w:val="20"/>
                <w:color w:val="auto"/>
              </w:rPr>
            </w:pPr>
            <w:r>
              <w:rPr>
                <w:rFonts w:ascii="Arial" w:cs="Arial" w:eastAsia="Arial" w:hAnsi="Arial"/>
                <w:sz w:val="16"/>
                <w:szCs w:val="16"/>
                <w:color w:val="auto"/>
              </w:rPr>
              <w:t>727,812</w:t>
            </w:r>
          </w:p>
        </w:tc>
        <w:tc>
          <w:tcPr>
            <w:tcW w:w="2540" w:type="dxa"/>
            <w:vAlign w:val="bottom"/>
          </w:tcPr>
          <w:p>
            <w:pPr>
              <w:jc w:val="center"/>
              <w:ind w:right="19"/>
              <w:spacing w:after="0"/>
              <w:rPr>
                <w:sz w:val="20"/>
                <w:szCs w:val="20"/>
                <w:color w:val="auto"/>
              </w:rPr>
            </w:pPr>
            <w:r>
              <w:rPr>
                <w:rFonts w:ascii="Arial" w:cs="Arial" w:eastAsia="Arial" w:hAnsi="Arial"/>
                <w:sz w:val="16"/>
                <w:szCs w:val="16"/>
                <w:color w:val="auto"/>
                <w:w w:val="89"/>
              </w:rPr>
              <w:t>87</w:t>
            </w:r>
          </w:p>
        </w:tc>
        <w:tc>
          <w:tcPr>
            <w:tcW w:w="1820" w:type="dxa"/>
            <w:vAlign w:val="bottom"/>
          </w:tcPr>
          <w:p>
            <w:pPr>
              <w:jc w:val="right"/>
              <w:ind w:right="739"/>
              <w:spacing w:after="0"/>
              <w:rPr>
                <w:sz w:val="20"/>
                <w:szCs w:val="20"/>
                <w:color w:val="auto"/>
              </w:rPr>
            </w:pPr>
            <w:r>
              <w:rPr>
                <w:rFonts w:ascii="Arial" w:cs="Arial" w:eastAsia="Arial" w:hAnsi="Arial"/>
                <w:sz w:val="16"/>
                <w:szCs w:val="16"/>
                <w:color w:val="auto"/>
              </w:rPr>
              <w:t>670,191</w:t>
            </w:r>
          </w:p>
        </w:tc>
        <w:tc>
          <w:tcPr>
            <w:tcW w:w="202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82</w:t>
            </w:r>
          </w:p>
        </w:tc>
        <w:tc>
          <w:tcPr>
            <w:tcW w:w="0" w:type="dxa"/>
            <w:vAlign w:val="bottom"/>
          </w:tcPr>
          <w:p>
            <w:pPr>
              <w:spacing w:after="0"/>
              <w:rPr>
                <w:sz w:val="1"/>
                <w:szCs w:val="1"/>
                <w:color w:val="auto"/>
              </w:rPr>
            </w:pPr>
          </w:p>
        </w:tc>
      </w:tr>
      <w:tr>
        <w:trPr>
          <w:trHeight w:val="33"/>
        </w:trPr>
        <w:tc>
          <w:tcPr>
            <w:tcW w:w="1320" w:type="dxa"/>
            <w:vAlign w:val="bottom"/>
            <w:tcBorders>
              <w:bottom w:val="single" w:sz="8" w:color="BFBFBF"/>
            </w:tcBorders>
          </w:tcPr>
          <w:p>
            <w:pPr>
              <w:spacing w:after="0"/>
              <w:rPr>
                <w:sz w:val="2"/>
                <w:szCs w:val="2"/>
                <w:color w:val="auto"/>
              </w:rPr>
            </w:pPr>
          </w:p>
        </w:tc>
        <w:tc>
          <w:tcPr>
            <w:tcW w:w="420" w:type="dxa"/>
            <w:vAlign w:val="bottom"/>
            <w:tcBorders>
              <w:bottom w:val="single" w:sz="8" w:color="BFBFBF"/>
            </w:tcBorders>
          </w:tcPr>
          <w:p>
            <w:pPr>
              <w:spacing w:after="0"/>
              <w:rPr>
                <w:sz w:val="2"/>
                <w:szCs w:val="2"/>
                <w:color w:val="auto"/>
              </w:rPr>
            </w:pPr>
          </w:p>
        </w:tc>
        <w:tc>
          <w:tcPr>
            <w:tcW w:w="2240" w:type="dxa"/>
            <w:vAlign w:val="bottom"/>
            <w:tcBorders>
              <w:bottom w:val="single" w:sz="8" w:color="BFBFBF"/>
            </w:tcBorders>
          </w:tcPr>
          <w:p>
            <w:pPr>
              <w:spacing w:after="0"/>
              <w:rPr>
                <w:sz w:val="2"/>
                <w:szCs w:val="2"/>
                <w:color w:val="auto"/>
              </w:rPr>
            </w:pPr>
          </w:p>
        </w:tc>
        <w:tc>
          <w:tcPr>
            <w:tcW w:w="2540" w:type="dxa"/>
            <w:vAlign w:val="bottom"/>
            <w:tcBorders>
              <w:bottom w:val="single" w:sz="8" w:color="BFBFBF"/>
            </w:tcBorders>
          </w:tcPr>
          <w:p>
            <w:pPr>
              <w:spacing w:after="0"/>
              <w:rPr>
                <w:sz w:val="2"/>
                <w:szCs w:val="2"/>
                <w:color w:val="auto"/>
              </w:rPr>
            </w:pPr>
          </w:p>
        </w:tc>
        <w:tc>
          <w:tcPr>
            <w:tcW w:w="1820" w:type="dxa"/>
            <w:vAlign w:val="bottom"/>
            <w:tcBorders>
              <w:bottom w:val="single" w:sz="8" w:color="BFBFBF"/>
            </w:tcBorders>
          </w:tcPr>
          <w:p>
            <w:pPr>
              <w:spacing w:after="0"/>
              <w:rPr>
                <w:sz w:val="2"/>
                <w:szCs w:val="2"/>
                <w:color w:val="auto"/>
              </w:rPr>
            </w:pPr>
          </w:p>
        </w:tc>
        <w:tc>
          <w:tcPr>
            <w:tcW w:w="740" w:type="dxa"/>
            <w:vAlign w:val="bottom"/>
            <w:tcBorders>
              <w:bottom w:val="single" w:sz="8" w:color="BFBFBF"/>
            </w:tcBorders>
          </w:tcPr>
          <w:p>
            <w:pPr>
              <w:spacing w:after="0"/>
              <w:rPr>
                <w:sz w:val="2"/>
                <w:szCs w:val="2"/>
                <w:color w:val="auto"/>
              </w:rPr>
            </w:pPr>
          </w:p>
        </w:tc>
        <w:tc>
          <w:tcPr>
            <w:tcW w:w="128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1320" w:type="dxa"/>
            <w:vAlign w:val="bottom"/>
          </w:tcPr>
          <w:p>
            <w:pPr>
              <w:spacing w:after="0"/>
              <w:rPr>
                <w:sz w:val="24"/>
                <w:szCs w:val="24"/>
                <w:color w:val="auto"/>
              </w:rPr>
            </w:pPr>
          </w:p>
        </w:tc>
        <w:tc>
          <w:tcPr>
            <w:tcW w:w="420" w:type="dxa"/>
            <w:vAlign w:val="bottom"/>
            <w:tcBorders>
              <w:bottom w:val="single" w:sz="8" w:color="BFBFBF"/>
            </w:tcBorders>
          </w:tcPr>
          <w:p>
            <w:pPr>
              <w:spacing w:after="0"/>
              <w:rPr>
                <w:sz w:val="24"/>
                <w:szCs w:val="24"/>
                <w:color w:val="auto"/>
              </w:rPr>
            </w:pPr>
          </w:p>
        </w:tc>
        <w:tc>
          <w:tcPr>
            <w:tcW w:w="2240" w:type="dxa"/>
            <w:vAlign w:val="bottom"/>
            <w:tcBorders>
              <w:bottom w:val="single" w:sz="8" w:color="BFBFBF"/>
            </w:tcBorders>
          </w:tcPr>
          <w:p>
            <w:pPr>
              <w:spacing w:after="0"/>
              <w:rPr>
                <w:sz w:val="24"/>
                <w:szCs w:val="24"/>
                <w:color w:val="auto"/>
              </w:rPr>
            </w:pPr>
          </w:p>
        </w:tc>
        <w:tc>
          <w:tcPr>
            <w:tcW w:w="2540" w:type="dxa"/>
            <w:vAlign w:val="bottom"/>
            <w:tcBorders>
              <w:bottom w:val="single" w:sz="8" w:color="BFBFBF"/>
            </w:tcBorders>
          </w:tcPr>
          <w:p>
            <w:pPr>
              <w:spacing w:after="0"/>
              <w:rPr>
                <w:sz w:val="24"/>
                <w:szCs w:val="24"/>
                <w:color w:val="auto"/>
              </w:rPr>
            </w:pPr>
          </w:p>
        </w:tc>
        <w:tc>
          <w:tcPr>
            <w:tcW w:w="1820" w:type="dxa"/>
            <w:vAlign w:val="bottom"/>
            <w:tcBorders>
              <w:bottom w:val="single" w:sz="8" w:color="BFBFBF"/>
            </w:tcBorders>
          </w:tcPr>
          <w:p>
            <w:pPr>
              <w:spacing w:after="0"/>
              <w:rPr>
                <w:sz w:val="24"/>
                <w:szCs w:val="24"/>
                <w:color w:val="auto"/>
              </w:rPr>
            </w:pPr>
          </w:p>
        </w:tc>
        <w:tc>
          <w:tcPr>
            <w:tcW w:w="740" w:type="dxa"/>
            <w:vAlign w:val="bottom"/>
            <w:tcBorders>
              <w:bottom w:val="single" w:sz="8" w:color="BFBFBF"/>
            </w:tcBorders>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320" w:type="dxa"/>
            <w:vAlign w:val="bottom"/>
            <w:tcBorders>
              <w:right w:val="single" w:sz="8" w:color="BFBFBF"/>
            </w:tcBorders>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Borders>
              <w:right w:val="single" w:sz="8" w:color="BFBFBF"/>
            </w:tcBorders>
          </w:tcPr>
          <w:p>
            <w:pPr>
              <w:jc w:val="center"/>
              <w:ind w:right="379"/>
              <w:spacing w:after="0"/>
              <w:rPr>
                <w:sz w:val="20"/>
                <w:szCs w:val="20"/>
                <w:color w:val="auto"/>
              </w:rPr>
            </w:pPr>
            <w:r>
              <w:rPr>
                <w:rFonts w:ascii="Arial" w:cs="Arial" w:eastAsia="Arial" w:hAnsi="Arial"/>
                <w:sz w:val="16"/>
                <w:szCs w:val="16"/>
                <w:b w:val="1"/>
                <w:bCs w:val="1"/>
                <w:color w:val="auto"/>
                <w:w w:val="89"/>
              </w:rPr>
              <w:t>Industry Sales</w:t>
            </w:r>
          </w:p>
        </w:tc>
        <w:tc>
          <w:tcPr>
            <w:tcW w:w="2540" w:type="dxa"/>
            <w:vAlign w:val="bottom"/>
            <w:tcBorders>
              <w:right w:val="single" w:sz="8" w:color="BFBFBF"/>
            </w:tcBorders>
          </w:tcPr>
          <w:p>
            <w:pPr>
              <w:jc w:val="center"/>
              <w:spacing w:after="0"/>
              <w:rPr>
                <w:sz w:val="20"/>
                <w:szCs w:val="20"/>
                <w:color w:val="auto"/>
              </w:rPr>
            </w:pPr>
            <w:r>
              <w:rPr>
                <w:rFonts w:ascii="Arial" w:cs="Arial" w:eastAsia="Arial" w:hAnsi="Arial"/>
                <w:sz w:val="16"/>
                <w:szCs w:val="16"/>
                <w:b w:val="1"/>
                <w:bCs w:val="1"/>
                <w:color w:val="auto"/>
                <w:w w:val="94"/>
              </w:rPr>
              <w:t>Month (est.)</w:t>
            </w:r>
          </w:p>
        </w:tc>
        <w:tc>
          <w:tcPr>
            <w:tcW w:w="1820" w:type="dxa"/>
            <w:vAlign w:val="bottom"/>
          </w:tcPr>
          <w:p>
            <w:pPr>
              <w:ind w:left="840"/>
              <w:spacing w:after="0"/>
              <w:rPr>
                <w:sz w:val="20"/>
                <w:szCs w:val="20"/>
                <w:color w:val="auto"/>
              </w:rPr>
            </w:pPr>
            <w:r>
              <w:rPr>
                <w:rFonts w:ascii="Arial" w:cs="Arial" w:eastAsia="Arial" w:hAnsi="Arial"/>
                <w:sz w:val="16"/>
                <w:szCs w:val="16"/>
                <w:b w:val="1"/>
                <w:bCs w:val="1"/>
                <w:color w:val="auto"/>
              </w:rPr>
              <w:t>CYTD (est.)</w:t>
            </w:r>
          </w:p>
        </w:tc>
        <w:tc>
          <w:tcPr>
            <w:tcW w:w="740" w:type="dxa"/>
            <w:vAlign w:val="bottom"/>
            <w:tcBorders>
              <w:right w:val="single" w:sz="8" w:color="BFBFBF"/>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320" w:type="dxa"/>
            <w:vAlign w:val="bottom"/>
            <w:tcBorders>
              <w:right w:val="single" w:sz="8" w:color="BFBFBF"/>
            </w:tcBorders>
          </w:tcPr>
          <w:p>
            <w:pPr>
              <w:spacing w:after="0"/>
              <w:rPr>
                <w:sz w:val="2"/>
                <w:szCs w:val="2"/>
                <w:color w:val="auto"/>
              </w:rPr>
            </w:pPr>
          </w:p>
        </w:tc>
        <w:tc>
          <w:tcPr>
            <w:tcW w:w="420" w:type="dxa"/>
            <w:vAlign w:val="bottom"/>
            <w:tcBorders>
              <w:bottom w:val="single" w:sz="8" w:color="BFBFBF"/>
            </w:tcBorders>
          </w:tcPr>
          <w:p>
            <w:pPr>
              <w:spacing w:after="0"/>
              <w:rPr>
                <w:sz w:val="2"/>
                <w:szCs w:val="2"/>
                <w:color w:val="auto"/>
              </w:rPr>
            </w:pPr>
          </w:p>
        </w:tc>
        <w:tc>
          <w:tcPr>
            <w:tcW w:w="2240" w:type="dxa"/>
            <w:vAlign w:val="bottom"/>
            <w:tcBorders>
              <w:bottom w:val="single" w:sz="8" w:color="BFBFBF"/>
              <w:right w:val="single" w:sz="8" w:color="BFBFBF"/>
            </w:tcBorders>
          </w:tcPr>
          <w:p>
            <w:pPr>
              <w:spacing w:after="0"/>
              <w:rPr>
                <w:sz w:val="2"/>
                <w:szCs w:val="2"/>
                <w:color w:val="auto"/>
              </w:rPr>
            </w:pPr>
          </w:p>
        </w:tc>
        <w:tc>
          <w:tcPr>
            <w:tcW w:w="2540" w:type="dxa"/>
            <w:vAlign w:val="bottom"/>
            <w:tcBorders>
              <w:bottom w:val="single" w:sz="8" w:color="BFBFBF"/>
              <w:right w:val="single" w:sz="8" w:color="BFBFBF"/>
            </w:tcBorders>
          </w:tcPr>
          <w:p>
            <w:pPr>
              <w:spacing w:after="0"/>
              <w:rPr>
                <w:sz w:val="2"/>
                <w:szCs w:val="2"/>
                <w:color w:val="auto"/>
              </w:rPr>
            </w:pPr>
          </w:p>
        </w:tc>
        <w:tc>
          <w:tcPr>
            <w:tcW w:w="1820" w:type="dxa"/>
            <w:vAlign w:val="bottom"/>
            <w:tcBorders>
              <w:bottom w:val="single" w:sz="8" w:color="BFBFBF"/>
            </w:tcBorders>
          </w:tcPr>
          <w:p>
            <w:pPr>
              <w:spacing w:after="0"/>
              <w:rPr>
                <w:sz w:val="2"/>
                <w:szCs w:val="2"/>
                <w:color w:val="auto"/>
              </w:rPr>
            </w:pPr>
          </w:p>
        </w:tc>
        <w:tc>
          <w:tcPr>
            <w:tcW w:w="740" w:type="dxa"/>
            <w:vAlign w:val="bottom"/>
            <w:tcBorders>
              <w:bottom w:val="single" w:sz="8" w:color="BFBFBF"/>
              <w:right w:val="single" w:sz="8" w:color="BFBFBF"/>
            </w:tcBorders>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320" w:type="dxa"/>
            <w:vAlign w:val="bottom"/>
            <w:tcBorders>
              <w:right w:val="single" w:sz="8" w:color="BFBFBF"/>
            </w:tcBorders>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Borders>
              <w:right w:val="single" w:sz="8" w:color="BFBFBF"/>
            </w:tcBorders>
          </w:tcPr>
          <w:p>
            <w:pPr>
              <w:jc w:val="center"/>
              <w:ind w:right="379"/>
              <w:spacing w:after="0"/>
              <w:rPr>
                <w:sz w:val="20"/>
                <w:szCs w:val="20"/>
                <w:color w:val="auto"/>
              </w:rPr>
            </w:pPr>
            <w:r>
              <w:rPr>
                <w:rFonts w:ascii="Arial" w:cs="Arial" w:eastAsia="Arial" w:hAnsi="Arial"/>
                <w:sz w:val="16"/>
                <w:szCs w:val="16"/>
                <w:color w:val="auto"/>
                <w:w w:val="95"/>
              </w:rPr>
              <w:t>Light Vehicle SAAR</w:t>
            </w:r>
          </w:p>
        </w:tc>
        <w:tc>
          <w:tcPr>
            <w:tcW w:w="254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w w:val="93"/>
              </w:rPr>
              <w:t>15.6 million range</w:t>
            </w:r>
          </w:p>
        </w:tc>
        <w:tc>
          <w:tcPr>
            <w:tcW w:w="1820" w:type="dxa"/>
            <w:vAlign w:val="bottom"/>
          </w:tcPr>
          <w:p>
            <w:pPr>
              <w:ind w:left="20"/>
              <w:spacing w:after="0"/>
              <w:rPr>
                <w:sz w:val="20"/>
                <w:szCs w:val="20"/>
                <w:color w:val="auto"/>
              </w:rPr>
            </w:pPr>
            <w:r>
              <w:rPr>
                <w:rFonts w:ascii="Arial" w:cs="Arial" w:eastAsia="Arial" w:hAnsi="Arial"/>
                <w:sz w:val="16"/>
                <w:szCs w:val="16"/>
                <w:color w:val="auto"/>
              </w:rPr>
              <w:t>15.6 million range</w:t>
            </w:r>
          </w:p>
        </w:tc>
        <w:tc>
          <w:tcPr>
            <w:tcW w:w="740" w:type="dxa"/>
            <w:vAlign w:val="bottom"/>
            <w:tcBorders>
              <w:right w:val="single" w:sz="8" w:color="BFBFBF"/>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320" w:type="dxa"/>
            <w:vAlign w:val="bottom"/>
            <w:tcBorders>
              <w:right w:val="single" w:sz="8" w:color="BFBFBF"/>
            </w:tcBorders>
          </w:tcPr>
          <w:p>
            <w:pPr>
              <w:spacing w:after="0"/>
              <w:rPr>
                <w:sz w:val="2"/>
                <w:szCs w:val="2"/>
                <w:color w:val="auto"/>
              </w:rPr>
            </w:pPr>
          </w:p>
        </w:tc>
        <w:tc>
          <w:tcPr>
            <w:tcW w:w="420" w:type="dxa"/>
            <w:vAlign w:val="bottom"/>
            <w:tcBorders>
              <w:bottom w:val="single" w:sz="8" w:color="BFBFBF"/>
            </w:tcBorders>
          </w:tcPr>
          <w:p>
            <w:pPr>
              <w:spacing w:after="0"/>
              <w:rPr>
                <w:sz w:val="2"/>
                <w:szCs w:val="2"/>
                <w:color w:val="auto"/>
              </w:rPr>
            </w:pPr>
          </w:p>
        </w:tc>
        <w:tc>
          <w:tcPr>
            <w:tcW w:w="2240" w:type="dxa"/>
            <w:vAlign w:val="bottom"/>
            <w:tcBorders>
              <w:bottom w:val="single" w:sz="8" w:color="BFBFBF"/>
              <w:right w:val="single" w:sz="8" w:color="BFBFBF"/>
            </w:tcBorders>
          </w:tcPr>
          <w:p>
            <w:pPr>
              <w:spacing w:after="0"/>
              <w:rPr>
                <w:sz w:val="2"/>
                <w:szCs w:val="2"/>
                <w:color w:val="auto"/>
              </w:rPr>
            </w:pPr>
          </w:p>
        </w:tc>
        <w:tc>
          <w:tcPr>
            <w:tcW w:w="2540" w:type="dxa"/>
            <w:vAlign w:val="bottom"/>
            <w:tcBorders>
              <w:bottom w:val="single" w:sz="8" w:color="BFBFBF"/>
              <w:right w:val="single" w:sz="8" w:color="BFBFBF"/>
            </w:tcBorders>
          </w:tcPr>
          <w:p>
            <w:pPr>
              <w:spacing w:after="0"/>
              <w:rPr>
                <w:sz w:val="2"/>
                <w:szCs w:val="2"/>
                <w:color w:val="auto"/>
              </w:rPr>
            </w:pPr>
          </w:p>
        </w:tc>
        <w:tc>
          <w:tcPr>
            <w:tcW w:w="1820" w:type="dxa"/>
            <w:vAlign w:val="bottom"/>
            <w:tcBorders>
              <w:bottom w:val="single" w:sz="8" w:color="BFBFBF"/>
            </w:tcBorders>
          </w:tcPr>
          <w:p>
            <w:pPr>
              <w:spacing w:after="0"/>
              <w:rPr>
                <w:sz w:val="2"/>
                <w:szCs w:val="2"/>
                <w:color w:val="auto"/>
              </w:rPr>
            </w:pPr>
          </w:p>
        </w:tc>
        <w:tc>
          <w:tcPr>
            <w:tcW w:w="740" w:type="dxa"/>
            <w:vAlign w:val="bottom"/>
            <w:tcBorders>
              <w:bottom w:val="single" w:sz="8" w:color="BFBFBF"/>
              <w:right w:val="single" w:sz="8" w:color="BFBFBF"/>
            </w:tcBorders>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580" w:right="49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480" w:type="dxa"/>
            <w:vAlign w:val="bottom"/>
            <w:tcBorders>
              <w:top w:val="single" w:sz="8" w:color="auto"/>
              <w:left w:val="single" w:sz="8" w:color="auto"/>
              <w:right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252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20" w:type="dxa"/>
            <w:vAlign w:val="bottom"/>
            <w:tcBorders>
              <w:top w:val="single" w:sz="8" w:color="auto"/>
              <w:right w:val="single" w:sz="8" w:color="auto"/>
            </w:tcBorders>
          </w:tcPr>
          <w:p>
            <w:pPr>
              <w:spacing w:after="0"/>
              <w:rPr>
                <w:sz w:val="15"/>
                <w:szCs w:val="15"/>
                <w:color w:val="auto"/>
              </w:rPr>
            </w:pPr>
          </w:p>
        </w:tc>
      </w:tr>
      <w:tr>
        <w:trPr>
          <w:trHeight w:val="201"/>
        </w:trPr>
        <w:tc>
          <w:tcPr>
            <w:tcW w:w="2480" w:type="dxa"/>
            <w:vAlign w:val="bottom"/>
            <w:tcBorders>
              <w:left w:val="single" w:sz="8" w:color="auto"/>
              <w:right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October</w:t>
            </w:r>
          </w:p>
        </w:tc>
        <w:tc>
          <w:tcPr>
            <w:tcW w:w="10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96"/>
              </w:rPr>
              <w:t>January - October</w:t>
            </w:r>
          </w:p>
        </w:tc>
        <w:tc>
          <w:tcPr>
            <w:tcW w:w="920" w:type="dxa"/>
            <w:vAlign w:val="bottom"/>
            <w:tcBorders>
              <w:bottom w:val="single" w:sz="8" w:color="auto"/>
              <w:right w:val="single" w:sz="8" w:color="auto"/>
            </w:tcBorders>
          </w:tcPr>
          <w:p>
            <w:pPr>
              <w:spacing w:after="0"/>
              <w:rPr>
                <w:sz w:val="17"/>
                <w:szCs w:val="17"/>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2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201"/>
        </w:trPr>
        <w:tc>
          <w:tcPr>
            <w:tcW w:w="2480" w:type="dxa"/>
            <w:vAlign w:val="bottom"/>
            <w:tcBorders>
              <w:left w:val="single" w:sz="8" w:color="auto"/>
              <w:bottom w:val="single" w:sz="8" w:color="auto"/>
              <w:right w:val="single" w:sz="8" w:color="auto"/>
            </w:tcBorders>
          </w:tcPr>
          <w:p>
            <w:pPr>
              <w:spacing w:after="0"/>
              <w:rPr>
                <w:sz w:val="17"/>
                <w:szCs w:val="17"/>
                <w:color w:val="auto"/>
              </w:rPr>
            </w:pP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2013</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2012</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Enclave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4,644</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4,273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8.7</w:t>
            </w:r>
          </w:p>
        </w:tc>
        <w:tc>
          <w:tcPr>
            <w:tcW w:w="1080" w:type="dxa"/>
            <w:vAlign w:val="bottom"/>
          </w:tcPr>
          <w:p>
            <w:pPr>
              <w:jc w:val="right"/>
              <w:spacing w:after="0"/>
              <w:rPr>
                <w:sz w:val="20"/>
                <w:szCs w:val="20"/>
                <w:color w:val="auto"/>
              </w:rPr>
            </w:pPr>
            <w:r>
              <w:rPr>
                <w:rFonts w:ascii="Arial" w:cs="Arial" w:eastAsia="Arial" w:hAnsi="Arial"/>
                <w:sz w:val="14"/>
                <w:szCs w:val="14"/>
                <w:color w:val="auto"/>
              </w:rPr>
              <w:t>51,028</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45,834</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11.3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Encore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3,602</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26,532</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LaCrosse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3,850</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4,139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(7.0)</w:t>
            </w:r>
          </w:p>
        </w:tc>
        <w:tc>
          <w:tcPr>
            <w:tcW w:w="1080" w:type="dxa"/>
            <w:vAlign w:val="bottom"/>
          </w:tcPr>
          <w:p>
            <w:pPr>
              <w:jc w:val="right"/>
              <w:spacing w:after="0"/>
              <w:rPr>
                <w:sz w:val="20"/>
                <w:szCs w:val="20"/>
                <w:color w:val="auto"/>
              </w:rPr>
            </w:pPr>
            <w:r>
              <w:rPr>
                <w:rFonts w:ascii="Arial" w:cs="Arial" w:eastAsia="Arial" w:hAnsi="Arial"/>
                <w:sz w:val="14"/>
                <w:szCs w:val="14"/>
                <w:color w:val="auto"/>
              </w:rPr>
              <w:t>42,695</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49,205</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(13.2)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Regal</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2,153</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1,466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46.9</w:t>
            </w:r>
          </w:p>
        </w:tc>
        <w:tc>
          <w:tcPr>
            <w:tcW w:w="1080" w:type="dxa"/>
            <w:vAlign w:val="bottom"/>
          </w:tcPr>
          <w:p>
            <w:pPr>
              <w:jc w:val="right"/>
              <w:spacing w:after="0"/>
              <w:rPr>
                <w:sz w:val="20"/>
                <w:szCs w:val="20"/>
                <w:color w:val="auto"/>
              </w:rPr>
            </w:pPr>
            <w:r>
              <w:rPr>
                <w:rFonts w:ascii="Arial" w:cs="Arial" w:eastAsia="Arial" w:hAnsi="Arial"/>
                <w:sz w:val="14"/>
                <w:szCs w:val="14"/>
                <w:color w:val="auto"/>
              </w:rPr>
              <w:t>14,920</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21,989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(32.1)</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Verano</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3,306</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3,502</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(5.6)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39,874</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32,648</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22.1</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Buick Total*</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17,555</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13,384</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31.2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175,058</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150,646</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16.2</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ATS</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2,782</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1,266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119.7</w:t>
            </w:r>
          </w:p>
        </w:tc>
        <w:tc>
          <w:tcPr>
            <w:tcW w:w="1080" w:type="dxa"/>
            <w:vAlign w:val="bottom"/>
          </w:tcPr>
          <w:p>
            <w:pPr>
              <w:jc w:val="right"/>
              <w:spacing w:after="0"/>
              <w:rPr>
                <w:sz w:val="20"/>
                <w:szCs w:val="20"/>
                <w:color w:val="auto"/>
              </w:rPr>
            </w:pPr>
            <w:r>
              <w:rPr>
                <w:rFonts w:ascii="Arial" w:cs="Arial" w:eastAsia="Arial" w:hAnsi="Arial"/>
                <w:sz w:val="14"/>
                <w:szCs w:val="14"/>
                <w:color w:val="auto"/>
              </w:rPr>
              <w:t>30,989</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1,877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CTS</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2,073</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2,344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(11.6)</w:t>
            </w:r>
          </w:p>
        </w:tc>
        <w:tc>
          <w:tcPr>
            <w:tcW w:w="1080" w:type="dxa"/>
            <w:vAlign w:val="bottom"/>
          </w:tcPr>
          <w:p>
            <w:pPr>
              <w:jc w:val="right"/>
              <w:spacing w:after="0"/>
              <w:rPr>
                <w:sz w:val="20"/>
                <w:szCs w:val="20"/>
                <w:color w:val="auto"/>
              </w:rPr>
            </w:pPr>
            <w:r>
              <w:rPr>
                <w:rFonts w:ascii="Arial" w:cs="Arial" w:eastAsia="Arial" w:hAnsi="Arial"/>
                <w:sz w:val="14"/>
                <w:szCs w:val="14"/>
                <w:color w:val="auto"/>
              </w:rPr>
              <w:t>26,483</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40,809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(35.1)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1,069</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990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8.0</w:t>
            </w:r>
          </w:p>
        </w:tc>
        <w:tc>
          <w:tcPr>
            <w:tcW w:w="1080" w:type="dxa"/>
            <w:vAlign w:val="bottom"/>
          </w:tcPr>
          <w:p>
            <w:pPr>
              <w:jc w:val="right"/>
              <w:spacing w:after="0"/>
              <w:rPr>
                <w:sz w:val="20"/>
                <w:szCs w:val="20"/>
                <w:color w:val="auto"/>
              </w:rPr>
            </w:pPr>
            <w:r>
              <w:rPr>
                <w:rFonts w:ascii="Arial" w:cs="Arial" w:eastAsia="Arial" w:hAnsi="Arial"/>
                <w:sz w:val="14"/>
                <w:szCs w:val="14"/>
                <w:color w:val="auto"/>
              </w:rPr>
              <w:t>10,022</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10,284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ESV</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608</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668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(9.0)</w:t>
            </w:r>
          </w:p>
        </w:tc>
        <w:tc>
          <w:tcPr>
            <w:tcW w:w="1080" w:type="dxa"/>
            <w:vAlign w:val="bottom"/>
          </w:tcPr>
          <w:p>
            <w:pPr>
              <w:jc w:val="right"/>
              <w:spacing w:after="0"/>
              <w:rPr>
                <w:sz w:val="20"/>
                <w:szCs w:val="20"/>
                <w:color w:val="auto"/>
              </w:rPr>
            </w:pPr>
            <w:r>
              <w:rPr>
                <w:rFonts w:ascii="Arial" w:cs="Arial" w:eastAsia="Arial" w:hAnsi="Arial"/>
                <w:sz w:val="14"/>
                <w:szCs w:val="14"/>
                <w:color w:val="auto"/>
              </w:rPr>
              <w:t>6,524</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6,463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EXT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137</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174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(21.3)</w:t>
            </w:r>
          </w:p>
        </w:tc>
        <w:tc>
          <w:tcPr>
            <w:tcW w:w="1080" w:type="dxa"/>
            <w:vAlign w:val="bottom"/>
          </w:tcPr>
          <w:p>
            <w:pPr>
              <w:jc w:val="right"/>
              <w:spacing w:after="0"/>
              <w:rPr>
                <w:sz w:val="20"/>
                <w:szCs w:val="20"/>
                <w:color w:val="auto"/>
              </w:rPr>
            </w:pPr>
            <w:r>
              <w:rPr>
                <w:rFonts w:ascii="Arial" w:cs="Arial" w:eastAsia="Arial" w:hAnsi="Arial"/>
                <w:sz w:val="14"/>
                <w:szCs w:val="14"/>
                <w:color w:val="auto"/>
              </w:rPr>
              <w:t>1,811</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1,522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19.0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SRX</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5,373</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5,521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(2.7)</w:t>
            </w:r>
          </w:p>
        </w:tc>
        <w:tc>
          <w:tcPr>
            <w:tcW w:w="1080" w:type="dxa"/>
            <w:vAlign w:val="bottom"/>
          </w:tcPr>
          <w:p>
            <w:pPr>
              <w:jc w:val="right"/>
              <w:spacing w:after="0"/>
              <w:rPr>
                <w:sz w:val="20"/>
                <w:szCs w:val="20"/>
                <w:color w:val="auto"/>
              </w:rPr>
            </w:pPr>
            <w:r>
              <w:rPr>
                <w:rFonts w:ascii="Arial" w:cs="Arial" w:eastAsia="Arial" w:hAnsi="Arial"/>
                <w:sz w:val="14"/>
                <w:szCs w:val="14"/>
                <w:color w:val="auto"/>
              </w:rPr>
              <w:t>45,879</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45,745</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0.3</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XTS</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2,750</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2,540</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8.3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26,472</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9,696</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173.0</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Cadillac Total*</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14,792</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13,505</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9.5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148,206</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117,017</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26.7</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Avalanche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526</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2,331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(77.4)</w:t>
            </w:r>
          </w:p>
        </w:tc>
        <w:tc>
          <w:tcPr>
            <w:tcW w:w="1080" w:type="dxa"/>
            <w:vAlign w:val="bottom"/>
          </w:tcPr>
          <w:p>
            <w:pPr>
              <w:jc w:val="right"/>
              <w:spacing w:after="0"/>
              <w:rPr>
                <w:sz w:val="20"/>
                <w:szCs w:val="20"/>
                <w:color w:val="auto"/>
              </w:rPr>
            </w:pPr>
            <w:r>
              <w:rPr>
                <w:rFonts w:ascii="Arial" w:cs="Arial" w:eastAsia="Arial" w:hAnsi="Arial"/>
                <w:sz w:val="14"/>
                <w:szCs w:val="14"/>
                <w:color w:val="auto"/>
              </w:rPr>
              <w:t>16,144</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19,480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(17.1)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Camaro</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5,669</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5,122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10.7</w:t>
            </w:r>
          </w:p>
        </w:tc>
        <w:tc>
          <w:tcPr>
            <w:tcW w:w="1080" w:type="dxa"/>
            <w:vAlign w:val="bottom"/>
          </w:tcPr>
          <w:p>
            <w:pPr>
              <w:jc w:val="right"/>
              <w:spacing w:after="0"/>
              <w:rPr>
                <w:sz w:val="20"/>
                <w:szCs w:val="20"/>
                <w:color w:val="auto"/>
              </w:rPr>
            </w:pPr>
            <w:r>
              <w:rPr>
                <w:rFonts w:ascii="Arial" w:cs="Arial" w:eastAsia="Arial" w:hAnsi="Arial"/>
                <w:sz w:val="14"/>
                <w:szCs w:val="14"/>
                <w:color w:val="auto"/>
              </w:rPr>
              <w:t>70,484</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74,090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Caprice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273</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343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(20.4)</w:t>
            </w:r>
          </w:p>
        </w:tc>
        <w:tc>
          <w:tcPr>
            <w:tcW w:w="1080" w:type="dxa"/>
            <w:vAlign w:val="bottom"/>
          </w:tcPr>
          <w:p>
            <w:pPr>
              <w:jc w:val="right"/>
              <w:spacing w:after="0"/>
              <w:rPr>
                <w:sz w:val="20"/>
                <w:szCs w:val="20"/>
                <w:color w:val="auto"/>
              </w:rPr>
            </w:pPr>
            <w:r>
              <w:rPr>
                <w:rFonts w:ascii="Arial" w:cs="Arial" w:eastAsia="Arial" w:hAnsi="Arial"/>
                <w:sz w:val="14"/>
                <w:szCs w:val="14"/>
                <w:color w:val="auto"/>
              </w:rPr>
              <w:t>3,239</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3,208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Captiva Sport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4,197</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3,408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23.2</w:t>
            </w:r>
          </w:p>
        </w:tc>
        <w:tc>
          <w:tcPr>
            <w:tcW w:w="1080" w:type="dxa"/>
            <w:vAlign w:val="bottom"/>
          </w:tcPr>
          <w:p>
            <w:pPr>
              <w:jc w:val="right"/>
              <w:spacing w:after="0"/>
              <w:rPr>
                <w:sz w:val="20"/>
                <w:szCs w:val="20"/>
                <w:color w:val="auto"/>
              </w:rPr>
            </w:pPr>
            <w:r>
              <w:rPr>
                <w:rFonts w:ascii="Arial" w:cs="Arial" w:eastAsia="Arial" w:hAnsi="Arial"/>
                <w:sz w:val="14"/>
                <w:szCs w:val="14"/>
                <w:color w:val="auto"/>
              </w:rPr>
              <w:t>40,490</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30,556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32.5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Colorado</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29</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1,612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(98.2)</w:t>
            </w:r>
          </w:p>
        </w:tc>
        <w:tc>
          <w:tcPr>
            <w:tcW w:w="1080" w:type="dxa"/>
            <w:vAlign w:val="bottom"/>
          </w:tcPr>
          <w:p>
            <w:pPr>
              <w:jc w:val="right"/>
              <w:spacing w:after="0"/>
              <w:rPr>
                <w:sz w:val="20"/>
                <w:szCs w:val="20"/>
                <w:color w:val="auto"/>
              </w:rPr>
            </w:pPr>
            <w:r>
              <w:rPr>
                <w:rFonts w:ascii="Arial" w:cs="Arial" w:eastAsia="Arial" w:hAnsi="Arial"/>
                <w:sz w:val="14"/>
                <w:szCs w:val="14"/>
                <w:color w:val="auto"/>
              </w:rPr>
              <w:t>3,404</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34,220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(90.1)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Corvette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3,929</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1,167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236.7</w:t>
            </w:r>
          </w:p>
        </w:tc>
        <w:tc>
          <w:tcPr>
            <w:tcW w:w="1080" w:type="dxa"/>
            <w:vAlign w:val="bottom"/>
          </w:tcPr>
          <w:p>
            <w:pPr>
              <w:jc w:val="right"/>
              <w:spacing w:after="0"/>
              <w:rPr>
                <w:sz w:val="20"/>
                <w:szCs w:val="20"/>
                <w:color w:val="auto"/>
              </w:rPr>
            </w:pPr>
            <w:r>
              <w:rPr>
                <w:rFonts w:ascii="Arial" w:cs="Arial" w:eastAsia="Arial" w:hAnsi="Arial"/>
                <w:sz w:val="14"/>
                <w:szCs w:val="14"/>
                <w:color w:val="auto"/>
              </w:rPr>
              <w:t>11,759</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11,737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Cruze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16,087</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19,121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(15.9)</w:t>
            </w:r>
          </w:p>
        </w:tc>
        <w:tc>
          <w:tcPr>
            <w:tcW w:w="1080" w:type="dxa"/>
            <w:vAlign w:val="bottom"/>
          </w:tcPr>
          <w:p>
            <w:pPr>
              <w:jc w:val="right"/>
              <w:spacing w:after="0"/>
              <w:rPr>
                <w:sz w:val="20"/>
                <w:szCs w:val="20"/>
                <w:color w:val="auto"/>
              </w:rPr>
            </w:pPr>
            <w:r>
              <w:rPr>
                <w:rFonts w:ascii="Arial" w:cs="Arial" w:eastAsia="Arial" w:hAnsi="Arial"/>
                <w:sz w:val="14"/>
                <w:szCs w:val="14"/>
                <w:color w:val="auto"/>
              </w:rPr>
              <w:t>211,862</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199,721</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Equinox</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17,163</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15,387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11.5</w:t>
            </w:r>
          </w:p>
        </w:tc>
        <w:tc>
          <w:tcPr>
            <w:tcW w:w="1080" w:type="dxa"/>
            <w:vAlign w:val="bottom"/>
          </w:tcPr>
          <w:p>
            <w:pPr>
              <w:jc w:val="right"/>
              <w:spacing w:after="0"/>
              <w:rPr>
                <w:sz w:val="20"/>
                <w:szCs w:val="20"/>
                <w:color w:val="auto"/>
              </w:rPr>
            </w:pPr>
            <w:r>
              <w:rPr>
                <w:rFonts w:ascii="Arial" w:cs="Arial" w:eastAsia="Arial" w:hAnsi="Arial"/>
                <w:sz w:val="14"/>
                <w:szCs w:val="14"/>
                <w:color w:val="auto"/>
              </w:rPr>
              <w:t>202,583</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182,249</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11.2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Express</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6,525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5,528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18.0</w:t>
            </w:r>
          </w:p>
        </w:tc>
        <w:tc>
          <w:tcPr>
            <w:tcW w:w="1080" w:type="dxa"/>
            <w:vAlign w:val="bottom"/>
          </w:tcPr>
          <w:p>
            <w:pPr>
              <w:jc w:val="right"/>
              <w:spacing w:after="0"/>
              <w:rPr>
                <w:sz w:val="20"/>
                <w:szCs w:val="20"/>
                <w:color w:val="auto"/>
              </w:rPr>
            </w:pPr>
            <w:r>
              <w:rPr>
                <w:rFonts w:ascii="Arial" w:cs="Arial" w:eastAsia="Arial" w:hAnsi="Arial"/>
                <w:sz w:val="14"/>
                <w:szCs w:val="14"/>
                <w:color w:val="auto"/>
              </w:rPr>
              <w:t>66,149</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63,414</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Impala</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11,713</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8,368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40.0</w:t>
            </w:r>
          </w:p>
        </w:tc>
        <w:tc>
          <w:tcPr>
            <w:tcW w:w="1080" w:type="dxa"/>
            <w:vAlign w:val="bottom"/>
          </w:tcPr>
          <w:p>
            <w:pPr>
              <w:jc w:val="right"/>
              <w:spacing w:after="0"/>
              <w:rPr>
                <w:sz w:val="20"/>
                <w:szCs w:val="20"/>
                <w:color w:val="auto"/>
              </w:rPr>
            </w:pPr>
            <w:r>
              <w:rPr>
                <w:rFonts w:ascii="Arial" w:cs="Arial" w:eastAsia="Arial" w:hAnsi="Arial"/>
                <w:sz w:val="14"/>
                <w:szCs w:val="14"/>
                <w:color w:val="auto"/>
              </w:rPr>
              <w:t>132,746</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148,547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(10.6)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Malibu</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15,746</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9,629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63.5</w:t>
            </w:r>
          </w:p>
        </w:tc>
        <w:tc>
          <w:tcPr>
            <w:tcW w:w="1080" w:type="dxa"/>
            <w:vAlign w:val="bottom"/>
          </w:tcPr>
          <w:p>
            <w:pPr>
              <w:jc w:val="right"/>
              <w:spacing w:after="0"/>
              <w:rPr>
                <w:sz w:val="20"/>
                <w:szCs w:val="20"/>
                <w:color w:val="auto"/>
              </w:rPr>
            </w:pPr>
            <w:r>
              <w:rPr>
                <w:rFonts w:ascii="Arial" w:cs="Arial" w:eastAsia="Arial" w:hAnsi="Arial"/>
                <w:sz w:val="14"/>
                <w:szCs w:val="14"/>
                <w:color w:val="auto"/>
              </w:rPr>
              <w:t>170,696</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189,094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Silverado-C/K Pickup</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42,660</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38,739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10.1</w:t>
            </w:r>
          </w:p>
        </w:tc>
        <w:tc>
          <w:tcPr>
            <w:tcW w:w="1080" w:type="dxa"/>
            <w:vAlign w:val="bottom"/>
          </w:tcPr>
          <w:p>
            <w:pPr>
              <w:jc w:val="right"/>
              <w:spacing w:after="0"/>
              <w:rPr>
                <w:sz w:val="20"/>
                <w:szCs w:val="20"/>
                <w:color w:val="auto"/>
              </w:rPr>
            </w:pPr>
            <w:r>
              <w:rPr>
                <w:rFonts w:ascii="Arial" w:cs="Arial" w:eastAsia="Arial" w:hAnsi="Arial"/>
                <w:sz w:val="14"/>
                <w:szCs w:val="14"/>
                <w:color w:val="auto"/>
              </w:rPr>
              <w:t>403,435</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336,939</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19.7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Sonic</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6,850</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5,495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24.7</w:t>
            </w:r>
          </w:p>
        </w:tc>
        <w:tc>
          <w:tcPr>
            <w:tcW w:w="1080" w:type="dxa"/>
            <w:vAlign w:val="bottom"/>
          </w:tcPr>
          <w:p>
            <w:pPr>
              <w:jc w:val="right"/>
              <w:spacing w:after="0"/>
              <w:rPr>
                <w:sz w:val="20"/>
                <w:szCs w:val="20"/>
                <w:color w:val="auto"/>
              </w:rPr>
            </w:pPr>
            <w:r>
              <w:rPr>
                <w:rFonts w:ascii="Arial" w:cs="Arial" w:eastAsia="Arial" w:hAnsi="Arial"/>
                <w:sz w:val="14"/>
                <w:szCs w:val="14"/>
                <w:color w:val="auto"/>
              </w:rPr>
              <w:t>76,499</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70,241</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8.9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Spark</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2,353</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2,134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10.3</w:t>
            </w:r>
          </w:p>
        </w:tc>
        <w:tc>
          <w:tcPr>
            <w:tcW w:w="1080" w:type="dxa"/>
            <w:vAlign w:val="bottom"/>
          </w:tcPr>
          <w:p>
            <w:pPr>
              <w:jc w:val="right"/>
              <w:spacing w:after="0"/>
              <w:rPr>
                <w:sz w:val="20"/>
                <w:szCs w:val="20"/>
                <w:color w:val="auto"/>
              </w:rPr>
            </w:pPr>
            <w:r>
              <w:rPr>
                <w:rFonts w:ascii="Arial" w:cs="Arial" w:eastAsia="Arial" w:hAnsi="Arial"/>
                <w:sz w:val="14"/>
                <w:szCs w:val="14"/>
                <w:color w:val="auto"/>
              </w:rPr>
              <w:t>30,677</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8,447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263.2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Suburban (Chevy)</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5,648</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3,595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57.1</w:t>
            </w:r>
          </w:p>
        </w:tc>
        <w:tc>
          <w:tcPr>
            <w:tcW w:w="1080" w:type="dxa"/>
            <w:vAlign w:val="bottom"/>
          </w:tcPr>
          <w:p>
            <w:pPr>
              <w:jc w:val="right"/>
              <w:spacing w:after="0"/>
              <w:rPr>
                <w:sz w:val="20"/>
                <w:szCs w:val="20"/>
                <w:color w:val="auto"/>
              </w:rPr>
            </w:pPr>
            <w:r>
              <w:rPr>
                <w:rFonts w:ascii="Arial" w:cs="Arial" w:eastAsia="Arial" w:hAnsi="Arial"/>
                <w:sz w:val="14"/>
                <w:szCs w:val="14"/>
                <w:color w:val="auto"/>
              </w:rPr>
              <w:t>40,228</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37,455</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SS</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Tahoe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7,458</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4,926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51.4</w:t>
            </w:r>
          </w:p>
        </w:tc>
        <w:tc>
          <w:tcPr>
            <w:tcW w:w="1080" w:type="dxa"/>
            <w:vAlign w:val="bottom"/>
          </w:tcPr>
          <w:p>
            <w:pPr>
              <w:jc w:val="right"/>
              <w:spacing w:after="0"/>
              <w:rPr>
                <w:sz w:val="20"/>
                <w:szCs w:val="20"/>
                <w:color w:val="auto"/>
              </w:rPr>
            </w:pPr>
            <w:r>
              <w:rPr>
                <w:rFonts w:ascii="Arial" w:cs="Arial" w:eastAsia="Arial" w:hAnsi="Arial"/>
                <w:sz w:val="14"/>
                <w:szCs w:val="14"/>
                <w:color w:val="auto"/>
              </w:rPr>
              <w:t>67,584</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54,407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24.2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Traverse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6,365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5,437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17.1</w:t>
            </w:r>
          </w:p>
        </w:tc>
        <w:tc>
          <w:tcPr>
            <w:tcW w:w="1080" w:type="dxa"/>
            <w:vAlign w:val="bottom"/>
          </w:tcPr>
          <w:p>
            <w:pPr>
              <w:jc w:val="right"/>
              <w:spacing w:after="0"/>
              <w:rPr>
                <w:sz w:val="20"/>
                <w:szCs w:val="20"/>
                <w:color w:val="auto"/>
              </w:rPr>
            </w:pPr>
            <w:r>
              <w:rPr>
                <w:rFonts w:ascii="Arial" w:cs="Arial" w:eastAsia="Arial" w:hAnsi="Arial"/>
                <w:sz w:val="14"/>
                <w:szCs w:val="14"/>
                <w:color w:val="auto"/>
              </w:rPr>
              <w:t>81,776</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72,479</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12.8</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Volt</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2,022</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2,961</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(31.7)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18,782</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19,309</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(2.7)</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Chevrolet Total*</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155,214</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135,305</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14.7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1,648,543</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1,555,688</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6.0</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Acadia</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6,882</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5,613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22.6</w:t>
            </w:r>
          </w:p>
        </w:tc>
        <w:tc>
          <w:tcPr>
            <w:tcW w:w="1080" w:type="dxa"/>
            <w:vAlign w:val="bottom"/>
          </w:tcPr>
          <w:p>
            <w:pPr>
              <w:jc w:val="right"/>
              <w:spacing w:after="0"/>
              <w:rPr>
                <w:sz w:val="20"/>
                <w:szCs w:val="20"/>
                <w:color w:val="auto"/>
              </w:rPr>
            </w:pPr>
            <w:r>
              <w:rPr>
                <w:rFonts w:ascii="Arial" w:cs="Arial" w:eastAsia="Arial" w:hAnsi="Arial"/>
                <w:sz w:val="14"/>
                <w:szCs w:val="14"/>
                <w:color w:val="auto"/>
              </w:rPr>
              <w:t>74,304</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69,470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Canyon</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472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(98.9)</w:t>
            </w:r>
          </w:p>
        </w:tc>
        <w:tc>
          <w:tcPr>
            <w:tcW w:w="1080" w:type="dxa"/>
            <w:vAlign w:val="bottom"/>
          </w:tcPr>
          <w:p>
            <w:pPr>
              <w:jc w:val="right"/>
              <w:spacing w:after="0"/>
              <w:rPr>
                <w:sz w:val="20"/>
                <w:szCs w:val="20"/>
                <w:color w:val="auto"/>
              </w:rPr>
            </w:pPr>
            <w:r>
              <w:rPr>
                <w:rFonts w:ascii="Arial" w:cs="Arial" w:eastAsia="Arial" w:hAnsi="Arial"/>
                <w:sz w:val="14"/>
                <w:szCs w:val="14"/>
                <w:color w:val="auto"/>
              </w:rPr>
              <w:t>923</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8,090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(88.6)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Savana</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1,027</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1,047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(1.9)</w:t>
            </w:r>
          </w:p>
        </w:tc>
        <w:tc>
          <w:tcPr>
            <w:tcW w:w="1080" w:type="dxa"/>
            <w:vAlign w:val="bottom"/>
          </w:tcPr>
          <w:p>
            <w:pPr>
              <w:jc w:val="right"/>
              <w:spacing w:after="0"/>
              <w:rPr>
                <w:sz w:val="20"/>
                <w:szCs w:val="20"/>
                <w:color w:val="auto"/>
              </w:rPr>
            </w:pPr>
            <w:r>
              <w:rPr>
                <w:rFonts w:ascii="Arial" w:cs="Arial" w:eastAsia="Arial" w:hAnsi="Arial"/>
                <w:sz w:val="14"/>
                <w:szCs w:val="14"/>
                <w:color w:val="auto"/>
              </w:rPr>
              <w:t>12,585</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18,306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(31.3)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Sierra</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16,503</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14,568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13.3</w:t>
            </w:r>
          </w:p>
        </w:tc>
        <w:tc>
          <w:tcPr>
            <w:tcW w:w="1080" w:type="dxa"/>
            <w:vAlign w:val="bottom"/>
          </w:tcPr>
          <w:p>
            <w:pPr>
              <w:jc w:val="right"/>
              <w:spacing w:after="0"/>
              <w:rPr>
                <w:sz w:val="20"/>
                <w:szCs w:val="20"/>
                <w:color w:val="auto"/>
              </w:rPr>
            </w:pPr>
            <w:r>
              <w:rPr>
                <w:rFonts w:ascii="Arial" w:cs="Arial" w:eastAsia="Arial" w:hAnsi="Arial"/>
                <w:sz w:val="14"/>
                <w:szCs w:val="14"/>
                <w:color w:val="auto"/>
              </w:rPr>
              <w:t>152,173</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126,749</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Terrain</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7,914</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7,286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8.6</w:t>
            </w:r>
          </w:p>
        </w:tc>
        <w:tc>
          <w:tcPr>
            <w:tcW w:w="1080" w:type="dxa"/>
            <w:vAlign w:val="bottom"/>
          </w:tcPr>
          <w:p>
            <w:pPr>
              <w:jc w:val="right"/>
              <w:spacing w:after="0"/>
              <w:rPr>
                <w:sz w:val="20"/>
                <w:szCs w:val="20"/>
                <w:color w:val="auto"/>
              </w:rPr>
            </w:pPr>
            <w:r>
              <w:rPr>
                <w:rFonts w:ascii="Arial" w:cs="Arial" w:eastAsia="Arial" w:hAnsi="Arial"/>
                <w:sz w:val="14"/>
                <w:szCs w:val="14"/>
                <w:color w:val="auto"/>
              </w:rPr>
              <w:t>84,706</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78,112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8.4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3,021</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2,289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32.0</w:t>
            </w:r>
          </w:p>
        </w:tc>
        <w:tc>
          <w:tcPr>
            <w:tcW w:w="1080" w:type="dxa"/>
            <w:vAlign w:val="bottom"/>
          </w:tcPr>
          <w:p>
            <w:pPr>
              <w:jc w:val="right"/>
              <w:spacing w:after="0"/>
              <w:rPr>
                <w:sz w:val="20"/>
                <w:szCs w:val="20"/>
                <w:color w:val="auto"/>
              </w:rPr>
            </w:pPr>
            <w:r>
              <w:rPr>
                <w:rFonts w:ascii="Arial" w:cs="Arial" w:eastAsia="Arial" w:hAnsi="Arial"/>
                <w:sz w:val="14"/>
                <w:szCs w:val="14"/>
                <w:color w:val="auto"/>
              </w:rPr>
              <w:t>21,928</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21,438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2.3</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 XL</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3,489</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2,295</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52.0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25,435</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17,963</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41.6</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38,841</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33,570</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15.7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372,054</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340,128</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9.4</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GM Vehicle Total*</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226,402</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195,764</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15.7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2,343,861</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2,163,479</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8.3</w:t>
            </w: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27 selling days for the October period this year and 26 for last year.</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*Totals include discontinued models: Buick Lucerne, Cadillac DTS and STS, Chevrolet Aveo, Cobalt and HHR.</w:t>
      </w:r>
    </w:p>
    <w:sectPr>
      <w:pgSz w:w="11900" w:h="16838" w:orient="portrait"/>
      <w:cols w:equalWidth="0" w:num="1">
        <w:col w:w="9440"/>
      </w:cols>
      <w:pgMar w:left="1240" w:top="71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2019-12-07T20:21:39Z</dcterms:created>
  <dcterms:modified xsi:type="dcterms:W3CDTF">2019-12-07T20:21:39Z</dcterms:modified>
</cp:coreProperties>
</file>