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376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Harvey Rory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20"/>
        <w:spacing w:after="0" w:line="310"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11/25/2024</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4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6"/>
              </w:rPr>
              <w:t>MI</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48265</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11/25/2024</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8,919</w:t>
            </w: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49.46</w:t>
            </w: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17,432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11/25/2024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8,919</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60.01</w:t>
            </w:r>
            <w:r>
              <w:rPr>
                <w:rFonts w:ascii="Times New Roman" w:cs="Times New Roman" w:eastAsia="Times New Roman" w:hAnsi="Times New Roman"/>
                <w:sz w:val="21"/>
                <w:szCs w:val="21"/>
                <w:color w:val="008000"/>
                <w:vertAlign w:val="superscript"/>
              </w:rPr>
              <w:t>(1)</w:t>
            </w: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rPr>
              <w:t>8,513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1"/>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8,919</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49.46</w:t>
            </w: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11/25/2024</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8,919</w:t>
            </w:r>
          </w:p>
        </w:tc>
        <w:tc>
          <w:tcPr>
            <w:tcW w:w="800" w:type="dxa"/>
            <w:vAlign w:val="bottom"/>
            <w:gridSpan w:val="2"/>
            <w:vMerge w:val="continue"/>
          </w:tcPr>
          <w:p>
            <w:pPr>
              <w:spacing w:after="0"/>
              <w:rPr>
                <w:sz w:val="5"/>
                <w:szCs w:val="5"/>
                <w:color w:val="auto"/>
              </w:rPr>
            </w:pPr>
          </w:p>
        </w:tc>
        <w:tc>
          <w:tcPr>
            <w:tcW w:w="68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02/08/2032</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4,459</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purchase price of the shares. The shares were purchased in multiple transactions at prices from $60.00 to $60.03, inclusive. The Reporting Person undertakes to provide to the SEC, GM and any security holder, upon request, full information regarding the number of shares purchased at each price point within the ranges set forth in this footnote.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8, 2022, and two-thirds have vested. The remaining installment will vest on February 8, 2025.</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Tia Y. Turk, Attorney-in-</w:t>
            </w:r>
          </w:p>
        </w:tc>
        <w:tc>
          <w:tcPr>
            <w:tcW w:w="14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11/27/2024</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Fact for Mr. Harvey</w:t>
            </w:r>
          </w:p>
        </w:tc>
        <w:tc>
          <w:tcPr>
            <w:tcW w:w="6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6795"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2024-11-27T16:44:22Z</dcterms:created>
  <dcterms:modified xsi:type="dcterms:W3CDTF">2024-11-27T16:44:22Z</dcterms:modified>
</cp:coreProperties>
</file>