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 PURSUANT TO RULE</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13d-2(b)</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General Motors Company</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37045V100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18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37045V100</w:t>
            </w:r>
          </w:p>
        </w:tc>
        <w:tc>
          <w:tcPr>
            <w:tcW w:w="96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right w:val="single" w:sz="8" w:color="auto"/>
            </w:tcBorders>
          </w:tcPr>
          <w:p>
            <w:pPr>
              <w:spacing w:after="0"/>
              <w:rPr>
                <w:sz w:val="16"/>
                <w:szCs w:val="16"/>
                <w:color w:val="auto"/>
              </w:rPr>
            </w:pPr>
          </w:p>
        </w:tc>
        <w:tc>
          <w:tcPr>
            <w:tcW w:w="1072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UAW Retiree Medical Benefits Trust</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3"/>
          </w:tcPr>
          <w:p>
            <w:pPr>
              <w:ind w:left="12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tcBorders>
              <w:right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72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72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None. Organized as a 501(c)(9) Voluntary Employee Beneficiary Association</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140,150,000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Borders>
              <w:bottom w:val="single" w:sz="8" w:color="auto"/>
              <w:right w:val="single" w:sz="8" w:color="auto"/>
            </w:tcBorders>
          </w:tcPr>
          <w:p>
            <w:pPr>
              <w:spacing w:after="0"/>
              <w:rPr>
                <w:sz w:val="20"/>
                <w:szCs w:val="20"/>
                <w:color w:val="auto"/>
              </w:rPr>
            </w:pPr>
          </w:p>
        </w:tc>
        <w:tc>
          <w:tcPr>
            <w:tcW w:w="96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2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right w:val="single" w:sz="8" w:color="auto"/>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6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Borders>
              <w:right w:val="single" w:sz="8" w:color="auto"/>
            </w:tcBorders>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Borders>
              <w:right w:val="single" w:sz="8" w:color="auto"/>
            </w:tcBorders>
          </w:tcPr>
          <w:p>
            <w:pPr>
              <w:spacing w:after="0"/>
              <w:rPr>
                <w:sz w:val="19"/>
                <w:szCs w:val="19"/>
                <w:color w:val="auto"/>
              </w:rPr>
            </w:pPr>
          </w:p>
        </w:tc>
        <w:tc>
          <w:tcPr>
            <w:tcW w:w="9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right w:val="single" w:sz="8" w:color="auto"/>
            </w:tcBorders>
          </w:tcPr>
          <w:p>
            <w:pPr>
              <w:spacing w:after="0"/>
              <w:rPr>
                <w:sz w:val="5"/>
                <w:szCs w:val="5"/>
                <w:color w:val="auto"/>
              </w:rPr>
            </w:pPr>
          </w:p>
        </w:tc>
        <w:tc>
          <w:tcPr>
            <w:tcW w:w="9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9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140,150,000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right w:val="single" w:sz="8" w:color="auto"/>
            </w:tcBorders>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AGGREGATE</w:t>
            </w:r>
          </w:p>
        </w:tc>
        <w:tc>
          <w:tcPr>
            <w:tcW w:w="96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140,150,000</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right w:val="single" w:sz="8" w:color="auto"/>
            </w:tcBorders>
          </w:tcPr>
          <w:p>
            <w:pPr>
              <w:spacing w:after="0"/>
              <w:rPr>
                <w:sz w:val="19"/>
                <w:szCs w:val="19"/>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EP</w:t>
            </w:r>
          </w:p>
        </w:tc>
        <w:tc>
          <w:tcPr>
            <w:tcW w:w="2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Motors Company (the “Issuer”)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300 Renaissance Center, Detroit, Michigan, 48265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This Amendment No. 1 to Schedule 13G is being filed on behalf of the UAW Retiree Medical Benefits Trust, organized as a 501(c)(9) Voluntary Employee Beneficiary Association (“UAW RMBT”).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200 Walker Street, Detroit, MI 48207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UAW RMBT is organized as a 501(c)(9) Voluntary Employee Beneficiary Association.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37045V100</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106" w:lineRule="exact"/>
        <w:rPr>
          <w:sz w:val="20"/>
          <w:szCs w:val="20"/>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Rule 13d-1(b)(1)(ii)(E)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Rule 13d-1(b)(1)(ii)(F)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Rule 13d-1(b)(1)(ii)(G)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130" w:lineRule="exact"/>
        <w:rPr>
          <w:rFonts w:ascii="Times New Roman" w:cs="Times New Roman" w:eastAsia="Times New Roman" w:hAnsi="Times New Roman"/>
          <w:sz w:val="18"/>
          <w:szCs w:val="18"/>
          <w:color w:val="auto"/>
        </w:rPr>
      </w:pPr>
    </w:p>
    <w:p>
      <w:pPr>
        <w:ind w:left="1920" w:hanging="440"/>
        <w:spacing w:after="0" w:line="239"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w:t>
      </w:r>
    </w:p>
    <w:p>
      <w:pPr>
        <w:spacing w:after="0" w:line="75"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13d-1(b)(1)(ii)(J) of the Exchange Act.</w:t>
      </w:r>
    </w:p>
    <w:p>
      <w:pPr>
        <w:spacing w:after="0" w:line="130" w:lineRule="exact"/>
        <w:rPr>
          <w:rFonts w:ascii="Times New Roman" w:cs="Times New Roman" w:eastAsia="Times New Roman" w:hAnsi="Times New Roman"/>
          <w:sz w:val="18"/>
          <w:szCs w:val="18"/>
          <w:color w:val="auto"/>
        </w:rPr>
      </w:pPr>
    </w:p>
    <w:p>
      <w:pPr>
        <w:ind w:left="1920" w:hanging="440"/>
        <w:spacing w:after="0" w:line="207" w:lineRule="exact"/>
        <w:tabs>
          <w:tab w:leader="none" w:pos="19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 of the Exchange Act.</w:t>
      </w:r>
    </w:p>
    <w:p>
      <w:pPr>
        <w:spacing w:after="0" w:line="254" w:lineRule="exact"/>
        <w:rPr>
          <w:sz w:val="20"/>
          <w:szCs w:val="20"/>
          <w:color w:val="auto"/>
        </w:rPr>
      </w:pPr>
    </w:p>
    <w:p>
      <w:pPr>
        <w:ind w:left="460"/>
        <w:spacing w:after="0"/>
        <w:tabs>
          <w:tab w:leader="none" w:pos="10820" w:val="left"/>
        </w:tabs>
        <w:rPr>
          <w:sz w:val="20"/>
          <w:szCs w:val="20"/>
          <w:color w:val="auto"/>
        </w:rPr>
      </w:pPr>
      <w:r>
        <w:rPr>
          <w:rFonts w:ascii="Times New Roman" w:cs="Times New Roman" w:eastAsia="Times New Roman" w:hAnsi="Times New Roman"/>
          <w:sz w:val="18"/>
          <w:szCs w:val="18"/>
          <w:color w:val="auto"/>
        </w:rPr>
        <w:t>If filing as a non-U.S. institution in accordance with Rule 13d-1(b)(1)(ii)(J) of the Exchange Act, please specify type of institution:</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280"/>
          </w:cols>
          <w:pgMar w:left="240" w:top="266" w:right="379" w:bottom="144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35"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140,150,000 shares of Common Stock.</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8.8%. This percentage is based on a total of 1,589,788,282 shares of Common Stock outstanding as reported in the Issuer’s annual report on Form 10-K filed on February 6, 2014.</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130" w:lineRule="exact"/>
        <w:rPr>
          <w:rFonts w:ascii="Times New Roman" w:cs="Times New Roman" w:eastAsia="Times New Roman" w:hAnsi="Times New Roman"/>
          <w:sz w:val="18"/>
          <w:szCs w:val="18"/>
          <w:color w:val="auto"/>
        </w:rPr>
      </w:pPr>
    </w:p>
    <w:p>
      <w:pPr>
        <w:ind w:left="1500" w:right="6840" w:hanging="587"/>
        <w:spacing w:after="0" w:line="383" w:lineRule="auto"/>
        <w:tabs>
          <w:tab w:leader="none" w:pos="14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1500" w:right="6660" w:hanging="587"/>
        <w:spacing w:after="0" w:line="480" w:lineRule="auto"/>
        <w:tabs>
          <w:tab w:leader="none" w:pos="148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 140,150,000shares of Common Stock.</w:t>
      </w:r>
    </w:p>
    <w:p>
      <w:pPr>
        <w:spacing w:after="0" w:line="1" w:lineRule="exact"/>
        <w:rPr>
          <w:rFonts w:ascii="Times New Roman" w:cs="Times New Roman" w:eastAsia="Times New Roman" w:hAnsi="Times New Roman"/>
          <w:sz w:val="17"/>
          <w:szCs w:val="17"/>
          <w:color w:val="auto"/>
        </w:rPr>
      </w:pPr>
    </w:p>
    <w:p>
      <w:pPr>
        <w:ind w:left="1500" w:right="5940" w:hanging="587"/>
        <w:spacing w:after="0" w:line="383" w:lineRule="auto"/>
        <w:tabs>
          <w:tab w:leader="none" w:pos="14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1500" w:right="5760" w:hanging="587"/>
        <w:spacing w:after="0" w:line="407" w:lineRule="auto"/>
        <w:tabs>
          <w:tab w:leader="none" w:pos="14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140,150,000 shares of Common Stock.</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80"/>
          </w:cols>
          <w:pgMar w:left="240" w:top="266" w:right="479" w:bottom="1440" w:gutter="0" w:footer="0" w:header="0"/>
        </w:sectPr>
      </w:pPr>
    </w:p>
    <w:bookmarkStart w:id="4" w:name="page5"/>
    <w:bookmarkEnd w:id="4"/>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UAW RMBT is party to a Stockholders Agreement dated as of October 15, 2009 (the “Stockholders Agreement”), by and among the Issuer, United States Department of the Treasury (“UST”), 7176384 Canada Inc. (since renamed Canada GEN Investment Corporation, “Canada GEN”) , UAW RMBT and, solely for the purposes of Section 6.20 thereof, General Motors LLC. The Stockholders Agreement was filed as Exhibit 10.8 to the Current Report on Form 8-K filed by the Issuer on November 16, 2009.</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Stockholders Agreement provides UAW RMBT the right to designate one director to the board of directors of the Issuer (which designation is subject to the consent of the International Union, United Automobile, Aerospace and Agricultural Implement Workers of America and, if the designated nominee is not independent within the meaning of Rule 303A.02 of the New York Stock Exchange Listed Company Manual or any successor provision, to the consent of the UST, such consent not to be unreasonably withheld) so long as UAW RMBT holds at least 50% of the shares of Common Stock it held upon its initial investment in the Issuer. Canada GEN is required to vote in favor of UAW RMBT’s designee.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18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UAW RMBT and Canada GEN collectively have beneficial ownership of 250,234,746 shares of Common Stock. As of December 31, 2013, this represented 15.7% of the outstanding Common Stock based on a total of 1,589,788,282 shares of Common Stock outstanding. The share ownership reported by UAW RMBT does not include any shares owned by the other parties to the Shareholders’ Agreement, except to the extent already disclosed in this Schedule 13G.</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Because the Reporting Persons may be deemed a beneficial owner of the securities, the Reporting Persons may be deemed a member of any group that the parties to the Stockholders Agreement are deemed to be part of.</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26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UAW Retiree Medical Benefits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Brock</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Brock</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&amp; CEO, Brock Fiduciary Services LLC, on</w:t>
            </w:r>
          </w:p>
        </w:tc>
      </w:tr>
      <w:tr>
        <w:trPr>
          <w:trHeight w:val="234"/>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behalf of UAW RMBT</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2019-12-07T20:35:10Z</dcterms:created>
  <dcterms:modified xsi:type="dcterms:W3CDTF">2019-12-07T20:35:10Z</dcterms:modified>
</cp:coreProperties>
</file>